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075F77">
      <w:pPr>
        <w:rPr>
          <w:rFonts w:eastAsia="仿宋_GB2312"/>
          <w:sz w:val="36"/>
          <w:szCs w:val="36"/>
        </w:rPr>
      </w:pPr>
    </w:p>
    <w:p w14:paraId="6EE60F4D">
      <w:pPr>
        <w:rPr>
          <w:rFonts w:eastAsia="仿宋_GB2312"/>
          <w:sz w:val="36"/>
          <w:szCs w:val="36"/>
        </w:rPr>
      </w:pPr>
    </w:p>
    <w:p w14:paraId="0AE5EA39">
      <w:pPr>
        <w:rPr>
          <w:rFonts w:eastAsia="仿宋_GB2312"/>
          <w:sz w:val="36"/>
          <w:szCs w:val="36"/>
        </w:rPr>
      </w:pPr>
    </w:p>
    <w:p w14:paraId="315739E4">
      <w:pPr>
        <w:rPr>
          <w:rFonts w:eastAsia="仿宋_GB2312"/>
          <w:sz w:val="36"/>
          <w:szCs w:val="36"/>
        </w:rPr>
      </w:pPr>
    </w:p>
    <w:p w14:paraId="7A54A79B">
      <w:pPr>
        <w:autoSpaceDE w:val="0"/>
        <w:autoSpaceDN w:val="0"/>
        <w:adjustRightInd w:val="0"/>
        <w:snapToGrid w:val="0"/>
        <w:spacing w:line="240" w:lineRule="auto"/>
        <w:ind w:firstLine="0" w:firstLineChars="0"/>
        <w:jc w:val="center"/>
        <w:rPr>
          <w:rFonts w:eastAsia="方正小标宋_GBK"/>
          <w:bCs/>
          <w:sz w:val="72"/>
          <w:szCs w:val="72"/>
        </w:rPr>
      </w:pPr>
      <w:bookmarkStart w:id="0" w:name="_Toc1999"/>
      <w:bookmarkStart w:id="1" w:name="_Toc15801"/>
      <w:bookmarkStart w:id="2" w:name="_Toc21924"/>
      <w:bookmarkStart w:id="3" w:name="_Toc5904"/>
      <w:bookmarkStart w:id="4" w:name="_Toc10277"/>
      <w:bookmarkStart w:id="5" w:name="_Toc22508"/>
      <w:bookmarkStart w:id="6" w:name="_Toc22888"/>
      <w:bookmarkStart w:id="7" w:name="_Toc29839"/>
      <w:bookmarkStart w:id="8" w:name="_Toc5235"/>
      <w:bookmarkStart w:id="9" w:name="_Toc29722"/>
      <w:bookmarkStart w:id="10" w:name="_Toc12152"/>
      <w:bookmarkStart w:id="11" w:name="_Toc25503"/>
      <w:bookmarkStart w:id="12" w:name="_Toc840"/>
      <w:bookmarkStart w:id="13" w:name="_Toc23577"/>
      <w:r>
        <w:rPr>
          <w:rFonts w:eastAsia="方正小标宋_GBK"/>
          <w:bCs/>
          <w:sz w:val="72"/>
          <w:szCs w:val="72"/>
        </w:rPr>
        <w:t>建设项目环境影响报告表</w:t>
      </w:r>
      <w:bookmarkEnd w:id="0"/>
      <w:bookmarkEnd w:id="1"/>
      <w:bookmarkEnd w:id="2"/>
      <w:bookmarkEnd w:id="3"/>
      <w:bookmarkEnd w:id="4"/>
      <w:bookmarkEnd w:id="5"/>
      <w:bookmarkEnd w:id="6"/>
      <w:bookmarkEnd w:id="7"/>
      <w:bookmarkEnd w:id="8"/>
      <w:bookmarkEnd w:id="9"/>
      <w:bookmarkEnd w:id="10"/>
      <w:bookmarkEnd w:id="11"/>
      <w:bookmarkEnd w:id="12"/>
      <w:bookmarkEnd w:id="13"/>
    </w:p>
    <w:p w14:paraId="1CAEE5F7">
      <w:pPr>
        <w:autoSpaceDE w:val="0"/>
        <w:autoSpaceDN w:val="0"/>
        <w:adjustRightInd w:val="0"/>
        <w:snapToGrid w:val="0"/>
        <w:spacing w:line="240" w:lineRule="auto"/>
        <w:ind w:firstLine="0" w:firstLineChars="0"/>
        <w:jc w:val="center"/>
        <w:rPr>
          <w:rFonts w:eastAsia="楷体_GB2312"/>
          <w:bCs/>
          <w:sz w:val="48"/>
          <w:szCs w:val="48"/>
        </w:rPr>
      </w:pPr>
      <w:r>
        <w:rPr>
          <w:rFonts w:eastAsia="楷体_GB2312"/>
          <w:bCs/>
          <w:sz w:val="48"/>
          <w:szCs w:val="48"/>
        </w:rPr>
        <w:t>（</w:t>
      </w:r>
      <w:r>
        <w:rPr>
          <w:rFonts w:hint="eastAsia" w:eastAsia="楷体_GB2312"/>
          <w:bCs/>
          <w:sz w:val="48"/>
          <w:szCs w:val="48"/>
        </w:rPr>
        <w:t>污染影响类—</w:t>
      </w:r>
      <w:r>
        <w:rPr>
          <w:rFonts w:hint="eastAsia" w:eastAsia="楷体_GB2312"/>
          <w:bCs/>
          <w:sz w:val="48"/>
          <w:szCs w:val="48"/>
          <w:lang w:val="en-US" w:eastAsia="zh-CN"/>
        </w:rPr>
        <w:t>报批</w:t>
      </w:r>
      <w:r>
        <w:rPr>
          <w:rFonts w:hint="eastAsia" w:eastAsia="楷体_GB2312"/>
          <w:bCs/>
          <w:sz w:val="48"/>
          <w:szCs w:val="48"/>
        </w:rPr>
        <w:t>稿</w:t>
      </w:r>
      <w:r>
        <w:rPr>
          <w:rFonts w:eastAsia="楷体_GB2312"/>
          <w:bCs/>
          <w:sz w:val="48"/>
          <w:szCs w:val="48"/>
        </w:rPr>
        <w:t>）</w:t>
      </w:r>
    </w:p>
    <w:p w14:paraId="7CB8E38F">
      <w:pPr>
        <w:rPr>
          <w:rFonts w:eastAsia="仿宋_GB2312"/>
          <w:sz w:val="36"/>
          <w:szCs w:val="36"/>
        </w:rPr>
      </w:pPr>
    </w:p>
    <w:p w14:paraId="5BFED2F1">
      <w:pPr>
        <w:rPr>
          <w:rFonts w:eastAsia="仿宋_GB2312"/>
          <w:sz w:val="36"/>
          <w:szCs w:val="36"/>
        </w:rPr>
      </w:pPr>
    </w:p>
    <w:p w14:paraId="59EF5A44">
      <w:pPr>
        <w:rPr>
          <w:rFonts w:eastAsia="仿宋_GB2312"/>
          <w:sz w:val="36"/>
          <w:szCs w:val="36"/>
        </w:rPr>
      </w:pPr>
    </w:p>
    <w:p w14:paraId="4E66C010">
      <w:pPr>
        <w:rPr>
          <w:rFonts w:eastAsia="仿宋_GB2312"/>
          <w:sz w:val="36"/>
          <w:szCs w:val="36"/>
        </w:rPr>
      </w:pPr>
    </w:p>
    <w:p w14:paraId="56E30C17">
      <w:pPr>
        <w:rPr>
          <w:rFonts w:hint="default" w:eastAsia="仿宋_GB2312"/>
          <w:sz w:val="36"/>
          <w:szCs w:val="36"/>
          <w:lang w:val="en-US" w:eastAsia="zh-CN"/>
        </w:rPr>
      </w:pPr>
    </w:p>
    <w:p w14:paraId="02074F24">
      <w:pPr>
        <w:rPr>
          <w:rFonts w:hint="default" w:eastAsia="仿宋_GB2312"/>
          <w:sz w:val="36"/>
          <w:szCs w:val="36"/>
          <w:lang w:val="en-US" w:eastAsia="zh-CN"/>
        </w:rPr>
      </w:pPr>
    </w:p>
    <w:p w14:paraId="495634FD">
      <w:pPr>
        <w:kinsoku w:val="0"/>
        <w:autoSpaceDE w:val="0"/>
        <w:autoSpaceDN w:val="0"/>
        <w:adjustRightInd w:val="0"/>
        <w:snapToGrid w:val="0"/>
        <w:spacing w:before="127" w:line="286" w:lineRule="auto"/>
        <w:ind w:left="2198" w:leftChars="166" w:right="11" w:hanging="1800" w:hangingChars="500"/>
        <w:textAlignment w:val="baseline"/>
        <w:rPr>
          <w:rFonts w:hint="default" w:ascii="仿宋" w:hAnsi="仿宋" w:eastAsia="仿宋" w:cs="仿宋"/>
          <w:spacing w:val="5"/>
          <w:sz w:val="35"/>
          <w:szCs w:val="35"/>
          <w:u w:val="single"/>
          <w:lang w:val="en-US" w:eastAsia="zh-CN"/>
        </w:rPr>
      </w:pPr>
      <w:r>
        <w:rPr>
          <w:rFonts w:ascii="仿宋" w:hAnsi="仿宋" w:eastAsia="仿宋" w:cs="仿宋"/>
          <w:spacing w:val="5"/>
          <w:sz w:val="35"/>
          <w:szCs w:val="35"/>
        </w:rPr>
        <w:t>项目名称：</w:t>
      </w:r>
      <w:r>
        <w:rPr>
          <w:rFonts w:hint="eastAsia" w:ascii="仿宋" w:hAnsi="仿宋" w:eastAsia="仿宋" w:cs="仿宋"/>
          <w:spacing w:val="5"/>
          <w:sz w:val="35"/>
          <w:szCs w:val="35"/>
          <w:u w:val="single"/>
          <w:lang w:val="en-US" w:eastAsia="zh-CN"/>
        </w:rPr>
        <w:t xml:space="preserve">    华能湖南岳阳发电有限责任公司     </w:t>
      </w:r>
    </w:p>
    <w:p w14:paraId="5F53A5DF">
      <w:pPr>
        <w:kinsoku w:val="0"/>
        <w:autoSpaceDE w:val="0"/>
        <w:autoSpaceDN w:val="0"/>
        <w:adjustRightInd w:val="0"/>
        <w:snapToGrid w:val="0"/>
        <w:spacing w:before="127" w:line="286" w:lineRule="auto"/>
        <w:ind w:left="0" w:leftChars="0" w:right="0" w:rightChars="0" w:firstLine="2160" w:firstLineChars="600"/>
        <w:jc w:val="left"/>
        <w:textAlignment w:val="baseline"/>
        <w:rPr>
          <w:rFonts w:hint="default" w:ascii="仿宋" w:hAnsi="仿宋" w:eastAsia="仿宋" w:cs="仿宋"/>
          <w:sz w:val="35"/>
          <w:szCs w:val="35"/>
          <w:lang w:val="en-US" w:eastAsia="zh-CN"/>
        </w:rPr>
      </w:pPr>
      <w:r>
        <w:rPr>
          <w:rFonts w:hint="eastAsia" w:ascii="仿宋" w:hAnsi="仿宋" w:eastAsia="仿宋" w:cs="仿宋"/>
          <w:spacing w:val="5"/>
          <w:sz w:val="35"/>
          <w:szCs w:val="35"/>
          <w:u w:val="single"/>
          <w:lang w:val="en-US" w:eastAsia="zh-CN"/>
        </w:rPr>
        <w:t xml:space="preserve">   90万吨/年粉煤灰分级综合利用</w:t>
      </w:r>
      <w:r>
        <w:rPr>
          <w:rFonts w:hint="eastAsia" w:ascii="仿宋" w:hAnsi="仿宋" w:eastAsia="仿宋"/>
          <w:sz w:val="36"/>
          <w:szCs w:val="36"/>
          <w:u w:val="single"/>
        </w:rPr>
        <w:t>项目</w:t>
      </w:r>
      <w:r>
        <w:rPr>
          <w:rFonts w:hint="eastAsia" w:ascii="仿宋" w:hAnsi="仿宋" w:eastAsia="仿宋"/>
          <w:sz w:val="36"/>
          <w:szCs w:val="36"/>
          <w:u w:val="single"/>
          <w:lang w:val="en-US" w:eastAsia="zh-CN"/>
        </w:rPr>
        <w:t xml:space="preserve">   </w:t>
      </w:r>
    </w:p>
    <w:p w14:paraId="270F3BD9">
      <w:pPr>
        <w:tabs>
          <w:tab w:val="left" w:pos="8295"/>
        </w:tabs>
        <w:spacing w:line="286" w:lineRule="auto"/>
        <w:ind w:right="11" w:firstLine="360" w:firstLineChars="100"/>
        <w:rPr>
          <w:rFonts w:hint="eastAsia" w:ascii="仿宋" w:hAnsi="仿宋" w:eastAsia="仿宋" w:cs="仿宋"/>
          <w:spacing w:val="5"/>
          <w:sz w:val="35"/>
          <w:szCs w:val="35"/>
          <w:u w:val="single"/>
        </w:rPr>
      </w:pPr>
      <w:r>
        <w:rPr>
          <w:rFonts w:ascii="仿宋" w:hAnsi="仿宋" w:eastAsia="仿宋" w:cs="仿宋"/>
          <w:spacing w:val="5"/>
          <w:sz w:val="35"/>
          <w:szCs w:val="35"/>
        </w:rPr>
        <w:t>建设单位：</w:t>
      </w:r>
      <w:r>
        <w:rPr>
          <w:rFonts w:hint="eastAsia" w:ascii="仿宋" w:hAnsi="仿宋" w:eastAsia="仿宋" w:cs="仿宋"/>
          <w:spacing w:val="5"/>
          <w:sz w:val="35"/>
          <w:szCs w:val="35"/>
          <w:u w:val="single"/>
        </w:rPr>
        <w:t xml:space="preserve">    </w:t>
      </w:r>
      <w:r>
        <w:rPr>
          <w:rFonts w:hint="eastAsia" w:ascii="仿宋" w:hAnsi="仿宋" w:eastAsia="仿宋" w:cs="仿宋"/>
          <w:spacing w:val="5"/>
          <w:sz w:val="35"/>
          <w:szCs w:val="35"/>
          <w:u w:val="single"/>
          <w:lang w:val="en-US" w:eastAsia="zh-CN"/>
        </w:rPr>
        <w:t>华能湖南岳阳发电有限责任公司</w:t>
      </w:r>
      <w:r>
        <w:rPr>
          <w:rFonts w:hint="eastAsia" w:ascii="仿宋" w:hAnsi="仿宋" w:eastAsia="仿宋" w:cs="仿宋"/>
          <w:spacing w:val="5"/>
          <w:sz w:val="35"/>
          <w:szCs w:val="35"/>
          <w:u w:val="single"/>
        </w:rPr>
        <w:t xml:space="preserve">     </w:t>
      </w:r>
    </w:p>
    <w:p w14:paraId="0E77B386">
      <w:pPr>
        <w:tabs>
          <w:tab w:val="left" w:pos="4395"/>
        </w:tabs>
        <w:adjustRightInd w:val="0"/>
        <w:snapToGrid w:val="0"/>
        <w:ind w:firstLine="360" w:firstLineChars="100"/>
        <w:rPr>
          <w:rFonts w:eastAsia="仿宋_GB2312"/>
          <w:sz w:val="30"/>
          <w:szCs w:val="30"/>
        </w:rPr>
      </w:pPr>
      <w:r>
        <w:rPr>
          <w:rFonts w:ascii="仿宋" w:hAnsi="仿宋" w:eastAsia="仿宋" w:cs="仿宋"/>
          <w:spacing w:val="5"/>
          <w:sz w:val="35"/>
          <w:szCs w:val="35"/>
        </w:rPr>
        <w:t>编制日期：</w:t>
      </w:r>
      <w:r>
        <w:rPr>
          <w:rFonts w:ascii="仿宋" w:hAnsi="仿宋" w:eastAsia="仿宋" w:cs="仿宋"/>
          <w:spacing w:val="6"/>
          <w:sz w:val="35"/>
          <w:szCs w:val="35"/>
          <w:u w:val="single"/>
        </w:rPr>
        <w:t xml:space="preserve">         </w:t>
      </w:r>
      <w:r>
        <w:rPr>
          <w:rFonts w:hint="eastAsia" w:ascii="仿宋" w:hAnsi="仿宋" w:eastAsia="仿宋" w:cs="仿宋"/>
          <w:spacing w:val="6"/>
          <w:sz w:val="35"/>
          <w:szCs w:val="35"/>
          <w:u w:val="single"/>
        </w:rPr>
        <w:t xml:space="preserve">   202</w:t>
      </w:r>
      <w:r>
        <w:rPr>
          <w:rFonts w:hint="eastAsia" w:ascii="仿宋" w:hAnsi="仿宋" w:eastAsia="仿宋" w:cs="仿宋"/>
          <w:spacing w:val="6"/>
          <w:sz w:val="35"/>
          <w:szCs w:val="35"/>
          <w:u w:val="single"/>
          <w:lang w:val="en-US" w:eastAsia="zh-CN"/>
        </w:rPr>
        <w:t>6</w:t>
      </w:r>
      <w:r>
        <w:rPr>
          <w:rFonts w:hint="eastAsia" w:ascii="仿宋" w:hAnsi="仿宋" w:eastAsia="仿宋" w:cs="仿宋"/>
          <w:spacing w:val="6"/>
          <w:sz w:val="35"/>
          <w:szCs w:val="35"/>
          <w:u w:val="single"/>
        </w:rPr>
        <w:t>年</w:t>
      </w:r>
      <w:r>
        <w:rPr>
          <w:rFonts w:hint="eastAsia" w:ascii="仿宋" w:hAnsi="仿宋" w:eastAsia="仿宋" w:cs="仿宋"/>
          <w:spacing w:val="6"/>
          <w:sz w:val="35"/>
          <w:szCs w:val="35"/>
          <w:u w:val="single"/>
          <w:lang w:val="en-US" w:eastAsia="zh-CN"/>
        </w:rPr>
        <w:t>8</w:t>
      </w:r>
      <w:r>
        <w:rPr>
          <w:rFonts w:hint="eastAsia" w:ascii="仿宋" w:hAnsi="仿宋" w:eastAsia="仿宋" w:cs="仿宋"/>
          <w:spacing w:val="6"/>
          <w:sz w:val="35"/>
          <w:szCs w:val="35"/>
          <w:u w:val="single"/>
        </w:rPr>
        <w:t xml:space="preserve">月 </w:t>
      </w:r>
      <w:r>
        <w:rPr>
          <w:rFonts w:hint="eastAsia" w:ascii="仿宋" w:hAnsi="仿宋" w:eastAsia="仿宋" w:cs="仿宋"/>
          <w:spacing w:val="6"/>
          <w:sz w:val="35"/>
          <w:szCs w:val="35"/>
          <w:u w:val="single"/>
          <w:lang w:val="en-US" w:eastAsia="zh-CN"/>
        </w:rPr>
        <w:t xml:space="preserve">  </w:t>
      </w:r>
      <w:r>
        <w:rPr>
          <w:rFonts w:hint="eastAsia" w:ascii="仿宋" w:hAnsi="仿宋" w:eastAsia="仿宋" w:cs="仿宋"/>
          <w:spacing w:val="6"/>
          <w:sz w:val="35"/>
          <w:szCs w:val="35"/>
          <w:u w:val="single"/>
        </w:rPr>
        <w:t xml:space="preserve">        </w:t>
      </w:r>
      <w:r>
        <w:rPr>
          <w:rFonts w:ascii="仿宋" w:hAnsi="仿宋" w:eastAsia="仿宋" w:cs="仿宋"/>
          <w:sz w:val="35"/>
          <w:szCs w:val="35"/>
          <w:u w:val="single"/>
        </w:rPr>
        <w:t xml:space="preserve">    </w:t>
      </w:r>
    </w:p>
    <w:p w14:paraId="1E12A915">
      <w:pPr>
        <w:adjustRightInd w:val="0"/>
        <w:snapToGrid w:val="0"/>
        <w:spacing w:line="288" w:lineRule="auto"/>
        <w:rPr>
          <w:rFonts w:eastAsia="仿宋_GB2312"/>
          <w:sz w:val="36"/>
          <w:szCs w:val="36"/>
        </w:rPr>
      </w:pPr>
      <w:bookmarkStart w:id="14" w:name="_Hlk57884087"/>
    </w:p>
    <w:p w14:paraId="461DD057">
      <w:pPr>
        <w:adjustRightInd w:val="0"/>
        <w:snapToGrid w:val="0"/>
        <w:spacing w:line="288" w:lineRule="auto"/>
        <w:ind w:firstLine="0" w:firstLineChars="0"/>
        <w:rPr>
          <w:rFonts w:eastAsia="仿宋_GB2312"/>
          <w:sz w:val="36"/>
          <w:szCs w:val="36"/>
        </w:rPr>
      </w:pPr>
    </w:p>
    <w:p w14:paraId="778C78D9">
      <w:pPr>
        <w:adjustRightInd w:val="0"/>
        <w:snapToGrid w:val="0"/>
        <w:spacing w:line="288" w:lineRule="auto"/>
        <w:ind w:firstLine="0" w:firstLineChars="0"/>
        <w:rPr>
          <w:rFonts w:eastAsia="仿宋_GB2312"/>
          <w:sz w:val="36"/>
          <w:szCs w:val="36"/>
        </w:rPr>
      </w:pPr>
    </w:p>
    <w:p w14:paraId="4E5A7B95">
      <w:pPr>
        <w:adjustRightInd w:val="0"/>
        <w:snapToGrid w:val="0"/>
        <w:spacing w:line="288" w:lineRule="auto"/>
        <w:ind w:firstLine="0" w:firstLineChars="0"/>
        <w:rPr>
          <w:rFonts w:eastAsia="仿宋_GB2312"/>
          <w:sz w:val="36"/>
          <w:szCs w:val="36"/>
        </w:rPr>
      </w:pPr>
    </w:p>
    <w:p w14:paraId="4A946116">
      <w:pPr>
        <w:adjustRightInd w:val="0"/>
        <w:snapToGrid w:val="0"/>
        <w:spacing w:line="288" w:lineRule="auto"/>
        <w:ind w:firstLine="0" w:firstLineChars="0"/>
        <w:rPr>
          <w:rFonts w:eastAsia="仿宋_GB2312"/>
          <w:sz w:val="36"/>
          <w:szCs w:val="36"/>
        </w:rPr>
      </w:pPr>
    </w:p>
    <w:bookmarkEnd w:id="14"/>
    <w:p w14:paraId="00CE76E5">
      <w:pPr>
        <w:autoSpaceDE w:val="0"/>
        <w:autoSpaceDN w:val="0"/>
        <w:adjustRightInd w:val="0"/>
        <w:snapToGrid w:val="0"/>
        <w:spacing w:line="288" w:lineRule="auto"/>
        <w:ind w:firstLine="0" w:firstLineChars="0"/>
        <w:jc w:val="center"/>
        <w:rPr>
          <w:rFonts w:eastAsia="楷体_GB2312"/>
          <w:sz w:val="36"/>
          <w:szCs w:val="36"/>
        </w:rPr>
        <w:sectPr>
          <w:headerReference r:id="rId7" w:type="first"/>
          <w:footerReference r:id="rId10" w:type="first"/>
          <w:headerReference r:id="rId5" w:type="default"/>
          <w:footerReference r:id="rId8" w:type="default"/>
          <w:headerReference r:id="rId6" w:type="even"/>
          <w:footerReference r:id="rId9" w:type="even"/>
          <w:pgSz w:w="11905" w:h="16840"/>
          <w:pgMar w:top="1418" w:right="1418" w:bottom="1418" w:left="1701" w:header="720" w:footer="720" w:gutter="0"/>
          <w:pgBorders>
            <w:top w:val="none" w:sz="0" w:space="0"/>
            <w:left w:val="none" w:sz="0" w:space="0"/>
            <w:bottom w:val="none" w:sz="0" w:space="0"/>
            <w:right w:val="none" w:sz="0" w:space="0"/>
          </w:pgBorders>
          <w:cols w:space="720" w:num="1"/>
        </w:sectPr>
      </w:pPr>
      <w:bookmarkStart w:id="15" w:name="_Toc3135"/>
      <w:bookmarkStart w:id="16" w:name="_Toc24377"/>
      <w:bookmarkStart w:id="17" w:name="_Toc3128"/>
      <w:bookmarkStart w:id="18" w:name="_Toc7387"/>
      <w:bookmarkStart w:id="19" w:name="_Toc21926"/>
      <w:bookmarkStart w:id="20" w:name="_Toc1306"/>
      <w:bookmarkStart w:id="21" w:name="_Toc257"/>
      <w:bookmarkStart w:id="22" w:name="_Toc10697"/>
      <w:bookmarkStart w:id="23" w:name="_Toc17539"/>
      <w:bookmarkStart w:id="24" w:name="_Toc15580"/>
      <w:bookmarkStart w:id="25" w:name="_Toc4903"/>
      <w:bookmarkStart w:id="26" w:name="_Toc5160"/>
      <w:bookmarkStart w:id="27" w:name="_Toc7608"/>
      <w:bookmarkStart w:id="28" w:name="_Toc28648"/>
      <w:r>
        <w:rPr>
          <w:rFonts w:eastAsia="楷体_GB2312"/>
          <w:sz w:val="36"/>
          <w:szCs w:val="36"/>
        </w:rPr>
        <w:t>中华人民共和国生态环境部制</w:t>
      </w:r>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1864A04C">
      <w:pPr>
        <w:rPr>
          <w:rFonts w:eastAsia="仿宋_GB2312"/>
          <w:sz w:val="36"/>
          <w:szCs w:val="36"/>
        </w:rPr>
      </w:pPr>
    </w:p>
    <w:p w14:paraId="7407FFEF">
      <w:pPr>
        <w:rPr>
          <w:rFonts w:eastAsia="仿宋_GB2312"/>
          <w:sz w:val="36"/>
          <w:szCs w:val="36"/>
        </w:rPr>
      </w:pPr>
    </w:p>
    <w:p w14:paraId="167A927A">
      <w:pPr>
        <w:rPr>
          <w:rFonts w:eastAsia="仿宋_GB2312"/>
          <w:sz w:val="36"/>
          <w:szCs w:val="36"/>
        </w:rPr>
      </w:pPr>
    </w:p>
    <w:p w14:paraId="222E409E">
      <w:pPr>
        <w:rPr>
          <w:rFonts w:eastAsia="仿宋_GB2312"/>
          <w:sz w:val="36"/>
          <w:szCs w:val="36"/>
        </w:rPr>
      </w:pPr>
    </w:p>
    <w:p w14:paraId="1F93FE64">
      <w:pPr>
        <w:autoSpaceDE w:val="0"/>
        <w:autoSpaceDN w:val="0"/>
        <w:adjustRightInd w:val="0"/>
        <w:snapToGrid w:val="0"/>
        <w:spacing w:line="240" w:lineRule="auto"/>
        <w:ind w:firstLine="0" w:firstLineChars="0"/>
        <w:jc w:val="center"/>
        <w:rPr>
          <w:rFonts w:eastAsia="方正小标宋_GBK"/>
          <w:bCs/>
          <w:sz w:val="72"/>
          <w:szCs w:val="72"/>
        </w:rPr>
      </w:pPr>
      <w:r>
        <w:rPr>
          <w:rFonts w:eastAsia="方正小标宋_GBK"/>
          <w:bCs/>
          <w:sz w:val="72"/>
          <w:szCs w:val="72"/>
        </w:rPr>
        <w:t>建设项目环境影响报告表</w:t>
      </w:r>
    </w:p>
    <w:p w14:paraId="7E687B06">
      <w:pPr>
        <w:autoSpaceDE w:val="0"/>
        <w:autoSpaceDN w:val="0"/>
        <w:adjustRightInd w:val="0"/>
        <w:snapToGrid w:val="0"/>
        <w:spacing w:line="240" w:lineRule="auto"/>
        <w:ind w:firstLine="0" w:firstLineChars="0"/>
        <w:jc w:val="center"/>
        <w:rPr>
          <w:rFonts w:eastAsia="楷体_GB2312"/>
          <w:bCs/>
          <w:sz w:val="48"/>
          <w:szCs w:val="48"/>
        </w:rPr>
      </w:pPr>
      <w:r>
        <w:rPr>
          <w:rFonts w:eastAsia="楷体_GB2312"/>
          <w:bCs/>
          <w:sz w:val="48"/>
          <w:szCs w:val="48"/>
        </w:rPr>
        <w:t>（</w:t>
      </w:r>
      <w:r>
        <w:rPr>
          <w:rFonts w:hint="eastAsia" w:eastAsia="楷体_GB2312"/>
          <w:bCs/>
          <w:sz w:val="48"/>
          <w:szCs w:val="48"/>
        </w:rPr>
        <w:t>污染影响类—</w:t>
      </w:r>
      <w:r>
        <w:rPr>
          <w:rFonts w:hint="eastAsia" w:eastAsia="楷体_GB2312"/>
          <w:bCs/>
          <w:sz w:val="48"/>
          <w:szCs w:val="48"/>
          <w:lang w:val="en-US" w:eastAsia="zh-CN"/>
        </w:rPr>
        <w:t>报批</w:t>
      </w:r>
      <w:r>
        <w:rPr>
          <w:rFonts w:hint="eastAsia" w:eastAsia="楷体_GB2312"/>
          <w:bCs/>
          <w:sz w:val="48"/>
          <w:szCs w:val="48"/>
        </w:rPr>
        <w:t>稿</w:t>
      </w:r>
      <w:r>
        <w:rPr>
          <w:rFonts w:eastAsia="楷体_GB2312"/>
          <w:bCs/>
          <w:sz w:val="48"/>
          <w:szCs w:val="48"/>
        </w:rPr>
        <w:t>）</w:t>
      </w:r>
    </w:p>
    <w:p w14:paraId="40260EE7">
      <w:pPr>
        <w:rPr>
          <w:rFonts w:eastAsia="仿宋_GB2312"/>
          <w:sz w:val="36"/>
          <w:szCs w:val="36"/>
        </w:rPr>
      </w:pPr>
    </w:p>
    <w:p w14:paraId="2DC7F3B7">
      <w:pPr>
        <w:rPr>
          <w:rFonts w:eastAsia="仿宋_GB2312"/>
          <w:sz w:val="36"/>
          <w:szCs w:val="36"/>
        </w:rPr>
      </w:pPr>
    </w:p>
    <w:p w14:paraId="573090D8">
      <w:pPr>
        <w:rPr>
          <w:rFonts w:eastAsia="仿宋_GB2312"/>
          <w:sz w:val="36"/>
          <w:szCs w:val="36"/>
        </w:rPr>
      </w:pPr>
    </w:p>
    <w:p w14:paraId="60DCFF7B">
      <w:pPr>
        <w:rPr>
          <w:rFonts w:eastAsia="仿宋_GB2312"/>
          <w:sz w:val="36"/>
          <w:szCs w:val="36"/>
        </w:rPr>
      </w:pPr>
    </w:p>
    <w:p w14:paraId="51DE104F">
      <w:pPr>
        <w:rPr>
          <w:rFonts w:eastAsia="仿宋_GB2312"/>
          <w:sz w:val="36"/>
          <w:szCs w:val="36"/>
        </w:rPr>
      </w:pPr>
    </w:p>
    <w:p w14:paraId="6FF5D87C">
      <w:pPr>
        <w:rPr>
          <w:rFonts w:eastAsia="仿宋_GB2312"/>
          <w:sz w:val="36"/>
          <w:szCs w:val="36"/>
        </w:rPr>
      </w:pPr>
    </w:p>
    <w:p w14:paraId="05B24A4F">
      <w:pPr>
        <w:rPr>
          <w:rFonts w:eastAsia="仿宋_GB2312"/>
          <w:sz w:val="36"/>
          <w:szCs w:val="36"/>
        </w:rPr>
      </w:pPr>
    </w:p>
    <w:p w14:paraId="7663573A">
      <w:pPr>
        <w:kinsoku w:val="0"/>
        <w:autoSpaceDE w:val="0"/>
        <w:autoSpaceDN w:val="0"/>
        <w:adjustRightInd w:val="0"/>
        <w:snapToGrid w:val="0"/>
        <w:spacing w:before="127" w:line="286" w:lineRule="auto"/>
        <w:ind w:left="2198" w:leftChars="166" w:right="11" w:hanging="1800" w:hangingChars="500"/>
        <w:textAlignment w:val="baseline"/>
        <w:rPr>
          <w:rFonts w:hint="default" w:ascii="仿宋" w:hAnsi="仿宋" w:eastAsia="仿宋" w:cs="仿宋"/>
          <w:spacing w:val="5"/>
          <w:sz w:val="35"/>
          <w:szCs w:val="35"/>
          <w:u w:val="single"/>
          <w:lang w:val="en-US" w:eastAsia="zh-CN"/>
        </w:rPr>
      </w:pPr>
      <w:r>
        <w:rPr>
          <w:rFonts w:ascii="仿宋" w:hAnsi="仿宋" w:eastAsia="仿宋" w:cs="仿宋"/>
          <w:spacing w:val="5"/>
          <w:sz w:val="35"/>
          <w:szCs w:val="35"/>
        </w:rPr>
        <w:t>项目名称：</w:t>
      </w:r>
      <w:r>
        <w:rPr>
          <w:rFonts w:hint="eastAsia" w:ascii="仿宋" w:hAnsi="仿宋" w:eastAsia="仿宋" w:cs="仿宋"/>
          <w:spacing w:val="5"/>
          <w:sz w:val="35"/>
          <w:szCs w:val="35"/>
          <w:u w:val="single"/>
          <w:lang w:val="en-US" w:eastAsia="zh-CN"/>
        </w:rPr>
        <w:t xml:space="preserve">    华能湖南岳阳发电有限责任公司     </w:t>
      </w:r>
    </w:p>
    <w:p w14:paraId="53690CA3">
      <w:pPr>
        <w:kinsoku w:val="0"/>
        <w:autoSpaceDE w:val="0"/>
        <w:autoSpaceDN w:val="0"/>
        <w:adjustRightInd w:val="0"/>
        <w:snapToGrid w:val="0"/>
        <w:spacing w:before="127" w:line="286" w:lineRule="auto"/>
        <w:ind w:left="0" w:leftChars="0" w:right="0" w:rightChars="0" w:firstLine="2160" w:firstLineChars="600"/>
        <w:jc w:val="left"/>
        <w:textAlignment w:val="baseline"/>
        <w:rPr>
          <w:rFonts w:hint="default" w:ascii="仿宋" w:hAnsi="仿宋" w:eastAsia="仿宋" w:cs="仿宋"/>
          <w:sz w:val="35"/>
          <w:szCs w:val="35"/>
          <w:lang w:val="en-US" w:eastAsia="zh-CN"/>
        </w:rPr>
      </w:pPr>
      <w:r>
        <w:rPr>
          <w:rFonts w:hint="eastAsia" w:ascii="仿宋" w:hAnsi="仿宋" w:eastAsia="仿宋" w:cs="仿宋"/>
          <w:spacing w:val="5"/>
          <w:sz w:val="35"/>
          <w:szCs w:val="35"/>
          <w:u w:val="single"/>
          <w:lang w:val="en-US" w:eastAsia="zh-CN"/>
        </w:rPr>
        <w:t xml:space="preserve">   90万吨/年粉煤灰分级综合利用</w:t>
      </w:r>
      <w:r>
        <w:rPr>
          <w:rFonts w:hint="eastAsia" w:ascii="仿宋" w:hAnsi="仿宋" w:eastAsia="仿宋"/>
          <w:sz w:val="36"/>
          <w:szCs w:val="36"/>
          <w:u w:val="single"/>
        </w:rPr>
        <w:t>项目</w:t>
      </w:r>
      <w:r>
        <w:rPr>
          <w:rFonts w:hint="eastAsia" w:ascii="仿宋" w:hAnsi="仿宋" w:eastAsia="仿宋"/>
          <w:sz w:val="36"/>
          <w:szCs w:val="36"/>
          <w:u w:val="single"/>
          <w:lang w:val="en-US" w:eastAsia="zh-CN"/>
        </w:rPr>
        <w:t xml:space="preserve">   </w:t>
      </w:r>
    </w:p>
    <w:p w14:paraId="1608B8EA">
      <w:pPr>
        <w:tabs>
          <w:tab w:val="left" w:pos="8295"/>
        </w:tabs>
        <w:spacing w:line="286" w:lineRule="auto"/>
        <w:ind w:right="11" w:firstLine="360" w:firstLineChars="100"/>
        <w:rPr>
          <w:rFonts w:hint="eastAsia" w:ascii="仿宋" w:hAnsi="仿宋" w:eastAsia="仿宋" w:cs="仿宋"/>
          <w:spacing w:val="5"/>
          <w:sz w:val="35"/>
          <w:szCs w:val="35"/>
          <w:u w:val="single"/>
        </w:rPr>
      </w:pPr>
      <w:r>
        <w:rPr>
          <w:rFonts w:ascii="仿宋" w:hAnsi="仿宋" w:eastAsia="仿宋" w:cs="仿宋"/>
          <w:spacing w:val="5"/>
          <w:sz w:val="35"/>
          <w:szCs w:val="35"/>
        </w:rPr>
        <w:t>建设单位：</w:t>
      </w:r>
      <w:r>
        <w:rPr>
          <w:rFonts w:hint="eastAsia" w:ascii="仿宋" w:hAnsi="仿宋" w:eastAsia="仿宋" w:cs="仿宋"/>
          <w:spacing w:val="5"/>
          <w:sz w:val="35"/>
          <w:szCs w:val="35"/>
          <w:u w:val="single"/>
        </w:rPr>
        <w:t xml:space="preserve">    </w:t>
      </w:r>
      <w:r>
        <w:rPr>
          <w:rFonts w:hint="eastAsia" w:ascii="仿宋" w:hAnsi="仿宋" w:eastAsia="仿宋" w:cs="仿宋"/>
          <w:spacing w:val="5"/>
          <w:sz w:val="35"/>
          <w:szCs w:val="35"/>
          <w:u w:val="single"/>
          <w:lang w:val="en-US" w:eastAsia="zh-CN"/>
        </w:rPr>
        <w:t>华能湖南岳阳发电有限责任公司</w:t>
      </w:r>
      <w:r>
        <w:rPr>
          <w:rFonts w:hint="eastAsia" w:ascii="仿宋" w:hAnsi="仿宋" w:eastAsia="仿宋" w:cs="仿宋"/>
          <w:spacing w:val="5"/>
          <w:sz w:val="35"/>
          <w:szCs w:val="35"/>
          <w:u w:val="single"/>
        </w:rPr>
        <w:t xml:space="preserve">     </w:t>
      </w:r>
    </w:p>
    <w:p w14:paraId="7B65ED9C">
      <w:pPr>
        <w:tabs>
          <w:tab w:val="left" w:pos="4395"/>
        </w:tabs>
        <w:adjustRightInd w:val="0"/>
        <w:snapToGrid w:val="0"/>
        <w:ind w:firstLine="360" w:firstLineChars="100"/>
        <w:rPr>
          <w:rFonts w:eastAsia="仿宋_GB2312"/>
          <w:sz w:val="30"/>
          <w:szCs w:val="30"/>
        </w:rPr>
      </w:pPr>
      <w:r>
        <w:rPr>
          <w:rFonts w:ascii="仿宋" w:hAnsi="仿宋" w:eastAsia="仿宋" w:cs="仿宋"/>
          <w:spacing w:val="5"/>
          <w:sz w:val="35"/>
          <w:szCs w:val="35"/>
        </w:rPr>
        <w:t>编制日期：</w:t>
      </w:r>
      <w:r>
        <w:rPr>
          <w:rFonts w:ascii="仿宋" w:hAnsi="仿宋" w:eastAsia="仿宋" w:cs="仿宋"/>
          <w:spacing w:val="6"/>
          <w:sz w:val="35"/>
          <w:szCs w:val="35"/>
          <w:u w:val="single"/>
        </w:rPr>
        <w:t xml:space="preserve">         </w:t>
      </w:r>
      <w:r>
        <w:rPr>
          <w:rFonts w:hint="eastAsia" w:ascii="仿宋" w:hAnsi="仿宋" w:eastAsia="仿宋" w:cs="仿宋"/>
          <w:spacing w:val="6"/>
          <w:sz w:val="35"/>
          <w:szCs w:val="35"/>
          <w:u w:val="single"/>
        </w:rPr>
        <w:t xml:space="preserve">   202</w:t>
      </w:r>
      <w:r>
        <w:rPr>
          <w:rFonts w:hint="eastAsia" w:ascii="仿宋" w:hAnsi="仿宋" w:eastAsia="仿宋" w:cs="仿宋"/>
          <w:spacing w:val="6"/>
          <w:sz w:val="35"/>
          <w:szCs w:val="35"/>
          <w:u w:val="single"/>
          <w:lang w:val="en-US" w:eastAsia="zh-CN"/>
        </w:rPr>
        <w:t>6</w:t>
      </w:r>
      <w:r>
        <w:rPr>
          <w:rFonts w:hint="eastAsia" w:ascii="仿宋" w:hAnsi="仿宋" w:eastAsia="仿宋" w:cs="仿宋"/>
          <w:spacing w:val="6"/>
          <w:sz w:val="35"/>
          <w:szCs w:val="35"/>
          <w:u w:val="single"/>
        </w:rPr>
        <w:t>年</w:t>
      </w:r>
      <w:r>
        <w:rPr>
          <w:rFonts w:hint="eastAsia" w:ascii="仿宋" w:hAnsi="仿宋" w:eastAsia="仿宋" w:cs="仿宋"/>
          <w:spacing w:val="6"/>
          <w:sz w:val="35"/>
          <w:szCs w:val="35"/>
          <w:u w:val="single"/>
          <w:lang w:val="en-US" w:eastAsia="zh-CN"/>
        </w:rPr>
        <w:t>8</w:t>
      </w:r>
      <w:r>
        <w:rPr>
          <w:rFonts w:hint="eastAsia" w:ascii="仿宋" w:hAnsi="仿宋" w:eastAsia="仿宋" w:cs="仿宋"/>
          <w:spacing w:val="6"/>
          <w:sz w:val="35"/>
          <w:szCs w:val="35"/>
          <w:u w:val="single"/>
        </w:rPr>
        <w:t xml:space="preserve">月 </w:t>
      </w:r>
      <w:r>
        <w:rPr>
          <w:rFonts w:hint="eastAsia" w:ascii="仿宋" w:hAnsi="仿宋" w:eastAsia="仿宋" w:cs="仿宋"/>
          <w:spacing w:val="6"/>
          <w:sz w:val="35"/>
          <w:szCs w:val="35"/>
          <w:u w:val="single"/>
          <w:lang w:val="en-US" w:eastAsia="zh-CN"/>
        </w:rPr>
        <w:t xml:space="preserve">  </w:t>
      </w:r>
      <w:r>
        <w:rPr>
          <w:rFonts w:hint="eastAsia" w:ascii="仿宋" w:hAnsi="仿宋" w:eastAsia="仿宋" w:cs="仿宋"/>
          <w:spacing w:val="6"/>
          <w:sz w:val="35"/>
          <w:szCs w:val="35"/>
          <w:u w:val="single"/>
        </w:rPr>
        <w:t xml:space="preserve">        </w:t>
      </w:r>
      <w:r>
        <w:rPr>
          <w:rFonts w:ascii="仿宋" w:hAnsi="仿宋" w:eastAsia="仿宋" w:cs="仿宋"/>
          <w:sz w:val="35"/>
          <w:szCs w:val="35"/>
          <w:u w:val="single"/>
        </w:rPr>
        <w:t xml:space="preserve">    </w:t>
      </w:r>
    </w:p>
    <w:p w14:paraId="089A810C">
      <w:pPr>
        <w:adjustRightInd w:val="0"/>
        <w:snapToGrid w:val="0"/>
        <w:spacing w:line="288" w:lineRule="auto"/>
        <w:rPr>
          <w:rFonts w:eastAsia="仿宋_GB2312"/>
          <w:sz w:val="36"/>
          <w:szCs w:val="36"/>
        </w:rPr>
      </w:pPr>
    </w:p>
    <w:p w14:paraId="6D0750AB">
      <w:pPr>
        <w:adjustRightInd w:val="0"/>
        <w:snapToGrid w:val="0"/>
        <w:spacing w:line="288" w:lineRule="auto"/>
        <w:rPr>
          <w:rFonts w:eastAsia="仿宋_GB2312"/>
          <w:sz w:val="36"/>
          <w:szCs w:val="36"/>
        </w:rPr>
      </w:pPr>
    </w:p>
    <w:p w14:paraId="7E7E0F59">
      <w:pPr>
        <w:adjustRightInd w:val="0"/>
        <w:snapToGrid w:val="0"/>
        <w:spacing w:line="288" w:lineRule="auto"/>
        <w:ind w:firstLine="0" w:firstLineChars="0"/>
        <w:rPr>
          <w:rFonts w:eastAsia="仿宋_GB2312"/>
          <w:sz w:val="36"/>
          <w:szCs w:val="36"/>
        </w:rPr>
      </w:pPr>
    </w:p>
    <w:p w14:paraId="31BF1BA9">
      <w:pPr>
        <w:adjustRightInd w:val="0"/>
        <w:snapToGrid w:val="0"/>
        <w:spacing w:line="288" w:lineRule="auto"/>
        <w:ind w:firstLine="0" w:firstLineChars="0"/>
        <w:rPr>
          <w:rFonts w:eastAsia="仿宋_GB2312"/>
          <w:sz w:val="36"/>
          <w:szCs w:val="36"/>
        </w:rPr>
      </w:pPr>
    </w:p>
    <w:p w14:paraId="39A67468">
      <w:pPr>
        <w:pStyle w:val="9"/>
        <w:sectPr>
          <w:pgSz w:w="11905" w:h="16840"/>
          <w:pgMar w:top="1418" w:right="1418" w:bottom="1418" w:left="1701" w:header="720" w:footer="720" w:gutter="0"/>
          <w:pgBorders>
            <w:top w:val="none" w:sz="0" w:space="0"/>
            <w:left w:val="none" w:sz="0" w:space="0"/>
            <w:bottom w:val="none" w:sz="0" w:space="0"/>
            <w:right w:val="none" w:sz="0" w:space="0"/>
          </w:pgBorders>
          <w:cols w:space="720" w:num="1"/>
        </w:sectPr>
      </w:pPr>
      <w:r>
        <w:rPr>
          <w:rFonts w:eastAsia="楷体_GB2312"/>
          <w:sz w:val="36"/>
          <w:szCs w:val="36"/>
        </w:rPr>
        <w:t>中华人民共和国生态环境部制</w:t>
      </w:r>
    </w:p>
    <w:p w14:paraId="3B1301A8">
      <w:pPr>
        <w:ind w:firstLine="0" w:firstLineChars="0"/>
        <w:rPr>
          <w:rFonts w:hint="eastAsia" w:eastAsia="宋体"/>
          <w:lang w:eastAsia="zh-CN"/>
        </w:rPr>
        <w:sectPr>
          <w:pgSz w:w="11905" w:h="16840"/>
          <w:pgMar w:top="1418" w:right="1418" w:bottom="1418" w:left="1701" w:header="720" w:footer="720" w:gutter="0"/>
          <w:pgBorders>
            <w:top w:val="none" w:sz="0" w:space="0"/>
            <w:left w:val="none" w:sz="0" w:space="0"/>
            <w:bottom w:val="none" w:sz="0" w:space="0"/>
            <w:right w:val="none" w:sz="0" w:space="0"/>
          </w:pgBorders>
          <w:cols w:space="720" w:num="1"/>
        </w:sectPr>
      </w:pPr>
    </w:p>
    <w:p w14:paraId="3F5E8757">
      <w:pPr>
        <w:ind w:firstLine="0" w:firstLineChars="0"/>
        <w:rPr>
          <w:rFonts w:hint="eastAsia" w:eastAsia="宋体"/>
          <w:lang w:eastAsia="zh-CN"/>
        </w:rPr>
      </w:pPr>
      <w:r>
        <w:drawing>
          <wp:anchor distT="0" distB="0" distL="114300" distR="114300" simplePos="0" relativeHeight="251701248" behindDoc="0" locked="0" layoutInCell="1" allowOverlap="1">
            <wp:simplePos x="0" y="0"/>
            <wp:positionH relativeFrom="column">
              <wp:posOffset>-1073785</wp:posOffset>
            </wp:positionH>
            <wp:positionV relativeFrom="paragraph">
              <wp:posOffset>-891540</wp:posOffset>
            </wp:positionV>
            <wp:extent cx="7560310" cy="10692130"/>
            <wp:effectExtent l="0" t="0" r="2540" b="13970"/>
            <wp:wrapNone/>
            <wp:docPr id="2" name="图片 3"/>
            <wp:cNvGraphicFramePr/>
            <a:graphic xmlns:a="http://schemas.openxmlformats.org/drawingml/2006/main">
              <a:graphicData uri="http://schemas.openxmlformats.org/drawingml/2006/picture">
                <pic:pic xmlns:pic="http://schemas.openxmlformats.org/drawingml/2006/picture">
                  <pic:nvPicPr>
                    <pic:cNvPr id="2" name="图片 3"/>
                    <pic:cNvPicPr/>
                  </pic:nvPicPr>
                  <pic:blipFill>
                    <a:blip r:embed="rId21"/>
                    <a:stretch>
                      <a:fillRect/>
                    </a:stretch>
                  </pic:blipFill>
                  <pic:spPr>
                    <a:xfrm>
                      <a:off x="0" y="0"/>
                      <a:ext cx="7560310" cy="10692130"/>
                    </a:xfrm>
                    <a:prstGeom prst="rect">
                      <a:avLst/>
                    </a:prstGeom>
                    <a:noFill/>
                    <a:ln>
                      <a:noFill/>
                    </a:ln>
                  </pic:spPr>
                </pic:pic>
              </a:graphicData>
            </a:graphic>
          </wp:anchor>
        </w:drawing>
      </w:r>
    </w:p>
    <w:p w14:paraId="70E67395">
      <w:pPr>
        <w:ind w:firstLine="0" w:firstLineChars="0"/>
        <w:rPr>
          <w:rFonts w:hint="eastAsia" w:eastAsia="宋体"/>
          <w:lang w:eastAsia="zh-CN"/>
        </w:rPr>
        <w:sectPr>
          <w:pgSz w:w="11905" w:h="16840"/>
          <w:pgMar w:top="1418" w:right="1418" w:bottom="1418" w:left="1701" w:header="720" w:footer="720" w:gutter="0"/>
          <w:pgBorders>
            <w:top w:val="none" w:sz="0" w:space="0"/>
            <w:left w:val="none" w:sz="0" w:space="0"/>
            <w:bottom w:val="none" w:sz="0" w:space="0"/>
            <w:right w:val="none" w:sz="0" w:space="0"/>
          </w:pgBorders>
          <w:cols w:space="720" w:num="1"/>
        </w:sectPr>
      </w:pP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2"/>
      </w:tblGrid>
      <w:tr w14:paraId="4459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14:paraId="63335BE3">
            <w:pPr>
              <w:pStyle w:val="9"/>
              <w:widowControl w:val="0"/>
              <w:rPr>
                <w:rFonts w:hint="eastAsia" w:eastAsia="宋体"/>
                <w:lang w:eastAsia="zh-CN"/>
              </w:rPr>
            </w:pPr>
            <w:r>
              <w:rPr>
                <w:rFonts w:hint="eastAsia" w:eastAsia="宋体"/>
                <w:lang w:eastAsia="zh-CN"/>
              </w:rPr>
              <w:drawing>
                <wp:inline distT="0" distB="0" distL="114300" distR="114300">
                  <wp:extent cx="4316730" cy="8415655"/>
                  <wp:effectExtent l="0" t="0" r="7620" b="4445"/>
                  <wp:docPr id="17" name="图片 17" descr="6a2e25bc-2bd3-4231-98de-2984d0234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6a2e25bc-2bd3-4231-98de-2984d0234930"/>
                          <pic:cNvPicPr>
                            <a:picLocks noChangeAspect="1"/>
                          </pic:cNvPicPr>
                        </pic:nvPicPr>
                        <pic:blipFill>
                          <a:blip r:embed="rId22"/>
                          <a:stretch>
                            <a:fillRect/>
                          </a:stretch>
                        </pic:blipFill>
                        <pic:spPr>
                          <a:xfrm>
                            <a:off x="0" y="0"/>
                            <a:ext cx="4316730" cy="8415655"/>
                          </a:xfrm>
                          <a:prstGeom prst="rect">
                            <a:avLst/>
                          </a:prstGeom>
                        </pic:spPr>
                      </pic:pic>
                    </a:graphicData>
                  </a:graphic>
                </wp:inline>
              </w:drawing>
            </w:r>
          </w:p>
        </w:tc>
      </w:tr>
    </w:tbl>
    <w:p w14:paraId="2800FC8C">
      <w:pPr>
        <w:pStyle w:val="9"/>
        <w:sectPr>
          <w:pgSz w:w="11905" w:h="16840"/>
          <w:pgMar w:top="1418" w:right="1418" w:bottom="1418" w:left="1701" w:header="720" w:footer="720" w:gutter="0"/>
          <w:pgBorders>
            <w:top w:val="none" w:sz="0" w:space="0"/>
            <w:left w:val="none" w:sz="0" w:space="0"/>
            <w:bottom w:val="none" w:sz="0" w:space="0"/>
            <w:right w:val="none" w:sz="0" w:space="0"/>
          </w:pgBorders>
          <w:cols w:space="720" w:num="1"/>
        </w:sectPr>
      </w:pPr>
      <w:r>
        <w:rPr>
          <w:rFonts w:hint="eastAsia" w:ascii="宋体" w:hAnsi="宋体" w:cs="宋体"/>
          <w:b/>
          <w:bCs/>
          <w:sz w:val="28"/>
          <w:szCs w:val="28"/>
        </w:rPr>
        <w:t>编制单位在环评信用平台截图</w:t>
      </w:r>
    </w:p>
    <w:p w14:paraId="48E53E4E">
      <w:pPr>
        <w:ind w:firstLine="480"/>
      </w:pP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2"/>
      </w:tblGrid>
      <w:tr w14:paraId="569E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Pr>
          <w:p w14:paraId="1D942010">
            <w:pPr>
              <w:widowControl w:val="0"/>
              <w:ind w:firstLine="0" w:firstLineChars="0"/>
              <w:jc w:val="center"/>
              <w:rPr>
                <w:rFonts w:ascii="楷体_GB2312" w:eastAsia="楷体_GB2312"/>
                <w:sz w:val="36"/>
                <w:szCs w:val="36"/>
              </w:rPr>
            </w:pPr>
            <w:r>
              <w:drawing>
                <wp:inline distT="0" distB="0" distL="114300" distR="114300">
                  <wp:extent cx="5562600" cy="2971800"/>
                  <wp:effectExtent l="0" t="0" r="0" b="0"/>
                  <wp:docPr id="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pic:cNvPicPr>
                            <a:picLocks noChangeAspect="1"/>
                          </pic:cNvPicPr>
                        </pic:nvPicPr>
                        <pic:blipFill>
                          <a:blip r:embed="rId23"/>
                          <a:stretch>
                            <a:fillRect/>
                          </a:stretch>
                        </pic:blipFill>
                        <pic:spPr>
                          <a:xfrm>
                            <a:off x="0" y="0"/>
                            <a:ext cx="5562600" cy="2971800"/>
                          </a:xfrm>
                          <a:prstGeom prst="rect">
                            <a:avLst/>
                          </a:prstGeom>
                          <a:noFill/>
                          <a:ln>
                            <a:noFill/>
                          </a:ln>
                        </pic:spPr>
                      </pic:pic>
                    </a:graphicData>
                  </a:graphic>
                </wp:inline>
              </w:drawing>
            </w:r>
          </w:p>
        </w:tc>
      </w:tr>
    </w:tbl>
    <w:p w14:paraId="23E92A07">
      <w:pPr>
        <w:ind w:firstLine="562"/>
        <w:jc w:val="center"/>
        <w:rPr>
          <w:b/>
          <w:sz w:val="28"/>
          <w:szCs w:val="28"/>
        </w:rPr>
      </w:pPr>
      <w:r>
        <w:rPr>
          <w:b/>
          <w:sz w:val="28"/>
          <w:szCs w:val="28"/>
        </w:rPr>
        <w:t>编制主持人在环评信用平台截图</w:t>
      </w:r>
    </w:p>
    <w:p w14:paraId="42FE1F77">
      <w:pPr>
        <w:ind w:firstLine="562"/>
        <w:jc w:val="center"/>
        <w:rPr>
          <w:b/>
          <w:sz w:val="28"/>
          <w:szCs w:val="28"/>
        </w:rPr>
      </w:pP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2"/>
      </w:tblGrid>
      <w:tr w14:paraId="5B95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2A09F8AA">
            <w:pPr>
              <w:widowControl w:val="0"/>
              <w:ind w:firstLine="0" w:firstLineChars="0"/>
              <w:rPr>
                <w:b/>
                <w:sz w:val="28"/>
                <w:szCs w:val="28"/>
              </w:rPr>
            </w:pPr>
            <w:r>
              <w:drawing>
                <wp:inline distT="0" distB="0" distL="114300" distR="114300">
                  <wp:extent cx="5565775" cy="2880360"/>
                  <wp:effectExtent l="0" t="0" r="15875" b="15240"/>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pic:cNvPicPr>
                        </pic:nvPicPr>
                        <pic:blipFill>
                          <a:blip r:embed="rId24"/>
                          <a:stretch>
                            <a:fillRect/>
                          </a:stretch>
                        </pic:blipFill>
                        <pic:spPr>
                          <a:xfrm>
                            <a:off x="0" y="0"/>
                            <a:ext cx="5565775" cy="2880360"/>
                          </a:xfrm>
                          <a:prstGeom prst="rect">
                            <a:avLst/>
                          </a:prstGeom>
                          <a:noFill/>
                          <a:ln>
                            <a:noFill/>
                          </a:ln>
                        </pic:spPr>
                      </pic:pic>
                    </a:graphicData>
                  </a:graphic>
                </wp:inline>
              </w:drawing>
            </w:r>
          </w:p>
        </w:tc>
      </w:tr>
    </w:tbl>
    <w:p w14:paraId="0CFD4D63">
      <w:pPr>
        <w:widowControl w:val="0"/>
        <w:ind w:firstLine="0" w:firstLineChars="0"/>
        <w:jc w:val="center"/>
        <w:rPr>
          <w:rFonts w:hint="eastAsia"/>
          <w:b/>
          <w:sz w:val="28"/>
          <w:szCs w:val="28"/>
        </w:rPr>
        <w:sectPr>
          <w:pgSz w:w="11905" w:h="16840"/>
          <w:pgMar w:top="1418" w:right="1418" w:bottom="1418" w:left="1701" w:header="720" w:footer="720" w:gutter="0"/>
          <w:pgBorders>
            <w:top w:val="none" w:sz="0" w:space="0"/>
            <w:left w:val="none" w:sz="0" w:space="0"/>
            <w:bottom w:val="none" w:sz="0" w:space="0"/>
            <w:right w:val="none" w:sz="0" w:space="0"/>
          </w:pgBorders>
          <w:cols w:space="720" w:num="1"/>
        </w:sectPr>
      </w:pPr>
      <w:r>
        <w:rPr>
          <w:rFonts w:hint="eastAsia"/>
          <w:b/>
          <w:sz w:val="28"/>
          <w:szCs w:val="28"/>
        </w:rPr>
        <w:t>编制人员在环评信用平台截图</w:t>
      </w:r>
    </w:p>
    <w:p w14:paraId="6AD32CD9">
      <w:pPr>
        <w:widowControl w:val="0"/>
        <w:ind w:firstLine="0" w:firstLineChars="0"/>
        <w:jc w:val="center"/>
        <w:rPr>
          <w:rFonts w:hint="eastAsia" w:eastAsia="宋体"/>
          <w:b/>
          <w:sz w:val="28"/>
          <w:szCs w:val="28"/>
          <w:lang w:eastAsia="zh-CN"/>
        </w:rPr>
      </w:pPr>
      <w:r>
        <w:rPr>
          <w:rFonts w:hint="eastAsia" w:eastAsia="宋体"/>
          <w:b/>
          <w:sz w:val="28"/>
          <w:szCs w:val="28"/>
          <w:lang w:eastAsia="zh-CN"/>
        </w:rPr>
        <w:drawing>
          <wp:inline distT="0" distB="0" distL="114300" distR="114300">
            <wp:extent cx="5579110" cy="7889240"/>
            <wp:effectExtent l="0" t="0" r="2540" b="16510"/>
            <wp:docPr id="32" name="图片 32" descr="刘圣环评工程师证书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刘圣环评工程师证书_01"/>
                    <pic:cNvPicPr>
                      <a:picLocks noChangeAspect="1"/>
                    </pic:cNvPicPr>
                  </pic:nvPicPr>
                  <pic:blipFill>
                    <a:blip r:embed="rId25"/>
                    <a:stretch>
                      <a:fillRect/>
                    </a:stretch>
                  </pic:blipFill>
                  <pic:spPr>
                    <a:xfrm>
                      <a:off x="0" y="0"/>
                      <a:ext cx="5579110" cy="7889240"/>
                    </a:xfrm>
                    <a:prstGeom prst="rect">
                      <a:avLst/>
                    </a:prstGeom>
                  </pic:spPr>
                </pic:pic>
              </a:graphicData>
            </a:graphic>
          </wp:inline>
        </w:drawing>
      </w:r>
    </w:p>
    <w:p w14:paraId="6C8E97CB">
      <w:pPr>
        <w:ind w:firstLine="480"/>
        <w:sectPr>
          <w:pgSz w:w="11905" w:h="16840"/>
          <w:pgMar w:top="1418" w:right="1418" w:bottom="1418" w:left="1701" w:header="720" w:footer="720" w:gutter="0"/>
          <w:pgBorders>
            <w:top w:val="none" w:sz="0" w:space="0"/>
            <w:left w:val="none" w:sz="0" w:space="0"/>
            <w:bottom w:val="none" w:sz="0" w:space="0"/>
            <w:right w:val="none" w:sz="0" w:space="0"/>
          </w:pgBorders>
          <w:cols w:space="720" w:num="1"/>
        </w:sectPr>
      </w:pPr>
    </w:p>
    <w:p w14:paraId="45F93977">
      <w:pPr>
        <w:rPr>
          <w:rFonts w:hint="eastAsia"/>
        </w:rPr>
      </w:pPr>
      <w:r>
        <w:rPr>
          <w:rFonts w:hint="eastAsia"/>
        </w:rPr>
        <w:t>编制主持人社保证明</w:t>
      </w:r>
    </w:p>
    <w:p w14:paraId="2BE715E0">
      <w:pPr>
        <w:ind w:left="0" w:leftChars="0" w:right="0" w:rightChars="0" w:firstLine="0" w:firstLineChars="0"/>
        <w:jc w:val="center"/>
        <w:rPr>
          <w:rFonts w:hint="eastAsia" w:eastAsia="宋体"/>
          <w:lang w:eastAsia="zh-CN"/>
        </w:rPr>
      </w:pPr>
      <w:r>
        <w:rPr>
          <w:rFonts w:hint="eastAsia" w:eastAsia="宋体"/>
          <w:lang w:eastAsia="zh-CN"/>
        </w:rPr>
        <w:drawing>
          <wp:inline distT="0" distB="0" distL="114300" distR="114300">
            <wp:extent cx="5560695" cy="7870825"/>
            <wp:effectExtent l="0" t="0" r="1905" b="15875"/>
            <wp:docPr id="3" name="图片 3" descr="社保证明-10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社保证明-10_01"/>
                    <pic:cNvPicPr>
                      <a:picLocks noChangeAspect="1"/>
                    </pic:cNvPicPr>
                  </pic:nvPicPr>
                  <pic:blipFill>
                    <a:blip r:embed="rId26"/>
                    <a:stretch>
                      <a:fillRect/>
                    </a:stretch>
                  </pic:blipFill>
                  <pic:spPr>
                    <a:xfrm>
                      <a:off x="0" y="0"/>
                      <a:ext cx="5560695" cy="7870825"/>
                    </a:xfrm>
                    <a:prstGeom prst="rect">
                      <a:avLst/>
                    </a:prstGeom>
                  </pic:spPr>
                </pic:pic>
              </a:graphicData>
            </a:graphic>
          </wp:inline>
        </w:drawing>
      </w:r>
    </w:p>
    <w:p w14:paraId="051E7203">
      <w:pPr>
        <w:ind w:left="0" w:leftChars="0" w:right="0" w:rightChars="0" w:firstLine="0" w:firstLineChars="0"/>
        <w:jc w:val="center"/>
        <w:rPr>
          <w:rFonts w:hint="eastAsia" w:eastAsia="宋体"/>
          <w:lang w:eastAsia="zh-CN"/>
        </w:rPr>
        <w:sectPr>
          <w:pgSz w:w="11905" w:h="16840"/>
          <w:pgMar w:top="1418" w:right="1418" w:bottom="1418" w:left="1701" w:header="720" w:footer="720" w:gutter="0"/>
          <w:pgBorders>
            <w:top w:val="none" w:sz="0" w:space="0"/>
            <w:left w:val="none" w:sz="0" w:space="0"/>
            <w:bottom w:val="none" w:sz="0" w:space="0"/>
            <w:right w:val="none" w:sz="0" w:space="0"/>
          </w:pgBorders>
          <w:cols w:space="720" w:num="1"/>
        </w:sectPr>
      </w:pPr>
      <w:r>
        <w:rPr>
          <w:rFonts w:hint="eastAsia" w:eastAsia="宋体"/>
          <w:lang w:eastAsia="zh-CN"/>
        </w:rPr>
        <w:drawing>
          <wp:inline distT="0" distB="0" distL="114300" distR="114300">
            <wp:extent cx="5560695" cy="7870825"/>
            <wp:effectExtent l="0" t="0" r="1905" b="15875"/>
            <wp:docPr id="4" name="图片 4" descr="社保证明-10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社保证明-10_02"/>
                    <pic:cNvPicPr>
                      <a:picLocks noChangeAspect="1"/>
                    </pic:cNvPicPr>
                  </pic:nvPicPr>
                  <pic:blipFill>
                    <a:blip r:embed="rId27"/>
                    <a:stretch>
                      <a:fillRect/>
                    </a:stretch>
                  </pic:blipFill>
                  <pic:spPr>
                    <a:xfrm>
                      <a:off x="0" y="0"/>
                      <a:ext cx="5560695" cy="7870825"/>
                    </a:xfrm>
                    <a:prstGeom prst="rect">
                      <a:avLst/>
                    </a:prstGeom>
                  </pic:spPr>
                </pic:pic>
              </a:graphicData>
            </a:graphic>
          </wp:inline>
        </w:drawing>
      </w:r>
    </w:p>
    <w:p w14:paraId="092EE998">
      <w:pPr>
        <w:ind w:left="0" w:leftChars="0" w:right="0" w:rightChars="0" w:firstLine="0" w:firstLineChars="0"/>
        <w:jc w:val="both"/>
        <w:rPr>
          <w:rFonts w:hint="eastAsia"/>
          <w:lang w:val="en-US" w:eastAsia="zh-CN"/>
        </w:rPr>
      </w:pPr>
      <w:r>
        <w:rPr>
          <w:rFonts w:hint="eastAsia"/>
          <w:lang w:val="en-US" w:eastAsia="zh-CN"/>
        </w:rPr>
        <w:t>编制人员社保证明</w:t>
      </w:r>
    </w:p>
    <w:p w14:paraId="35C4C793">
      <w:pPr>
        <w:ind w:left="0" w:leftChars="0" w:right="0" w:rightChars="0" w:firstLine="0" w:firstLineChars="0"/>
        <w:jc w:val="both"/>
        <w:rPr>
          <w:rFonts w:hint="default"/>
          <w:lang w:val="en-US" w:eastAsia="zh-CN"/>
        </w:rPr>
      </w:pPr>
      <w:r>
        <w:rPr>
          <w:rFonts w:hint="default"/>
          <w:lang w:val="en-US" w:eastAsia="zh-CN"/>
        </w:rPr>
        <w:drawing>
          <wp:inline distT="0" distB="0" distL="114300" distR="114300">
            <wp:extent cx="5560695" cy="7870825"/>
            <wp:effectExtent l="0" t="0" r="1905" b="15875"/>
            <wp:docPr id="50" name="图片 50" descr="cc1f7adb3acb497da80640d2ec1edc380672c9a0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cc1f7adb3acb497da80640d2ec1edc380672c9a0_01"/>
                    <pic:cNvPicPr>
                      <a:picLocks noChangeAspect="1"/>
                    </pic:cNvPicPr>
                  </pic:nvPicPr>
                  <pic:blipFill>
                    <a:blip r:embed="rId28"/>
                    <a:stretch>
                      <a:fillRect/>
                    </a:stretch>
                  </pic:blipFill>
                  <pic:spPr>
                    <a:xfrm>
                      <a:off x="0" y="0"/>
                      <a:ext cx="5560695" cy="7870825"/>
                    </a:xfrm>
                    <a:prstGeom prst="rect">
                      <a:avLst/>
                    </a:prstGeom>
                  </pic:spPr>
                </pic:pic>
              </a:graphicData>
            </a:graphic>
          </wp:inline>
        </w:drawing>
      </w:r>
    </w:p>
    <w:p w14:paraId="3F0140D7">
      <w:pPr>
        <w:ind w:left="0" w:leftChars="0" w:right="0" w:rightChars="0" w:firstLine="0" w:firstLineChars="0"/>
        <w:jc w:val="both"/>
        <w:rPr>
          <w:rFonts w:hint="default"/>
          <w:lang w:val="en-US" w:eastAsia="zh-CN"/>
        </w:rPr>
      </w:pPr>
      <w:r>
        <w:rPr>
          <w:rFonts w:hint="default"/>
          <w:lang w:val="en-US" w:eastAsia="zh-CN"/>
        </w:rPr>
        <w:drawing>
          <wp:inline distT="0" distB="0" distL="114300" distR="114300">
            <wp:extent cx="5560695" cy="7870825"/>
            <wp:effectExtent l="0" t="0" r="1905" b="15875"/>
            <wp:docPr id="51" name="图片 51" descr="cc1f7adb3acb497da80640d2ec1edc380672c9a0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cc1f7adb3acb497da80640d2ec1edc380672c9a0_02"/>
                    <pic:cNvPicPr>
                      <a:picLocks noChangeAspect="1"/>
                    </pic:cNvPicPr>
                  </pic:nvPicPr>
                  <pic:blipFill>
                    <a:blip r:embed="rId29"/>
                    <a:stretch>
                      <a:fillRect/>
                    </a:stretch>
                  </pic:blipFill>
                  <pic:spPr>
                    <a:xfrm>
                      <a:off x="0" y="0"/>
                      <a:ext cx="5560695" cy="7870825"/>
                    </a:xfrm>
                    <a:prstGeom prst="rect">
                      <a:avLst/>
                    </a:prstGeom>
                  </pic:spPr>
                </pic:pic>
              </a:graphicData>
            </a:graphic>
          </wp:inline>
        </w:drawing>
      </w:r>
    </w:p>
    <w:p w14:paraId="7C088027">
      <w:pPr>
        <w:pStyle w:val="9"/>
        <w:rPr>
          <w:b/>
          <w:sz w:val="28"/>
          <w:szCs w:val="28"/>
        </w:rPr>
        <w:sectPr>
          <w:pgSz w:w="11905" w:h="16840"/>
          <w:pgMar w:top="1418" w:right="1418" w:bottom="1418" w:left="1701" w:header="720" w:footer="720" w:gutter="0"/>
          <w:pgBorders>
            <w:top w:val="none" w:sz="0" w:space="0"/>
            <w:left w:val="none" w:sz="0" w:space="0"/>
            <w:bottom w:val="none" w:sz="0" w:space="0"/>
            <w:right w:val="none" w:sz="0" w:space="0"/>
          </w:pgBorders>
          <w:cols w:space="720" w:num="1"/>
        </w:sectPr>
      </w:pPr>
    </w:p>
    <w:p w14:paraId="6D2958AB">
      <w:pPr>
        <w:ind w:firstLine="0" w:firstLineChars="0"/>
        <w:jc w:val="center"/>
        <w:rPr>
          <w:b/>
          <w:bCs/>
          <w:sz w:val="28"/>
          <w:szCs w:val="28"/>
        </w:rPr>
      </w:pPr>
      <w:bookmarkStart w:id="29" w:name="_Toc24382"/>
      <w:bookmarkStart w:id="30" w:name="_Toc10157"/>
      <w:bookmarkStart w:id="31" w:name="_Toc18539"/>
      <w:bookmarkStart w:id="32" w:name="_Toc15964"/>
      <w:bookmarkStart w:id="33" w:name="_Toc14937"/>
      <w:bookmarkStart w:id="34" w:name="_Toc11736"/>
      <w:bookmarkStart w:id="35" w:name="_Toc31067"/>
      <w:bookmarkStart w:id="36" w:name="_Toc26969"/>
      <w:bookmarkStart w:id="37" w:name="_Toc23542"/>
      <w:bookmarkStart w:id="38" w:name="_Toc6228"/>
      <w:bookmarkStart w:id="39" w:name="_Toc7898"/>
      <w:bookmarkStart w:id="40" w:name="_Toc28182"/>
      <w:bookmarkStart w:id="41" w:name="_Toc26767"/>
      <w:bookmarkStart w:id="42" w:name="_Toc11214"/>
      <w:bookmarkStart w:id="43" w:name="_Toc20995"/>
      <w:bookmarkStart w:id="44" w:name="_Toc24217"/>
      <w:bookmarkStart w:id="45" w:name="_Toc29601"/>
      <w:bookmarkStart w:id="46" w:name="_Toc4467"/>
      <w:bookmarkStart w:id="47" w:name="_Toc20542"/>
      <w:r>
        <w:rPr>
          <w:rFonts w:hint="eastAsia"/>
          <w:b/>
          <w:bCs/>
          <w:sz w:val="28"/>
          <w:szCs w:val="28"/>
          <w:lang w:val="en-US" w:eastAsia="zh-CN"/>
        </w:rPr>
        <w:t>华能湖南岳阳发电有限责任公司90万吨/年粉煤灰分级综合利用</w:t>
      </w:r>
      <w:r>
        <w:rPr>
          <w:rFonts w:hint="eastAsia"/>
          <w:b/>
          <w:bCs/>
          <w:sz w:val="28"/>
          <w:szCs w:val="28"/>
        </w:rPr>
        <w:t>项目</w:t>
      </w:r>
    </w:p>
    <w:p w14:paraId="663B85BD">
      <w:pPr>
        <w:ind w:firstLine="0" w:firstLineChars="0"/>
        <w:jc w:val="center"/>
        <w:rPr>
          <w:b/>
          <w:bCs/>
          <w:sz w:val="28"/>
          <w:szCs w:val="28"/>
        </w:rPr>
      </w:pPr>
      <w:r>
        <w:rPr>
          <w:b/>
          <w:bCs/>
          <w:sz w:val="28"/>
          <w:szCs w:val="28"/>
        </w:rPr>
        <w:t>环境影响报告表技术审查意见修改清单</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0"/>
        <w:gridCol w:w="4585"/>
        <w:gridCol w:w="3763"/>
      </w:tblGrid>
      <w:tr w14:paraId="24A0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1" w:type="pct"/>
            <w:vAlign w:val="center"/>
          </w:tcPr>
          <w:p w14:paraId="148699FA">
            <w:pPr>
              <w:widowControl w:val="0"/>
              <w:spacing w:line="240" w:lineRule="auto"/>
              <w:ind w:firstLine="0" w:firstLineChars="0"/>
              <w:jc w:val="center"/>
              <w:rPr>
                <w:b/>
                <w:bCs/>
                <w:kern w:val="2"/>
                <w:sz w:val="21"/>
                <w:szCs w:val="21"/>
              </w:rPr>
            </w:pPr>
            <w:r>
              <w:rPr>
                <w:b/>
                <w:bCs/>
                <w:kern w:val="2"/>
                <w:sz w:val="21"/>
                <w:szCs w:val="21"/>
              </w:rPr>
              <w:t>序号</w:t>
            </w:r>
          </w:p>
        </w:tc>
        <w:tc>
          <w:tcPr>
            <w:tcW w:w="2548" w:type="pct"/>
            <w:vAlign w:val="center"/>
          </w:tcPr>
          <w:p w14:paraId="0ACDB808">
            <w:pPr>
              <w:widowControl w:val="0"/>
              <w:spacing w:line="240" w:lineRule="auto"/>
              <w:ind w:firstLine="0" w:firstLineChars="0"/>
              <w:jc w:val="center"/>
              <w:rPr>
                <w:b/>
                <w:bCs/>
                <w:kern w:val="2"/>
                <w:sz w:val="21"/>
                <w:szCs w:val="21"/>
              </w:rPr>
            </w:pPr>
            <w:r>
              <w:rPr>
                <w:b/>
                <w:bCs/>
                <w:kern w:val="2"/>
                <w:sz w:val="21"/>
                <w:szCs w:val="21"/>
              </w:rPr>
              <w:t>评审意见</w:t>
            </w:r>
          </w:p>
        </w:tc>
        <w:tc>
          <w:tcPr>
            <w:tcW w:w="2091" w:type="pct"/>
            <w:vAlign w:val="center"/>
          </w:tcPr>
          <w:p w14:paraId="1119C4D4">
            <w:pPr>
              <w:widowControl w:val="0"/>
              <w:spacing w:line="240" w:lineRule="auto"/>
              <w:ind w:firstLine="0" w:firstLineChars="0"/>
              <w:jc w:val="center"/>
              <w:rPr>
                <w:b/>
                <w:bCs/>
                <w:kern w:val="2"/>
                <w:sz w:val="21"/>
                <w:szCs w:val="21"/>
              </w:rPr>
            </w:pPr>
            <w:r>
              <w:rPr>
                <w:b/>
                <w:bCs/>
                <w:kern w:val="2"/>
                <w:sz w:val="21"/>
                <w:szCs w:val="21"/>
              </w:rPr>
              <w:t>修改说明</w:t>
            </w:r>
          </w:p>
        </w:tc>
      </w:tr>
      <w:tr w14:paraId="1BE8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1" w:type="pct"/>
            <w:vAlign w:val="center"/>
          </w:tcPr>
          <w:p w14:paraId="455EF46B">
            <w:pPr>
              <w:widowControl w:val="0"/>
              <w:spacing w:line="240" w:lineRule="auto"/>
              <w:ind w:firstLine="0" w:firstLineChars="0"/>
              <w:jc w:val="center"/>
              <w:rPr>
                <w:kern w:val="2"/>
                <w:sz w:val="21"/>
                <w:szCs w:val="21"/>
              </w:rPr>
            </w:pPr>
            <w:r>
              <w:rPr>
                <w:kern w:val="2"/>
                <w:sz w:val="21"/>
                <w:szCs w:val="21"/>
              </w:rPr>
              <w:t>1</w:t>
            </w:r>
          </w:p>
        </w:tc>
        <w:tc>
          <w:tcPr>
            <w:tcW w:w="2548" w:type="pct"/>
            <w:vAlign w:val="center"/>
          </w:tcPr>
          <w:p w14:paraId="66D374F3">
            <w:pPr>
              <w:widowControl w:val="0"/>
              <w:spacing w:line="240" w:lineRule="auto"/>
              <w:ind w:firstLine="0" w:firstLineChars="0"/>
              <w:jc w:val="left"/>
              <w:rPr>
                <w:rFonts w:hint="default" w:eastAsia="宋体"/>
                <w:kern w:val="2"/>
                <w:sz w:val="21"/>
                <w:szCs w:val="21"/>
                <w:lang w:val="en-US" w:eastAsia="zh-CN"/>
              </w:rPr>
            </w:pPr>
            <w:r>
              <w:rPr>
                <w:rFonts w:hint="eastAsia"/>
                <w:kern w:val="2"/>
                <w:sz w:val="21"/>
                <w:szCs w:val="21"/>
                <w:lang w:val="en-US" w:eastAsia="zh-CN"/>
              </w:rPr>
              <w:t>完善项目与相关规划及产业政策符合性分析，补充与《湖南省大气污染防治攻坚三年行动实施方案（2026-2028年）》、《关于加强重点城市大气污染联防联控的若干措施》相符性分析。</w:t>
            </w:r>
          </w:p>
        </w:tc>
        <w:tc>
          <w:tcPr>
            <w:tcW w:w="2091" w:type="pct"/>
            <w:vAlign w:val="center"/>
          </w:tcPr>
          <w:p w14:paraId="593A8470">
            <w:pPr>
              <w:widowControl w:val="0"/>
              <w:spacing w:line="240" w:lineRule="auto"/>
              <w:ind w:firstLine="0" w:firstLineChars="0"/>
              <w:rPr>
                <w:kern w:val="2"/>
                <w:sz w:val="21"/>
                <w:szCs w:val="21"/>
              </w:rPr>
            </w:pPr>
            <w:r>
              <w:rPr>
                <w:rFonts w:hint="eastAsia"/>
                <w:kern w:val="2"/>
                <w:sz w:val="21"/>
                <w:szCs w:val="21"/>
              </w:rPr>
              <w:t>已</w:t>
            </w:r>
            <w:r>
              <w:rPr>
                <w:rFonts w:hint="eastAsia"/>
                <w:kern w:val="2"/>
                <w:sz w:val="21"/>
                <w:szCs w:val="21"/>
                <w:lang w:val="en-US" w:eastAsia="zh-CN"/>
              </w:rPr>
              <w:t>完善项目与相关规划及产业政策符合性分析，详见：P1-P5</w:t>
            </w:r>
            <w:r>
              <w:rPr>
                <w:rFonts w:hint="eastAsia"/>
                <w:kern w:val="2"/>
                <w:sz w:val="21"/>
                <w:szCs w:val="21"/>
              </w:rPr>
              <w:t>；</w:t>
            </w:r>
          </w:p>
          <w:p w14:paraId="34F7A7B0">
            <w:pPr>
              <w:widowControl w:val="0"/>
              <w:spacing w:line="240" w:lineRule="auto"/>
              <w:ind w:firstLine="0" w:firstLineChars="0"/>
              <w:rPr>
                <w:kern w:val="2"/>
                <w:sz w:val="21"/>
                <w:szCs w:val="21"/>
              </w:rPr>
            </w:pPr>
            <w:r>
              <w:rPr>
                <w:rFonts w:hint="eastAsia"/>
                <w:kern w:val="2"/>
                <w:sz w:val="21"/>
                <w:szCs w:val="21"/>
              </w:rPr>
              <w:t>已补充</w:t>
            </w:r>
            <w:r>
              <w:rPr>
                <w:rFonts w:hint="eastAsia"/>
                <w:kern w:val="2"/>
                <w:sz w:val="21"/>
                <w:szCs w:val="21"/>
                <w:lang w:val="en-US" w:eastAsia="zh-CN"/>
              </w:rPr>
              <w:t>《湖南省大气污染防治攻坚三年行动实施方案（2026-2028年）》、《关于加强重点城市大气污染联防联控的若干措施》相符性分析，详见P13-P17</w:t>
            </w:r>
            <w:r>
              <w:rPr>
                <w:rFonts w:hint="eastAsia"/>
                <w:kern w:val="2"/>
                <w:sz w:val="21"/>
                <w:szCs w:val="21"/>
              </w:rPr>
              <w:t>。</w:t>
            </w:r>
          </w:p>
        </w:tc>
      </w:tr>
      <w:tr w14:paraId="13594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361" w:type="pct"/>
            <w:vAlign w:val="center"/>
          </w:tcPr>
          <w:p w14:paraId="4D1120D5">
            <w:pPr>
              <w:widowControl w:val="0"/>
              <w:spacing w:line="240" w:lineRule="auto"/>
              <w:ind w:firstLine="0" w:firstLineChars="0"/>
              <w:jc w:val="center"/>
              <w:rPr>
                <w:kern w:val="2"/>
                <w:sz w:val="21"/>
                <w:szCs w:val="21"/>
              </w:rPr>
            </w:pPr>
            <w:r>
              <w:rPr>
                <w:kern w:val="2"/>
                <w:sz w:val="21"/>
                <w:szCs w:val="21"/>
              </w:rPr>
              <w:t>2</w:t>
            </w:r>
          </w:p>
        </w:tc>
        <w:tc>
          <w:tcPr>
            <w:tcW w:w="2548" w:type="pct"/>
            <w:vAlign w:val="center"/>
          </w:tcPr>
          <w:p w14:paraId="252562AC">
            <w:pPr>
              <w:widowControl w:val="0"/>
              <w:spacing w:line="240" w:lineRule="auto"/>
              <w:ind w:firstLine="0" w:firstLineChars="0"/>
              <w:jc w:val="left"/>
              <w:rPr>
                <w:rFonts w:hint="default" w:eastAsia="宋体"/>
                <w:kern w:val="2"/>
                <w:sz w:val="21"/>
                <w:szCs w:val="21"/>
                <w:lang w:val="en-US" w:eastAsia="zh-CN"/>
              </w:rPr>
            </w:pPr>
            <w:r>
              <w:rPr>
                <w:rFonts w:hint="eastAsia"/>
                <w:kern w:val="2"/>
                <w:sz w:val="21"/>
                <w:szCs w:val="21"/>
                <w:lang w:val="en-US" w:eastAsia="zh-CN"/>
              </w:rPr>
              <w:t>调查华能电厂一、二、三期灰库建设、运行情况，分析一、二、三期粉煤灰超细灰分选装置规模设置的合理性。</w:t>
            </w:r>
          </w:p>
        </w:tc>
        <w:tc>
          <w:tcPr>
            <w:tcW w:w="2091" w:type="pct"/>
            <w:vAlign w:val="center"/>
          </w:tcPr>
          <w:p w14:paraId="26472B6A">
            <w:pPr>
              <w:widowControl w:val="0"/>
              <w:spacing w:line="240" w:lineRule="auto"/>
              <w:ind w:firstLine="0" w:firstLineChars="0"/>
              <w:rPr>
                <w:kern w:val="2"/>
                <w:sz w:val="21"/>
                <w:szCs w:val="21"/>
              </w:rPr>
            </w:pPr>
            <w:r>
              <w:rPr>
                <w:rFonts w:hint="eastAsia"/>
                <w:kern w:val="2"/>
                <w:sz w:val="21"/>
                <w:szCs w:val="21"/>
              </w:rPr>
              <w:t>已</w:t>
            </w:r>
            <w:r>
              <w:rPr>
                <w:rFonts w:hint="eastAsia"/>
                <w:kern w:val="2"/>
                <w:sz w:val="21"/>
                <w:szCs w:val="21"/>
                <w:lang w:val="en-US" w:eastAsia="zh-CN"/>
              </w:rPr>
              <w:t>调查核实分选装置规模设置合理性</w:t>
            </w:r>
            <w:r>
              <w:rPr>
                <w:rFonts w:hint="eastAsia"/>
                <w:kern w:val="2"/>
                <w:sz w:val="21"/>
                <w:szCs w:val="21"/>
              </w:rPr>
              <w:t>，详见</w:t>
            </w:r>
            <w:r>
              <w:rPr>
                <w:rFonts w:hint="eastAsia"/>
                <w:kern w:val="2"/>
                <w:sz w:val="21"/>
                <w:szCs w:val="21"/>
                <w:lang w:val="en-US" w:eastAsia="zh-CN"/>
              </w:rPr>
              <w:t>P30、P43-P45</w:t>
            </w:r>
            <w:r>
              <w:rPr>
                <w:rFonts w:hint="eastAsia"/>
                <w:kern w:val="2"/>
                <w:sz w:val="21"/>
                <w:szCs w:val="21"/>
              </w:rPr>
              <w:t>。</w:t>
            </w:r>
          </w:p>
        </w:tc>
      </w:tr>
      <w:tr w14:paraId="0C28C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1" w:type="pct"/>
            <w:vAlign w:val="center"/>
          </w:tcPr>
          <w:p w14:paraId="64014ECC">
            <w:pPr>
              <w:widowControl w:val="0"/>
              <w:spacing w:line="240" w:lineRule="auto"/>
              <w:ind w:firstLine="0" w:firstLineChars="0"/>
              <w:jc w:val="center"/>
              <w:rPr>
                <w:kern w:val="2"/>
                <w:sz w:val="21"/>
                <w:szCs w:val="21"/>
              </w:rPr>
            </w:pPr>
            <w:r>
              <w:rPr>
                <w:kern w:val="2"/>
                <w:sz w:val="21"/>
                <w:szCs w:val="21"/>
              </w:rPr>
              <w:t>3</w:t>
            </w:r>
          </w:p>
        </w:tc>
        <w:tc>
          <w:tcPr>
            <w:tcW w:w="2548" w:type="pct"/>
            <w:vAlign w:val="center"/>
          </w:tcPr>
          <w:p w14:paraId="2138DEDF">
            <w:pPr>
              <w:widowControl w:val="0"/>
              <w:spacing w:line="240" w:lineRule="auto"/>
              <w:ind w:firstLine="0" w:firstLineChars="0"/>
              <w:jc w:val="left"/>
              <w:rPr>
                <w:rFonts w:hint="default" w:eastAsia="宋体"/>
                <w:kern w:val="2"/>
                <w:sz w:val="21"/>
                <w:szCs w:val="21"/>
                <w:lang w:val="en-US" w:eastAsia="zh-CN"/>
              </w:rPr>
            </w:pPr>
            <w:r>
              <w:rPr>
                <w:rFonts w:hint="eastAsia"/>
                <w:kern w:val="2"/>
                <w:sz w:val="21"/>
                <w:szCs w:val="21"/>
                <w:lang w:val="en-US" w:eastAsia="zh-CN"/>
              </w:rPr>
              <w:t>明确粉煤灰分级运行方式，细化产品方案；核实一、二、三期灰库新增设备清单并分析与分级规模的匹配性。</w:t>
            </w:r>
          </w:p>
        </w:tc>
        <w:tc>
          <w:tcPr>
            <w:tcW w:w="2091" w:type="pct"/>
            <w:vAlign w:val="center"/>
          </w:tcPr>
          <w:p w14:paraId="1DCAE708">
            <w:pPr>
              <w:widowControl w:val="0"/>
              <w:spacing w:line="240" w:lineRule="auto"/>
              <w:ind w:firstLine="0" w:firstLineChars="0"/>
              <w:rPr>
                <w:kern w:val="2"/>
                <w:sz w:val="21"/>
                <w:szCs w:val="21"/>
              </w:rPr>
            </w:pPr>
            <w:r>
              <w:rPr>
                <w:kern w:val="2"/>
                <w:sz w:val="21"/>
                <w:szCs w:val="21"/>
              </w:rPr>
              <w:t>已</w:t>
            </w:r>
            <w:r>
              <w:rPr>
                <w:rFonts w:hint="eastAsia"/>
                <w:kern w:val="2"/>
                <w:sz w:val="21"/>
                <w:szCs w:val="21"/>
                <w:lang w:val="en-US" w:eastAsia="zh-CN"/>
              </w:rPr>
              <w:t>细化产品方案，</w:t>
            </w:r>
            <w:r>
              <w:rPr>
                <w:rFonts w:hint="eastAsia"/>
                <w:kern w:val="2"/>
                <w:sz w:val="21"/>
                <w:szCs w:val="21"/>
              </w:rPr>
              <w:t>详见P</w:t>
            </w:r>
            <w:r>
              <w:rPr>
                <w:rFonts w:hint="eastAsia"/>
                <w:kern w:val="2"/>
                <w:sz w:val="21"/>
                <w:szCs w:val="21"/>
                <w:lang w:val="en-US" w:eastAsia="zh-CN"/>
              </w:rPr>
              <w:t>27</w:t>
            </w:r>
            <w:r>
              <w:rPr>
                <w:rFonts w:hint="eastAsia"/>
                <w:kern w:val="2"/>
                <w:sz w:val="21"/>
                <w:szCs w:val="21"/>
              </w:rPr>
              <w:t>；</w:t>
            </w:r>
          </w:p>
          <w:p w14:paraId="0C0DE577">
            <w:pPr>
              <w:widowControl w:val="0"/>
              <w:spacing w:line="240" w:lineRule="auto"/>
              <w:ind w:firstLine="0" w:firstLineChars="0"/>
              <w:rPr>
                <w:rFonts w:hint="eastAsia"/>
                <w:kern w:val="2"/>
                <w:sz w:val="21"/>
                <w:szCs w:val="21"/>
                <w:lang w:val="en-US" w:eastAsia="zh-CN"/>
              </w:rPr>
            </w:pPr>
            <w:r>
              <w:rPr>
                <w:rFonts w:hint="eastAsia"/>
                <w:kern w:val="2"/>
                <w:sz w:val="21"/>
                <w:szCs w:val="21"/>
              </w:rPr>
              <w:t>已</w:t>
            </w:r>
            <w:r>
              <w:rPr>
                <w:rFonts w:hint="eastAsia"/>
                <w:kern w:val="2"/>
                <w:sz w:val="21"/>
                <w:szCs w:val="21"/>
                <w:lang w:val="en-US" w:eastAsia="zh-CN"/>
              </w:rPr>
              <w:t>核实新增设备清单，</w:t>
            </w:r>
            <w:r>
              <w:rPr>
                <w:rFonts w:hint="eastAsia"/>
                <w:kern w:val="2"/>
                <w:sz w:val="21"/>
                <w:szCs w:val="21"/>
              </w:rPr>
              <w:t>详见</w:t>
            </w:r>
            <w:r>
              <w:rPr>
                <w:rFonts w:hint="eastAsia"/>
                <w:kern w:val="2"/>
                <w:sz w:val="21"/>
                <w:szCs w:val="21"/>
                <w:lang w:val="en-US" w:eastAsia="zh-CN"/>
              </w:rPr>
              <w:t>P28-P30；</w:t>
            </w:r>
          </w:p>
          <w:p w14:paraId="0FF65D67">
            <w:pPr>
              <w:widowControl w:val="0"/>
              <w:spacing w:line="240" w:lineRule="auto"/>
              <w:ind w:firstLine="0" w:firstLineChars="0"/>
              <w:rPr>
                <w:rFonts w:hint="default"/>
                <w:kern w:val="2"/>
                <w:sz w:val="21"/>
                <w:szCs w:val="21"/>
                <w:lang w:val="en-US" w:eastAsia="zh-CN"/>
              </w:rPr>
            </w:pPr>
            <w:r>
              <w:rPr>
                <w:rFonts w:hint="eastAsia"/>
                <w:kern w:val="2"/>
                <w:sz w:val="21"/>
                <w:szCs w:val="21"/>
                <w:lang w:val="en-US" w:eastAsia="zh-CN"/>
              </w:rPr>
              <w:t>已分析设备与分级规模的匹配性，详见P30。</w:t>
            </w:r>
          </w:p>
        </w:tc>
      </w:tr>
      <w:tr w14:paraId="2994C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1" w:type="pct"/>
            <w:vAlign w:val="center"/>
          </w:tcPr>
          <w:p w14:paraId="14182785">
            <w:pPr>
              <w:widowControl w:val="0"/>
              <w:spacing w:line="240" w:lineRule="auto"/>
              <w:ind w:firstLine="0" w:firstLineChars="0"/>
              <w:jc w:val="center"/>
              <w:rPr>
                <w:kern w:val="2"/>
                <w:sz w:val="21"/>
                <w:szCs w:val="21"/>
              </w:rPr>
            </w:pPr>
            <w:r>
              <w:rPr>
                <w:kern w:val="2"/>
                <w:sz w:val="21"/>
                <w:szCs w:val="21"/>
              </w:rPr>
              <w:t>4</w:t>
            </w:r>
          </w:p>
        </w:tc>
        <w:tc>
          <w:tcPr>
            <w:tcW w:w="2548" w:type="pct"/>
            <w:vAlign w:val="center"/>
          </w:tcPr>
          <w:p w14:paraId="7DB0D8DA">
            <w:pPr>
              <w:widowControl w:val="0"/>
              <w:spacing w:line="240" w:lineRule="auto"/>
              <w:ind w:firstLine="0" w:firstLineChars="0"/>
              <w:jc w:val="left"/>
              <w:rPr>
                <w:rFonts w:hint="default" w:eastAsia="宋体"/>
                <w:kern w:val="2"/>
                <w:sz w:val="21"/>
                <w:szCs w:val="21"/>
                <w:lang w:val="en-US" w:eastAsia="zh-CN"/>
              </w:rPr>
            </w:pPr>
            <w:r>
              <w:rPr>
                <w:rFonts w:hint="eastAsia"/>
                <w:kern w:val="2"/>
                <w:sz w:val="21"/>
                <w:szCs w:val="21"/>
                <w:lang w:val="en-US" w:eastAsia="zh-CN"/>
              </w:rPr>
              <w:t>强化现有工程一、二、三期灰库存在的环境问题调查，提出相应的整改措施。</w:t>
            </w:r>
          </w:p>
        </w:tc>
        <w:tc>
          <w:tcPr>
            <w:tcW w:w="2091" w:type="pct"/>
            <w:vAlign w:val="center"/>
          </w:tcPr>
          <w:p w14:paraId="047C249A">
            <w:pPr>
              <w:widowControl w:val="0"/>
              <w:spacing w:line="240" w:lineRule="auto"/>
              <w:ind w:firstLine="0" w:firstLineChars="0"/>
              <w:rPr>
                <w:kern w:val="2"/>
                <w:sz w:val="21"/>
                <w:szCs w:val="21"/>
              </w:rPr>
            </w:pPr>
            <w:r>
              <w:rPr>
                <w:kern w:val="2"/>
                <w:sz w:val="21"/>
                <w:szCs w:val="21"/>
              </w:rPr>
              <w:t>已</w:t>
            </w:r>
            <w:r>
              <w:rPr>
                <w:rFonts w:hint="eastAsia"/>
                <w:kern w:val="2"/>
                <w:sz w:val="21"/>
                <w:szCs w:val="21"/>
                <w:lang w:val="en-US" w:eastAsia="zh-CN"/>
              </w:rPr>
              <w:t>调查现有工程一、二、三期灰库存在的环境问题并提出相应的整改措施</w:t>
            </w:r>
            <w:r>
              <w:rPr>
                <w:rFonts w:hint="eastAsia"/>
                <w:kern w:val="2"/>
                <w:sz w:val="21"/>
                <w:szCs w:val="21"/>
              </w:rPr>
              <w:t>，详见</w:t>
            </w:r>
            <w:r>
              <w:rPr>
                <w:kern w:val="2"/>
                <w:sz w:val="21"/>
                <w:szCs w:val="21"/>
              </w:rPr>
              <w:t>P</w:t>
            </w:r>
            <w:r>
              <w:rPr>
                <w:rFonts w:hint="eastAsia"/>
                <w:kern w:val="2"/>
                <w:sz w:val="21"/>
                <w:szCs w:val="21"/>
                <w:lang w:val="en-US" w:eastAsia="zh-CN"/>
              </w:rPr>
              <w:t>45-P46</w:t>
            </w:r>
            <w:r>
              <w:rPr>
                <w:rFonts w:hint="eastAsia"/>
                <w:kern w:val="2"/>
                <w:sz w:val="21"/>
                <w:szCs w:val="21"/>
              </w:rPr>
              <w:t>。</w:t>
            </w:r>
          </w:p>
        </w:tc>
      </w:tr>
      <w:tr w14:paraId="2C1E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1" w:type="pct"/>
            <w:vAlign w:val="center"/>
          </w:tcPr>
          <w:p w14:paraId="4CF22415">
            <w:pPr>
              <w:widowControl w:val="0"/>
              <w:spacing w:line="240" w:lineRule="auto"/>
              <w:ind w:firstLine="0" w:firstLineChars="0"/>
              <w:jc w:val="center"/>
              <w:rPr>
                <w:kern w:val="2"/>
                <w:sz w:val="21"/>
                <w:szCs w:val="21"/>
              </w:rPr>
            </w:pPr>
            <w:r>
              <w:rPr>
                <w:rFonts w:hint="eastAsia"/>
                <w:kern w:val="2"/>
                <w:sz w:val="21"/>
                <w:szCs w:val="21"/>
              </w:rPr>
              <w:t>5</w:t>
            </w:r>
          </w:p>
        </w:tc>
        <w:tc>
          <w:tcPr>
            <w:tcW w:w="2548" w:type="pct"/>
            <w:vAlign w:val="center"/>
          </w:tcPr>
          <w:p w14:paraId="005F09BB">
            <w:pPr>
              <w:widowControl w:val="0"/>
              <w:spacing w:line="240" w:lineRule="auto"/>
              <w:ind w:firstLine="0" w:firstLineChars="0"/>
              <w:jc w:val="left"/>
              <w:rPr>
                <w:rFonts w:hint="default" w:eastAsia="宋体"/>
                <w:kern w:val="2"/>
                <w:sz w:val="21"/>
                <w:szCs w:val="21"/>
                <w:lang w:val="en-US" w:eastAsia="zh-CN"/>
              </w:rPr>
            </w:pPr>
            <w:r>
              <w:rPr>
                <w:rFonts w:hint="eastAsia"/>
                <w:kern w:val="2"/>
                <w:sz w:val="21"/>
                <w:szCs w:val="21"/>
                <w:lang w:val="en-US" w:eastAsia="zh-CN"/>
              </w:rPr>
              <w:t>细化技改后粉煤灰利用工艺流程图及流程说明，说明粉煤灰通过分级机分级过程是否涉及产排污；完善粉煤灰的输送和转运情况说明。</w:t>
            </w:r>
          </w:p>
        </w:tc>
        <w:tc>
          <w:tcPr>
            <w:tcW w:w="2091" w:type="pct"/>
            <w:vAlign w:val="center"/>
          </w:tcPr>
          <w:p w14:paraId="3E4304DE">
            <w:pPr>
              <w:widowControl w:val="0"/>
              <w:spacing w:line="240" w:lineRule="auto"/>
              <w:ind w:firstLine="0" w:firstLineChars="0"/>
              <w:rPr>
                <w:kern w:val="2"/>
                <w:sz w:val="21"/>
                <w:szCs w:val="21"/>
              </w:rPr>
            </w:pPr>
            <w:r>
              <w:rPr>
                <w:rFonts w:hint="eastAsia"/>
                <w:kern w:val="2"/>
                <w:sz w:val="21"/>
                <w:szCs w:val="21"/>
              </w:rPr>
              <w:t>已细化</w:t>
            </w:r>
            <w:r>
              <w:rPr>
                <w:rFonts w:hint="eastAsia"/>
                <w:kern w:val="2"/>
                <w:sz w:val="21"/>
                <w:szCs w:val="21"/>
                <w:lang w:val="en-US" w:eastAsia="zh-CN"/>
              </w:rPr>
              <w:t>技改后粉煤灰利用工艺流程图及流程说明，并说明分级过程是否涉及产排污，完善粉煤灰输送和转运情况说明</w:t>
            </w:r>
            <w:r>
              <w:rPr>
                <w:rFonts w:hint="eastAsia"/>
                <w:kern w:val="2"/>
                <w:sz w:val="21"/>
                <w:szCs w:val="21"/>
              </w:rPr>
              <w:t>，详见P</w:t>
            </w:r>
            <w:r>
              <w:rPr>
                <w:rFonts w:hint="eastAsia"/>
                <w:kern w:val="2"/>
                <w:sz w:val="21"/>
                <w:szCs w:val="21"/>
                <w:lang w:val="en-US" w:eastAsia="zh-CN"/>
              </w:rPr>
              <w:t>32</w:t>
            </w:r>
            <w:r>
              <w:rPr>
                <w:rFonts w:hint="eastAsia"/>
                <w:kern w:val="2"/>
                <w:sz w:val="21"/>
                <w:szCs w:val="21"/>
              </w:rPr>
              <w:t>-P</w:t>
            </w:r>
            <w:r>
              <w:rPr>
                <w:rFonts w:hint="eastAsia"/>
                <w:kern w:val="2"/>
                <w:sz w:val="21"/>
                <w:szCs w:val="21"/>
                <w:lang w:val="en-US" w:eastAsia="zh-CN"/>
              </w:rPr>
              <w:t>33</w:t>
            </w:r>
            <w:r>
              <w:rPr>
                <w:rFonts w:hint="eastAsia"/>
                <w:kern w:val="2"/>
                <w:sz w:val="21"/>
                <w:szCs w:val="21"/>
              </w:rPr>
              <w:t>。</w:t>
            </w:r>
          </w:p>
        </w:tc>
      </w:tr>
      <w:tr w14:paraId="1234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1" w:type="pct"/>
            <w:vAlign w:val="center"/>
          </w:tcPr>
          <w:p w14:paraId="2AF801D1">
            <w:pPr>
              <w:widowControl w:val="0"/>
              <w:spacing w:line="240" w:lineRule="auto"/>
              <w:ind w:firstLine="0" w:firstLineChars="0"/>
              <w:jc w:val="center"/>
              <w:rPr>
                <w:kern w:val="2"/>
                <w:sz w:val="21"/>
                <w:szCs w:val="21"/>
              </w:rPr>
            </w:pPr>
            <w:r>
              <w:rPr>
                <w:rFonts w:hint="eastAsia"/>
                <w:kern w:val="2"/>
                <w:sz w:val="21"/>
                <w:szCs w:val="21"/>
              </w:rPr>
              <w:t>6</w:t>
            </w:r>
          </w:p>
        </w:tc>
        <w:tc>
          <w:tcPr>
            <w:tcW w:w="2548" w:type="pct"/>
            <w:vAlign w:val="center"/>
          </w:tcPr>
          <w:p w14:paraId="076A8519">
            <w:pPr>
              <w:widowControl w:val="0"/>
              <w:spacing w:line="240" w:lineRule="auto"/>
              <w:ind w:firstLine="0" w:firstLineChars="0"/>
              <w:jc w:val="left"/>
              <w:rPr>
                <w:rFonts w:hint="default" w:eastAsia="宋体"/>
                <w:kern w:val="2"/>
                <w:sz w:val="21"/>
                <w:szCs w:val="21"/>
                <w:lang w:val="en-US" w:eastAsia="zh-CN"/>
              </w:rPr>
            </w:pPr>
            <w:r>
              <w:rPr>
                <w:rFonts w:hint="eastAsia"/>
                <w:kern w:val="2"/>
                <w:sz w:val="21"/>
                <w:szCs w:val="21"/>
                <w:lang w:val="en-US" w:eastAsia="zh-CN"/>
              </w:rPr>
              <w:t>结合生产工艺，进一步核实新增粉煤灰分级、旋风分离等工序是否产生粉尘，核实粉煤灰筒仓呼吸废气源强，核实其排放方式；强化粉尘爆炸风险防范措施。</w:t>
            </w:r>
          </w:p>
        </w:tc>
        <w:tc>
          <w:tcPr>
            <w:tcW w:w="2091" w:type="pct"/>
            <w:vAlign w:val="center"/>
          </w:tcPr>
          <w:p w14:paraId="1C80BF37">
            <w:pPr>
              <w:widowControl w:val="0"/>
              <w:spacing w:line="240" w:lineRule="auto"/>
              <w:ind w:firstLine="0" w:firstLineChars="0"/>
              <w:rPr>
                <w:rFonts w:hint="eastAsia"/>
                <w:kern w:val="2"/>
                <w:sz w:val="21"/>
                <w:szCs w:val="21"/>
              </w:rPr>
            </w:pPr>
            <w:r>
              <w:rPr>
                <w:rFonts w:hint="eastAsia"/>
                <w:kern w:val="2"/>
                <w:sz w:val="21"/>
                <w:szCs w:val="21"/>
              </w:rPr>
              <w:t>已</w:t>
            </w:r>
            <w:r>
              <w:rPr>
                <w:rFonts w:hint="eastAsia"/>
                <w:kern w:val="2"/>
                <w:sz w:val="21"/>
                <w:szCs w:val="21"/>
                <w:lang w:val="en-US" w:eastAsia="zh-CN"/>
              </w:rPr>
              <w:t>核实项目废气源强并核实其排放方式</w:t>
            </w:r>
            <w:r>
              <w:rPr>
                <w:rFonts w:hint="eastAsia"/>
                <w:kern w:val="2"/>
                <w:sz w:val="21"/>
                <w:szCs w:val="21"/>
              </w:rPr>
              <w:t>，详见P</w:t>
            </w:r>
            <w:r>
              <w:rPr>
                <w:rFonts w:hint="eastAsia"/>
                <w:kern w:val="2"/>
                <w:sz w:val="21"/>
                <w:szCs w:val="21"/>
                <w:lang w:val="en-US" w:eastAsia="zh-CN"/>
              </w:rPr>
              <w:t>51-P55；</w:t>
            </w:r>
          </w:p>
          <w:p w14:paraId="127639D9">
            <w:pPr>
              <w:widowControl w:val="0"/>
              <w:spacing w:line="240" w:lineRule="auto"/>
              <w:ind w:firstLine="0" w:firstLineChars="0"/>
              <w:rPr>
                <w:rFonts w:hint="default" w:eastAsia="宋体"/>
                <w:kern w:val="2"/>
                <w:sz w:val="21"/>
                <w:szCs w:val="21"/>
                <w:lang w:val="en-US" w:eastAsia="zh-CN"/>
              </w:rPr>
            </w:pPr>
            <w:r>
              <w:rPr>
                <w:rFonts w:hint="eastAsia"/>
                <w:kern w:val="2"/>
                <w:sz w:val="21"/>
                <w:szCs w:val="21"/>
                <w:lang w:val="en-US" w:eastAsia="zh-CN"/>
              </w:rPr>
              <w:t>已强化粉尘爆炸风险防范措施，详见P63-P64。</w:t>
            </w:r>
          </w:p>
        </w:tc>
      </w:tr>
      <w:tr w14:paraId="1A6E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1" w:type="pct"/>
            <w:vAlign w:val="center"/>
          </w:tcPr>
          <w:p w14:paraId="7E0BAD7D">
            <w:pPr>
              <w:widowControl w:val="0"/>
              <w:spacing w:line="240" w:lineRule="auto"/>
              <w:ind w:firstLine="0" w:firstLineChars="0"/>
              <w:jc w:val="center"/>
              <w:rPr>
                <w:kern w:val="2"/>
                <w:sz w:val="21"/>
                <w:szCs w:val="21"/>
              </w:rPr>
            </w:pPr>
            <w:r>
              <w:rPr>
                <w:rFonts w:hint="eastAsia"/>
                <w:kern w:val="2"/>
                <w:sz w:val="21"/>
                <w:szCs w:val="21"/>
              </w:rPr>
              <w:t>7</w:t>
            </w:r>
          </w:p>
        </w:tc>
        <w:tc>
          <w:tcPr>
            <w:tcW w:w="2548" w:type="pct"/>
            <w:vAlign w:val="center"/>
          </w:tcPr>
          <w:p w14:paraId="210B99A3">
            <w:pPr>
              <w:widowControl w:val="0"/>
              <w:spacing w:line="240" w:lineRule="auto"/>
              <w:ind w:firstLine="0" w:firstLineChars="0"/>
              <w:jc w:val="left"/>
              <w:rPr>
                <w:rFonts w:hint="default" w:eastAsia="宋体"/>
                <w:kern w:val="2"/>
                <w:sz w:val="21"/>
                <w:szCs w:val="21"/>
                <w:lang w:val="en-US" w:eastAsia="zh-CN"/>
              </w:rPr>
            </w:pPr>
            <w:r>
              <w:rPr>
                <w:rFonts w:hint="eastAsia"/>
                <w:kern w:val="2"/>
                <w:sz w:val="21"/>
                <w:szCs w:val="21"/>
                <w:lang w:val="en-US" w:eastAsia="zh-CN"/>
              </w:rPr>
              <w:t>完善废气监测计划，核实新增环保投资，完善环境保护措施监督检查清单，核实建设项目污染物排放量汇总表。</w:t>
            </w:r>
          </w:p>
        </w:tc>
        <w:tc>
          <w:tcPr>
            <w:tcW w:w="2091" w:type="pct"/>
            <w:vAlign w:val="center"/>
          </w:tcPr>
          <w:p w14:paraId="5511B431">
            <w:pPr>
              <w:widowControl w:val="0"/>
              <w:spacing w:line="240" w:lineRule="auto"/>
              <w:ind w:firstLine="0" w:firstLineChars="0"/>
              <w:rPr>
                <w:kern w:val="2"/>
                <w:sz w:val="21"/>
                <w:szCs w:val="21"/>
              </w:rPr>
            </w:pPr>
            <w:r>
              <w:rPr>
                <w:rFonts w:hint="eastAsia"/>
                <w:kern w:val="2"/>
                <w:sz w:val="21"/>
                <w:szCs w:val="21"/>
              </w:rPr>
              <w:t>已完善</w:t>
            </w:r>
            <w:r>
              <w:rPr>
                <w:rFonts w:hint="eastAsia"/>
                <w:kern w:val="2"/>
                <w:sz w:val="21"/>
                <w:szCs w:val="21"/>
                <w:lang w:val="en-US" w:eastAsia="zh-CN"/>
              </w:rPr>
              <w:t>废气监测计划，详见</w:t>
            </w:r>
            <w:r>
              <w:rPr>
                <w:rFonts w:hint="eastAsia"/>
                <w:kern w:val="2"/>
                <w:sz w:val="21"/>
                <w:szCs w:val="21"/>
              </w:rPr>
              <w:t>P</w:t>
            </w:r>
            <w:r>
              <w:rPr>
                <w:rFonts w:hint="eastAsia"/>
                <w:kern w:val="2"/>
                <w:sz w:val="21"/>
                <w:szCs w:val="21"/>
                <w:lang w:val="en-US" w:eastAsia="zh-CN"/>
              </w:rPr>
              <w:t>58</w:t>
            </w:r>
            <w:r>
              <w:rPr>
                <w:rFonts w:hint="eastAsia"/>
                <w:kern w:val="2"/>
                <w:sz w:val="21"/>
                <w:szCs w:val="21"/>
              </w:rPr>
              <w:t>；</w:t>
            </w:r>
          </w:p>
          <w:p w14:paraId="233A9B90">
            <w:pPr>
              <w:widowControl w:val="0"/>
              <w:spacing w:line="240" w:lineRule="auto"/>
              <w:ind w:firstLine="0" w:firstLineChars="0"/>
              <w:rPr>
                <w:rFonts w:hint="eastAsia"/>
                <w:kern w:val="2"/>
                <w:sz w:val="21"/>
                <w:szCs w:val="21"/>
              </w:rPr>
            </w:pPr>
            <w:r>
              <w:rPr>
                <w:rFonts w:hint="eastAsia"/>
                <w:kern w:val="2"/>
                <w:sz w:val="21"/>
                <w:szCs w:val="21"/>
              </w:rPr>
              <w:t>已</w:t>
            </w:r>
            <w:r>
              <w:rPr>
                <w:rFonts w:hint="eastAsia"/>
                <w:kern w:val="2"/>
                <w:sz w:val="21"/>
                <w:szCs w:val="21"/>
                <w:lang w:val="en-US" w:eastAsia="zh-CN"/>
              </w:rPr>
              <w:t>核实新增环保投资</w:t>
            </w:r>
            <w:r>
              <w:rPr>
                <w:rFonts w:hint="eastAsia"/>
                <w:kern w:val="2"/>
                <w:sz w:val="21"/>
                <w:szCs w:val="21"/>
              </w:rPr>
              <w:t>，详见P</w:t>
            </w:r>
            <w:r>
              <w:rPr>
                <w:rFonts w:hint="eastAsia"/>
                <w:kern w:val="2"/>
                <w:sz w:val="21"/>
                <w:szCs w:val="21"/>
                <w:lang w:val="en-US" w:eastAsia="zh-CN"/>
              </w:rPr>
              <w:t>64-P65</w:t>
            </w:r>
            <w:r>
              <w:rPr>
                <w:rFonts w:hint="eastAsia"/>
                <w:kern w:val="2"/>
                <w:sz w:val="21"/>
                <w:szCs w:val="21"/>
              </w:rPr>
              <w:t>；</w:t>
            </w:r>
          </w:p>
          <w:p w14:paraId="43E4D4F7">
            <w:pPr>
              <w:widowControl w:val="0"/>
              <w:spacing w:line="240" w:lineRule="auto"/>
              <w:ind w:firstLine="0" w:firstLineChars="0"/>
              <w:rPr>
                <w:rFonts w:hint="eastAsia"/>
                <w:kern w:val="2"/>
                <w:sz w:val="21"/>
                <w:szCs w:val="21"/>
                <w:lang w:val="en-US" w:eastAsia="zh-CN"/>
              </w:rPr>
            </w:pPr>
            <w:r>
              <w:rPr>
                <w:rFonts w:hint="eastAsia"/>
                <w:kern w:val="2"/>
                <w:sz w:val="21"/>
                <w:szCs w:val="21"/>
                <w:lang w:val="en-US" w:eastAsia="zh-CN"/>
              </w:rPr>
              <w:t>已完善环境保护措施监督检查清单，详见P66；</w:t>
            </w:r>
          </w:p>
          <w:p w14:paraId="0A73A824">
            <w:pPr>
              <w:widowControl w:val="0"/>
              <w:spacing w:line="240" w:lineRule="auto"/>
              <w:ind w:firstLine="0" w:firstLineChars="0"/>
              <w:rPr>
                <w:rFonts w:hint="default"/>
                <w:kern w:val="2"/>
                <w:sz w:val="21"/>
                <w:szCs w:val="21"/>
                <w:lang w:val="en-US" w:eastAsia="zh-CN"/>
              </w:rPr>
            </w:pPr>
            <w:r>
              <w:rPr>
                <w:rFonts w:hint="eastAsia"/>
                <w:kern w:val="2"/>
                <w:sz w:val="21"/>
                <w:szCs w:val="21"/>
                <w:lang w:val="en-US" w:eastAsia="zh-CN"/>
              </w:rPr>
              <w:t>已核实建设项目污染物排放量汇总表，详见P68。</w:t>
            </w:r>
          </w:p>
        </w:tc>
      </w:tr>
      <w:tr w14:paraId="01AD3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1" w:type="pct"/>
            <w:vAlign w:val="center"/>
          </w:tcPr>
          <w:p w14:paraId="1096934B">
            <w:pPr>
              <w:widowControl w:val="0"/>
              <w:spacing w:line="240" w:lineRule="auto"/>
              <w:ind w:firstLine="0" w:firstLineChars="0"/>
              <w:jc w:val="center"/>
              <w:rPr>
                <w:rFonts w:hint="eastAsia" w:eastAsia="宋体"/>
                <w:kern w:val="2"/>
                <w:sz w:val="21"/>
                <w:szCs w:val="21"/>
                <w:lang w:val="en-US" w:eastAsia="zh-CN"/>
              </w:rPr>
            </w:pPr>
            <w:r>
              <w:rPr>
                <w:rFonts w:hint="eastAsia"/>
                <w:kern w:val="2"/>
                <w:sz w:val="21"/>
                <w:szCs w:val="21"/>
                <w:lang w:val="en-US" w:eastAsia="zh-CN"/>
              </w:rPr>
              <w:t>8</w:t>
            </w:r>
          </w:p>
        </w:tc>
        <w:tc>
          <w:tcPr>
            <w:tcW w:w="2548" w:type="pct"/>
            <w:vAlign w:val="center"/>
          </w:tcPr>
          <w:p w14:paraId="2DF1F7B8">
            <w:pPr>
              <w:widowControl w:val="0"/>
              <w:spacing w:line="240" w:lineRule="auto"/>
              <w:ind w:firstLine="0" w:firstLineChars="0"/>
              <w:jc w:val="left"/>
              <w:rPr>
                <w:rFonts w:hint="default"/>
                <w:kern w:val="2"/>
                <w:sz w:val="21"/>
                <w:szCs w:val="21"/>
                <w:lang w:val="en-US" w:eastAsia="zh-CN"/>
              </w:rPr>
            </w:pPr>
            <w:r>
              <w:rPr>
                <w:rFonts w:hint="eastAsia"/>
                <w:kern w:val="2"/>
                <w:sz w:val="21"/>
                <w:szCs w:val="21"/>
                <w:lang w:val="en-US" w:eastAsia="zh-CN"/>
              </w:rPr>
              <w:t>完善本项目平面布置图等图件及粉煤灰销售合同等附件。</w:t>
            </w:r>
          </w:p>
        </w:tc>
        <w:tc>
          <w:tcPr>
            <w:tcW w:w="2091" w:type="pct"/>
            <w:vAlign w:val="center"/>
          </w:tcPr>
          <w:p w14:paraId="7095B625">
            <w:pPr>
              <w:widowControl w:val="0"/>
              <w:spacing w:line="240" w:lineRule="auto"/>
              <w:ind w:firstLine="0" w:firstLineChars="0"/>
              <w:rPr>
                <w:rFonts w:hint="eastAsia"/>
                <w:kern w:val="2"/>
                <w:sz w:val="21"/>
                <w:szCs w:val="21"/>
                <w:lang w:val="en-US" w:eastAsia="zh-CN"/>
              </w:rPr>
            </w:pPr>
            <w:r>
              <w:rPr>
                <w:rFonts w:hint="eastAsia"/>
                <w:kern w:val="2"/>
                <w:sz w:val="21"/>
                <w:szCs w:val="21"/>
                <w:lang w:val="en-US" w:eastAsia="zh-CN"/>
              </w:rPr>
              <w:t>已完善项目平面布置图，详见附图4；</w:t>
            </w:r>
          </w:p>
          <w:p w14:paraId="601614B6">
            <w:pPr>
              <w:widowControl w:val="0"/>
              <w:spacing w:line="240" w:lineRule="auto"/>
              <w:ind w:firstLine="0" w:firstLineChars="0"/>
              <w:rPr>
                <w:rFonts w:hint="default"/>
                <w:kern w:val="2"/>
                <w:sz w:val="21"/>
                <w:szCs w:val="21"/>
                <w:lang w:val="en-US" w:eastAsia="zh-CN"/>
              </w:rPr>
            </w:pPr>
            <w:r>
              <w:rPr>
                <w:rFonts w:hint="eastAsia"/>
                <w:kern w:val="2"/>
                <w:sz w:val="21"/>
                <w:szCs w:val="21"/>
                <w:lang w:val="en-US" w:eastAsia="zh-CN"/>
              </w:rPr>
              <w:t>已补充粉煤灰销售合同，详见附件8。</w:t>
            </w:r>
          </w:p>
        </w:tc>
      </w:tr>
    </w:tbl>
    <w:p w14:paraId="07DCFB96">
      <w:pPr>
        <w:ind w:firstLine="0" w:firstLineChars="0"/>
        <w:jc w:val="center"/>
        <w:rPr>
          <w:rStyle w:val="65"/>
        </w:rPr>
        <w:sectPr>
          <w:headerReference r:id="rId11" w:type="default"/>
          <w:footerReference r:id="rId12" w:type="default"/>
          <w:pgSz w:w="11906" w:h="16838"/>
          <w:pgMar w:top="1418" w:right="1418" w:bottom="1418" w:left="1701" w:header="851" w:footer="992" w:gutter="0"/>
          <w:pgBorders>
            <w:top w:val="none" w:sz="0" w:space="0"/>
            <w:left w:val="none" w:sz="0" w:space="0"/>
            <w:bottom w:val="none" w:sz="0" w:space="0"/>
            <w:right w:val="none" w:sz="0" w:space="0"/>
          </w:pgBorders>
          <w:pgNumType w:fmt="upperRoman" w:start="1"/>
          <w:cols w:space="720" w:num="1"/>
          <w:docGrid w:linePitch="326" w:charSpace="0"/>
        </w:sectPr>
      </w:pPr>
    </w:p>
    <w:p w14:paraId="677FEBBD">
      <w:pPr>
        <w:ind w:firstLine="0" w:firstLineChars="0"/>
        <w:jc w:val="center"/>
        <w:rPr>
          <w:rStyle w:val="65"/>
        </w:rPr>
      </w:pPr>
      <w:bookmarkStart w:id="48" w:name="_Toc17376"/>
      <w:r>
        <w:rPr>
          <w:rStyle w:val="65"/>
        </w:rPr>
        <w:t>目</w:t>
      </w:r>
      <w:r>
        <w:rPr>
          <w:rStyle w:val="65"/>
          <w:rFonts w:hint="eastAsia" w:eastAsia="黑体"/>
        </w:rPr>
        <w:t xml:space="preserve">  </w:t>
      </w:r>
      <w:r>
        <w:rPr>
          <w:rStyle w:val="65"/>
        </w:rPr>
        <w:t>录</w:t>
      </w:r>
    </w:p>
    <w:bookmarkEnd w:id="29"/>
    <w:bookmarkEnd w:id="30"/>
    <w:bookmarkEnd w:id="31"/>
    <w:bookmarkEnd w:id="32"/>
    <w:bookmarkEnd w:id="33"/>
    <w:bookmarkEnd w:id="34"/>
    <w:bookmarkEnd w:id="35"/>
    <w:bookmarkEnd w:id="36"/>
    <w:bookmarkEnd w:id="37"/>
    <w:bookmarkEnd w:id="38"/>
    <w:bookmarkEnd w:id="39"/>
    <w:bookmarkEnd w:id="48"/>
    <w:p w14:paraId="438226F2">
      <w:pPr>
        <w:pStyle w:val="20"/>
        <w:tabs>
          <w:tab w:val="right" w:leader="dot" w:pos="8787"/>
        </w:tabs>
        <w:rPr>
          <w:rFonts w:hint="default" w:ascii="Times New Roman" w:hAnsi="Times New Roman" w:cs="Times New Roman"/>
        </w:rPr>
      </w:pPr>
      <w:r>
        <w:fldChar w:fldCharType="begin"/>
      </w:r>
      <w:r>
        <w:instrText xml:space="preserve">TOC \o "1-1" \h \u </w:instrText>
      </w:r>
      <w: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_Toc17793 </w:instrText>
      </w:r>
      <w:r>
        <w:rPr>
          <w:rFonts w:hint="default" w:ascii="Times New Roman" w:hAnsi="Times New Roman" w:cs="Times New Roman"/>
        </w:rPr>
        <w:fldChar w:fldCharType="separate"/>
      </w:r>
      <w:r>
        <w:rPr>
          <w:rFonts w:hint="default" w:ascii="Times New Roman" w:hAnsi="Times New Roman" w:cs="Times New Roman"/>
        </w:rPr>
        <w:t>一、建设项目基本情况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_Toc17793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14:paraId="2A12FEE4">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_Toc25613 </w:instrText>
      </w:r>
      <w:r>
        <w:rPr>
          <w:rFonts w:hint="default" w:ascii="Times New Roman" w:hAnsi="Times New Roman" w:cs="Times New Roman"/>
        </w:rPr>
        <w:fldChar w:fldCharType="separate"/>
      </w:r>
      <w:r>
        <w:rPr>
          <w:rFonts w:hint="default" w:ascii="Times New Roman" w:hAnsi="Times New Roman" w:cs="Times New Roman"/>
          <w:snapToGrid w:val="0"/>
        </w:rPr>
        <w:t>二、建设项目工程分析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_Toc25613 \h </w:instrText>
      </w:r>
      <w:r>
        <w:rPr>
          <w:rFonts w:hint="default" w:ascii="Times New Roman" w:hAnsi="Times New Roman" w:cs="Times New Roman"/>
        </w:rPr>
        <w:fldChar w:fldCharType="separate"/>
      </w:r>
      <w:r>
        <w:rPr>
          <w:rFonts w:hint="default" w:ascii="Times New Roman" w:hAnsi="Times New Roman" w:cs="Times New Roman"/>
        </w:rPr>
        <w:t>24</w:t>
      </w:r>
      <w:r>
        <w:rPr>
          <w:rFonts w:hint="default" w:ascii="Times New Roman" w:hAnsi="Times New Roman" w:cs="Times New Roman"/>
        </w:rPr>
        <w:fldChar w:fldCharType="end"/>
      </w:r>
      <w:r>
        <w:rPr>
          <w:rFonts w:hint="default" w:ascii="Times New Roman" w:hAnsi="Times New Roman" w:cs="Times New Roman"/>
        </w:rPr>
        <w:fldChar w:fldCharType="end"/>
      </w:r>
    </w:p>
    <w:p w14:paraId="032078EC">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_Toc9357 </w:instrText>
      </w:r>
      <w:r>
        <w:rPr>
          <w:rFonts w:hint="default" w:ascii="Times New Roman" w:hAnsi="Times New Roman" w:cs="Times New Roman"/>
        </w:rPr>
        <w:fldChar w:fldCharType="separate"/>
      </w:r>
      <w:r>
        <w:rPr>
          <w:rFonts w:hint="default" w:ascii="Times New Roman" w:hAnsi="Times New Roman" w:cs="Times New Roman"/>
          <w:snapToGrid w:val="0"/>
        </w:rPr>
        <w:t>三、区域环境质量现状、环境保护目标及评价标准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_Toc9357 \h </w:instrText>
      </w:r>
      <w:r>
        <w:rPr>
          <w:rFonts w:hint="default" w:ascii="Times New Roman" w:hAnsi="Times New Roman" w:cs="Times New Roman"/>
        </w:rPr>
        <w:fldChar w:fldCharType="separate"/>
      </w:r>
      <w:r>
        <w:rPr>
          <w:rFonts w:hint="default" w:ascii="Times New Roman" w:hAnsi="Times New Roman" w:cs="Times New Roman"/>
        </w:rPr>
        <w:t>47</w:t>
      </w:r>
      <w:r>
        <w:rPr>
          <w:rFonts w:hint="default" w:ascii="Times New Roman" w:hAnsi="Times New Roman" w:cs="Times New Roman"/>
        </w:rPr>
        <w:fldChar w:fldCharType="end"/>
      </w:r>
      <w:r>
        <w:rPr>
          <w:rFonts w:hint="default" w:ascii="Times New Roman" w:hAnsi="Times New Roman" w:cs="Times New Roman"/>
        </w:rPr>
        <w:fldChar w:fldCharType="end"/>
      </w:r>
    </w:p>
    <w:p w14:paraId="797CAD64">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_Toc15188 </w:instrText>
      </w:r>
      <w:r>
        <w:rPr>
          <w:rFonts w:hint="default" w:ascii="Times New Roman" w:hAnsi="Times New Roman" w:cs="Times New Roman"/>
        </w:rPr>
        <w:fldChar w:fldCharType="separate"/>
      </w:r>
      <w:r>
        <w:rPr>
          <w:rFonts w:hint="default" w:ascii="Times New Roman" w:hAnsi="Times New Roman" w:cs="Times New Roman"/>
          <w:snapToGrid w:val="0"/>
        </w:rPr>
        <w:t>四、主要环境影响和保护措施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_Toc15188 \h </w:instrText>
      </w:r>
      <w:r>
        <w:rPr>
          <w:rFonts w:hint="default" w:ascii="Times New Roman" w:hAnsi="Times New Roman" w:cs="Times New Roman"/>
        </w:rPr>
        <w:fldChar w:fldCharType="separate"/>
      </w:r>
      <w:r>
        <w:rPr>
          <w:rFonts w:hint="default" w:ascii="Times New Roman" w:hAnsi="Times New Roman" w:cs="Times New Roman"/>
        </w:rPr>
        <w:t>51</w:t>
      </w:r>
      <w:r>
        <w:rPr>
          <w:rFonts w:hint="default" w:ascii="Times New Roman" w:hAnsi="Times New Roman" w:cs="Times New Roman"/>
        </w:rPr>
        <w:fldChar w:fldCharType="end"/>
      </w:r>
      <w:r>
        <w:rPr>
          <w:rFonts w:hint="default" w:ascii="Times New Roman" w:hAnsi="Times New Roman" w:cs="Times New Roman"/>
        </w:rPr>
        <w:fldChar w:fldCharType="end"/>
      </w:r>
    </w:p>
    <w:p w14:paraId="53471B8D">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_Toc10269 </w:instrText>
      </w:r>
      <w:r>
        <w:rPr>
          <w:rFonts w:hint="default" w:ascii="Times New Roman" w:hAnsi="Times New Roman" w:cs="Times New Roman"/>
        </w:rPr>
        <w:fldChar w:fldCharType="separate"/>
      </w:r>
      <w:r>
        <w:rPr>
          <w:rFonts w:hint="default" w:ascii="Times New Roman" w:hAnsi="Times New Roman" w:cs="Times New Roman"/>
          <w:snapToGrid w:val="0"/>
        </w:rPr>
        <w:t>五、环境</w:t>
      </w:r>
      <w:r>
        <w:rPr>
          <w:rFonts w:hint="default" w:ascii="Times New Roman" w:hAnsi="Times New Roman" w:cs="Times New Roman"/>
        </w:rPr>
        <w:t>保护</w:t>
      </w:r>
      <w:r>
        <w:rPr>
          <w:rFonts w:hint="default" w:ascii="Times New Roman" w:hAnsi="Times New Roman" w:cs="Times New Roman"/>
          <w:snapToGrid w:val="0"/>
        </w:rPr>
        <w:t>措施监督检查清单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_Toc10269 \h </w:instrText>
      </w:r>
      <w:r>
        <w:rPr>
          <w:rFonts w:hint="default" w:ascii="Times New Roman" w:hAnsi="Times New Roman" w:cs="Times New Roman"/>
        </w:rPr>
        <w:fldChar w:fldCharType="separate"/>
      </w:r>
      <w:r>
        <w:rPr>
          <w:rFonts w:hint="default" w:ascii="Times New Roman" w:hAnsi="Times New Roman" w:cs="Times New Roman"/>
        </w:rPr>
        <w:t>66</w:t>
      </w:r>
      <w:r>
        <w:rPr>
          <w:rFonts w:hint="default" w:ascii="Times New Roman" w:hAnsi="Times New Roman" w:cs="Times New Roman"/>
        </w:rPr>
        <w:fldChar w:fldCharType="end"/>
      </w:r>
      <w:r>
        <w:rPr>
          <w:rFonts w:hint="default" w:ascii="Times New Roman" w:hAnsi="Times New Roman" w:cs="Times New Roman"/>
        </w:rPr>
        <w:fldChar w:fldCharType="end"/>
      </w:r>
    </w:p>
    <w:p w14:paraId="45F973D6">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_Toc24726 </w:instrText>
      </w:r>
      <w:r>
        <w:rPr>
          <w:rFonts w:hint="default" w:ascii="Times New Roman" w:hAnsi="Times New Roman" w:cs="Times New Roman"/>
        </w:rPr>
        <w:fldChar w:fldCharType="separate"/>
      </w:r>
      <w:r>
        <w:rPr>
          <w:rFonts w:hint="default" w:ascii="Times New Roman" w:hAnsi="Times New Roman" w:cs="Times New Roman"/>
          <w:snapToGrid w:val="0"/>
        </w:rPr>
        <w:t>六、结论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_Toc24726 \h </w:instrText>
      </w:r>
      <w:r>
        <w:rPr>
          <w:rFonts w:hint="default" w:ascii="Times New Roman" w:hAnsi="Times New Roman" w:cs="Times New Roman"/>
        </w:rPr>
        <w:fldChar w:fldCharType="separate"/>
      </w:r>
      <w:r>
        <w:rPr>
          <w:rFonts w:hint="default" w:ascii="Times New Roman" w:hAnsi="Times New Roman" w:cs="Times New Roman"/>
        </w:rPr>
        <w:t>67</w:t>
      </w:r>
      <w:r>
        <w:rPr>
          <w:rFonts w:hint="default" w:ascii="Times New Roman" w:hAnsi="Times New Roman" w:cs="Times New Roman"/>
        </w:rPr>
        <w:fldChar w:fldCharType="end"/>
      </w:r>
      <w:r>
        <w:rPr>
          <w:rFonts w:hint="default" w:ascii="Times New Roman" w:hAnsi="Times New Roman" w:cs="Times New Roman"/>
        </w:rPr>
        <w:fldChar w:fldCharType="end"/>
      </w:r>
    </w:p>
    <w:p w14:paraId="2C040A84">
      <w:pPr>
        <w:pStyle w:val="20"/>
        <w:tabs>
          <w:tab w:val="right" w:leader="dot" w:pos="8787"/>
        </w:tabs>
        <w:rPr>
          <w:rFonts w:hint="default" w:ascii="Times New Roman" w:hAnsi="Times New Roman" w:cs="Times New Roman"/>
        </w:rPr>
      </w:pP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HYPERLINK \l _Toc17441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snapToGrid w:val="0"/>
          <w:szCs w:val="38"/>
        </w:rPr>
        <w:t>建设项目污染物排放量汇总表</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_Toc17441 \h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68</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rPr>
        <w:fldChar w:fldCharType="end"/>
      </w:r>
    </w:p>
    <w:p w14:paraId="2480F4B5">
      <w:pPr>
        <w:pStyle w:val="20"/>
        <w:tabs>
          <w:tab w:val="right" w:leader="dot" w:pos="8787"/>
        </w:tabs>
        <w:rPr>
          <w:rFonts w:hint="default" w:ascii="Times New Roman" w:hAnsi="Times New Roman" w:cs="Times New Roman"/>
        </w:rPr>
      </w:pPr>
    </w:p>
    <w:p w14:paraId="5F03D2C6">
      <w:pPr>
        <w:pStyle w:val="20"/>
        <w:tabs>
          <w:tab w:val="right" w:leader="dot" w:pos="8787"/>
        </w:tabs>
        <w:rPr>
          <w:rFonts w:hint="default" w:ascii="Times New Roman" w:hAnsi="Times New Roman" w:eastAsia="宋体" w:cs="Times New Roman"/>
          <w:lang w:val="en-US" w:eastAsia="zh-CN"/>
        </w:rPr>
      </w:pPr>
      <w:r>
        <w:rPr>
          <w:rFonts w:hint="default" w:ascii="Times New Roman" w:hAnsi="Times New Roman" w:cs="Times New Roman"/>
          <w:b/>
          <w:bCs/>
          <w:lang w:val="en-US" w:eastAsia="zh-CN"/>
        </w:rPr>
        <w:t>附件：</w:t>
      </w:r>
    </w:p>
    <w:p w14:paraId="6487F2D4">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_Toc5711 </w:instrText>
      </w:r>
      <w:r>
        <w:rPr>
          <w:rFonts w:hint="default" w:ascii="Times New Roman" w:hAnsi="Times New Roman" w:cs="Times New Roman"/>
        </w:rPr>
        <w:fldChar w:fldCharType="separate"/>
      </w:r>
      <w:r>
        <w:rPr>
          <w:rFonts w:hint="default" w:ascii="Times New Roman" w:hAnsi="Times New Roman" w:eastAsia="宋体" w:cs="Times New Roman"/>
          <w:bCs/>
          <w:szCs w:val="28"/>
        </w:rPr>
        <w:t xml:space="preserve">附件1： </w:t>
      </w:r>
      <w:r>
        <w:rPr>
          <w:rFonts w:hint="default" w:ascii="Times New Roman" w:hAnsi="Times New Roman" w:cs="Times New Roman"/>
          <w:bCs/>
          <w:szCs w:val="28"/>
        </w:rPr>
        <w:t>环评委托书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_Toc5711 \h </w:instrText>
      </w:r>
      <w:r>
        <w:rPr>
          <w:rFonts w:hint="default" w:ascii="Times New Roman" w:hAnsi="Times New Roman" w:cs="Times New Roman"/>
        </w:rPr>
        <w:fldChar w:fldCharType="separate"/>
      </w:r>
      <w:r>
        <w:rPr>
          <w:rFonts w:hint="default" w:ascii="Times New Roman" w:hAnsi="Times New Roman" w:cs="Times New Roman"/>
        </w:rPr>
        <w:t>69</w:t>
      </w:r>
      <w:r>
        <w:rPr>
          <w:rFonts w:hint="default" w:ascii="Times New Roman" w:hAnsi="Times New Roman" w:cs="Times New Roman"/>
        </w:rPr>
        <w:fldChar w:fldCharType="end"/>
      </w:r>
      <w:r>
        <w:rPr>
          <w:rFonts w:hint="default" w:ascii="Times New Roman" w:hAnsi="Times New Roman" w:cs="Times New Roman"/>
        </w:rPr>
        <w:fldChar w:fldCharType="end"/>
      </w:r>
    </w:p>
    <w:p w14:paraId="12EB4B5C">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_Toc27672 </w:instrText>
      </w:r>
      <w:r>
        <w:rPr>
          <w:rFonts w:hint="default" w:ascii="Times New Roman" w:hAnsi="Times New Roman" w:cs="Times New Roman"/>
        </w:rPr>
        <w:fldChar w:fldCharType="separate"/>
      </w:r>
      <w:r>
        <w:rPr>
          <w:rFonts w:hint="default" w:ascii="Times New Roman" w:hAnsi="Times New Roman" w:eastAsia="宋体" w:cs="Times New Roman"/>
          <w:bCs/>
          <w:szCs w:val="28"/>
        </w:rPr>
        <w:t xml:space="preserve">附件2： </w:t>
      </w:r>
      <w:r>
        <w:rPr>
          <w:rFonts w:hint="default" w:ascii="Times New Roman" w:hAnsi="Times New Roman" w:cs="Times New Roman"/>
          <w:bCs/>
          <w:szCs w:val="28"/>
        </w:rPr>
        <w:t>营业执照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_Toc27672 \h </w:instrText>
      </w:r>
      <w:r>
        <w:rPr>
          <w:rFonts w:hint="default" w:ascii="Times New Roman" w:hAnsi="Times New Roman" w:cs="Times New Roman"/>
        </w:rPr>
        <w:fldChar w:fldCharType="separate"/>
      </w:r>
      <w:r>
        <w:rPr>
          <w:rFonts w:hint="default" w:ascii="Times New Roman" w:hAnsi="Times New Roman" w:cs="Times New Roman"/>
        </w:rPr>
        <w:t>70</w:t>
      </w:r>
      <w:r>
        <w:rPr>
          <w:rFonts w:hint="default" w:ascii="Times New Roman" w:hAnsi="Times New Roman" w:cs="Times New Roman"/>
        </w:rPr>
        <w:fldChar w:fldCharType="end"/>
      </w:r>
      <w:r>
        <w:rPr>
          <w:rFonts w:hint="default" w:ascii="Times New Roman" w:hAnsi="Times New Roman" w:cs="Times New Roman"/>
        </w:rPr>
        <w:fldChar w:fldCharType="end"/>
      </w:r>
    </w:p>
    <w:p w14:paraId="441662C6">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_Toc11761 </w:instrText>
      </w:r>
      <w:r>
        <w:rPr>
          <w:rFonts w:hint="default" w:ascii="Times New Roman" w:hAnsi="Times New Roman" w:cs="Times New Roman"/>
        </w:rPr>
        <w:fldChar w:fldCharType="separate"/>
      </w:r>
      <w:r>
        <w:rPr>
          <w:rFonts w:hint="default" w:ascii="Times New Roman" w:hAnsi="Times New Roman" w:eastAsia="宋体" w:cs="Times New Roman"/>
          <w:bCs/>
          <w:szCs w:val="28"/>
        </w:rPr>
        <w:t xml:space="preserve">附件3： </w:t>
      </w:r>
      <w:r>
        <w:rPr>
          <w:rFonts w:hint="default" w:ascii="Times New Roman" w:hAnsi="Times New Roman" w:cs="Times New Roman"/>
          <w:bCs/>
          <w:szCs w:val="28"/>
          <w:lang w:val="en-US" w:eastAsia="zh-CN"/>
        </w:rPr>
        <w:t>排污许可证</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_Toc11761 \h </w:instrText>
      </w:r>
      <w:r>
        <w:rPr>
          <w:rFonts w:hint="default" w:ascii="Times New Roman" w:hAnsi="Times New Roman" w:cs="Times New Roman"/>
        </w:rPr>
        <w:fldChar w:fldCharType="separate"/>
      </w:r>
      <w:r>
        <w:rPr>
          <w:rFonts w:hint="default" w:ascii="Times New Roman" w:hAnsi="Times New Roman" w:cs="Times New Roman"/>
        </w:rPr>
        <w:t>71</w:t>
      </w:r>
      <w:r>
        <w:rPr>
          <w:rFonts w:hint="default" w:ascii="Times New Roman" w:hAnsi="Times New Roman" w:cs="Times New Roman"/>
        </w:rPr>
        <w:fldChar w:fldCharType="end"/>
      </w:r>
      <w:r>
        <w:rPr>
          <w:rFonts w:hint="default" w:ascii="Times New Roman" w:hAnsi="Times New Roman" w:cs="Times New Roman"/>
        </w:rPr>
        <w:fldChar w:fldCharType="end"/>
      </w:r>
    </w:p>
    <w:p w14:paraId="5B971EF7">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_Toc4379 </w:instrText>
      </w:r>
      <w:r>
        <w:rPr>
          <w:rFonts w:hint="default" w:ascii="Times New Roman" w:hAnsi="Times New Roman" w:cs="Times New Roman"/>
        </w:rPr>
        <w:fldChar w:fldCharType="separate"/>
      </w:r>
      <w:r>
        <w:rPr>
          <w:rFonts w:hint="default" w:ascii="Times New Roman" w:hAnsi="Times New Roman" w:eastAsia="宋体" w:cs="Times New Roman"/>
          <w:bCs/>
          <w:szCs w:val="28"/>
          <w:lang w:val="en-US" w:eastAsia="zh-CN"/>
        </w:rPr>
        <w:t xml:space="preserve">附件4： </w:t>
      </w:r>
      <w:r>
        <w:rPr>
          <w:rFonts w:hint="default" w:ascii="Times New Roman" w:hAnsi="Times New Roman" w:cs="Times New Roman"/>
          <w:bCs/>
          <w:szCs w:val="28"/>
          <w:lang w:val="en-US" w:eastAsia="zh-CN"/>
        </w:rPr>
        <w:t>排污权总量指标</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_Toc4379 \h </w:instrText>
      </w:r>
      <w:r>
        <w:rPr>
          <w:rFonts w:hint="default" w:ascii="Times New Roman" w:hAnsi="Times New Roman" w:cs="Times New Roman"/>
        </w:rPr>
        <w:fldChar w:fldCharType="separate"/>
      </w:r>
      <w:r>
        <w:rPr>
          <w:rFonts w:hint="default" w:ascii="Times New Roman" w:hAnsi="Times New Roman" w:cs="Times New Roman"/>
        </w:rPr>
        <w:t>72</w:t>
      </w:r>
      <w:r>
        <w:rPr>
          <w:rFonts w:hint="default" w:ascii="Times New Roman" w:hAnsi="Times New Roman" w:cs="Times New Roman"/>
        </w:rPr>
        <w:fldChar w:fldCharType="end"/>
      </w:r>
      <w:r>
        <w:rPr>
          <w:rFonts w:hint="default" w:ascii="Times New Roman" w:hAnsi="Times New Roman" w:cs="Times New Roman"/>
        </w:rPr>
        <w:fldChar w:fldCharType="end"/>
      </w:r>
    </w:p>
    <w:p w14:paraId="0DEFAE5F">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_Toc1872 </w:instrText>
      </w:r>
      <w:r>
        <w:rPr>
          <w:rFonts w:hint="default" w:ascii="Times New Roman" w:hAnsi="Times New Roman" w:cs="Times New Roman"/>
        </w:rPr>
        <w:fldChar w:fldCharType="separate"/>
      </w:r>
      <w:r>
        <w:rPr>
          <w:rFonts w:hint="default" w:ascii="Times New Roman" w:hAnsi="Times New Roman" w:eastAsia="宋体" w:cs="Times New Roman"/>
          <w:bCs/>
          <w:szCs w:val="28"/>
        </w:rPr>
        <w:t xml:space="preserve">附件5： </w:t>
      </w:r>
      <w:r>
        <w:rPr>
          <w:rFonts w:hint="default" w:ascii="Times New Roman" w:hAnsi="Times New Roman" w:cs="Times New Roman"/>
          <w:bCs/>
          <w:szCs w:val="28"/>
          <w:lang w:val="en-US" w:eastAsia="zh-CN"/>
        </w:rPr>
        <w:t>粉煤灰</w:t>
      </w:r>
      <w:r>
        <w:rPr>
          <w:rFonts w:hint="default" w:ascii="Times New Roman" w:hAnsi="Times New Roman" w:cs="Times New Roman"/>
          <w:bCs/>
          <w:szCs w:val="28"/>
        </w:rPr>
        <w:t>检测报告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_Toc1872 \h </w:instrText>
      </w:r>
      <w:r>
        <w:rPr>
          <w:rFonts w:hint="default" w:ascii="Times New Roman" w:hAnsi="Times New Roman" w:cs="Times New Roman"/>
        </w:rPr>
        <w:fldChar w:fldCharType="separate"/>
      </w:r>
      <w:r>
        <w:rPr>
          <w:rFonts w:hint="default" w:ascii="Times New Roman" w:hAnsi="Times New Roman" w:cs="Times New Roman"/>
        </w:rPr>
        <w:t>74</w:t>
      </w:r>
      <w:r>
        <w:rPr>
          <w:rFonts w:hint="default" w:ascii="Times New Roman" w:hAnsi="Times New Roman" w:cs="Times New Roman"/>
        </w:rPr>
        <w:fldChar w:fldCharType="end"/>
      </w:r>
      <w:r>
        <w:rPr>
          <w:rFonts w:hint="default" w:ascii="Times New Roman" w:hAnsi="Times New Roman" w:cs="Times New Roman"/>
        </w:rPr>
        <w:fldChar w:fldCharType="end"/>
      </w:r>
    </w:p>
    <w:p w14:paraId="13D5B63C">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_Toc27799 </w:instrText>
      </w:r>
      <w:r>
        <w:rPr>
          <w:rFonts w:hint="default" w:ascii="Times New Roman" w:hAnsi="Times New Roman" w:cs="Times New Roman"/>
        </w:rPr>
        <w:fldChar w:fldCharType="separate"/>
      </w:r>
      <w:r>
        <w:rPr>
          <w:rFonts w:hint="default" w:ascii="Times New Roman" w:hAnsi="Times New Roman" w:eastAsia="宋体" w:cs="Times New Roman"/>
          <w:bCs/>
          <w:szCs w:val="28"/>
        </w:rPr>
        <w:t xml:space="preserve">附件6： </w:t>
      </w:r>
      <w:r>
        <w:rPr>
          <w:rFonts w:hint="default" w:ascii="Times New Roman" w:hAnsi="Times New Roman" w:cs="Times New Roman"/>
          <w:bCs/>
          <w:szCs w:val="28"/>
          <w:lang w:eastAsia="zh-CN"/>
        </w:rPr>
        <w:t>《</w:t>
      </w:r>
      <w:r>
        <w:rPr>
          <w:rFonts w:hint="default" w:ascii="Times New Roman" w:hAnsi="Times New Roman" w:cs="Times New Roman"/>
          <w:bCs/>
          <w:szCs w:val="28"/>
          <w:lang w:val="en-US" w:eastAsia="zh-CN"/>
        </w:rPr>
        <w:t>关于岳阳市工业固体废物资源综合利用评价的备案公示</w:t>
      </w:r>
      <w:r>
        <w:rPr>
          <w:rFonts w:hint="default" w:ascii="Times New Roman" w:hAnsi="Times New Roman" w:cs="Times New Roman"/>
          <w:bCs/>
          <w:szCs w:val="28"/>
          <w:lang w:eastAsia="zh-CN"/>
        </w:rPr>
        <w: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_Toc27799 \h </w:instrText>
      </w:r>
      <w:r>
        <w:rPr>
          <w:rFonts w:hint="default" w:ascii="Times New Roman" w:hAnsi="Times New Roman" w:cs="Times New Roman"/>
        </w:rPr>
        <w:fldChar w:fldCharType="separate"/>
      </w:r>
      <w:r>
        <w:rPr>
          <w:rFonts w:hint="default" w:ascii="Times New Roman" w:hAnsi="Times New Roman" w:cs="Times New Roman"/>
        </w:rPr>
        <w:t>83</w:t>
      </w:r>
      <w:r>
        <w:rPr>
          <w:rFonts w:hint="default" w:ascii="Times New Roman" w:hAnsi="Times New Roman" w:cs="Times New Roman"/>
        </w:rPr>
        <w:fldChar w:fldCharType="end"/>
      </w:r>
      <w:r>
        <w:rPr>
          <w:rFonts w:hint="default" w:ascii="Times New Roman" w:hAnsi="Times New Roman" w:cs="Times New Roman"/>
        </w:rPr>
        <w:fldChar w:fldCharType="end"/>
      </w:r>
    </w:p>
    <w:p w14:paraId="5F99AE86">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_Toc9597 </w:instrText>
      </w:r>
      <w:r>
        <w:rPr>
          <w:rFonts w:hint="default" w:ascii="Times New Roman" w:hAnsi="Times New Roman" w:cs="Times New Roman"/>
        </w:rPr>
        <w:fldChar w:fldCharType="separate"/>
      </w:r>
      <w:r>
        <w:rPr>
          <w:rFonts w:hint="default" w:ascii="Times New Roman" w:hAnsi="Times New Roman" w:eastAsia="宋体" w:cs="Times New Roman"/>
          <w:bCs/>
          <w:szCs w:val="28"/>
          <w:lang w:val="en-US" w:eastAsia="zh-CN"/>
        </w:rPr>
        <w:t xml:space="preserve">附件7： </w:t>
      </w:r>
      <w:r>
        <w:rPr>
          <w:rFonts w:hint="default" w:ascii="Times New Roman" w:hAnsi="Times New Roman" w:cs="Times New Roman"/>
          <w:bCs/>
          <w:szCs w:val="28"/>
          <w:lang w:val="en-US" w:eastAsia="zh-CN"/>
        </w:rPr>
        <w:t>检测报告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_Toc9597 \h </w:instrText>
      </w:r>
      <w:r>
        <w:rPr>
          <w:rFonts w:hint="default" w:ascii="Times New Roman" w:hAnsi="Times New Roman" w:cs="Times New Roman"/>
        </w:rPr>
        <w:fldChar w:fldCharType="separate"/>
      </w:r>
      <w:r>
        <w:rPr>
          <w:rFonts w:hint="default" w:ascii="Times New Roman" w:hAnsi="Times New Roman" w:cs="Times New Roman"/>
        </w:rPr>
        <w:t>87</w:t>
      </w:r>
      <w:r>
        <w:rPr>
          <w:rFonts w:hint="default" w:ascii="Times New Roman" w:hAnsi="Times New Roman" w:cs="Times New Roman"/>
        </w:rPr>
        <w:fldChar w:fldCharType="end"/>
      </w:r>
      <w:r>
        <w:rPr>
          <w:rFonts w:hint="default" w:ascii="Times New Roman" w:hAnsi="Times New Roman" w:cs="Times New Roman"/>
        </w:rPr>
        <w:fldChar w:fldCharType="end"/>
      </w:r>
    </w:p>
    <w:p w14:paraId="4E8593AC">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_Toc7052 </w:instrText>
      </w:r>
      <w:r>
        <w:rPr>
          <w:rFonts w:hint="default" w:ascii="Times New Roman" w:hAnsi="Times New Roman" w:cs="Times New Roman"/>
        </w:rPr>
        <w:fldChar w:fldCharType="separate"/>
      </w:r>
      <w:r>
        <w:rPr>
          <w:rFonts w:hint="default" w:ascii="Times New Roman" w:hAnsi="Times New Roman" w:eastAsia="宋体" w:cs="Times New Roman"/>
          <w:bCs/>
          <w:szCs w:val="28"/>
        </w:rPr>
        <w:t xml:space="preserve">附件8： </w:t>
      </w:r>
      <w:r>
        <w:rPr>
          <w:rFonts w:hint="default" w:ascii="Times New Roman" w:hAnsi="Times New Roman" w:cs="Times New Roman"/>
          <w:bCs/>
          <w:szCs w:val="28"/>
          <w:lang w:val="en-US" w:eastAsia="zh-CN"/>
        </w:rPr>
        <w:t>粉煤灰销售合同</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_Toc7052 \h </w:instrText>
      </w:r>
      <w:r>
        <w:rPr>
          <w:rFonts w:hint="default" w:ascii="Times New Roman" w:hAnsi="Times New Roman" w:cs="Times New Roman"/>
        </w:rPr>
        <w:fldChar w:fldCharType="separate"/>
      </w:r>
      <w:r>
        <w:rPr>
          <w:rFonts w:hint="default" w:ascii="Times New Roman" w:hAnsi="Times New Roman" w:cs="Times New Roman"/>
        </w:rPr>
        <w:t>113</w:t>
      </w:r>
      <w:r>
        <w:rPr>
          <w:rFonts w:hint="default" w:ascii="Times New Roman" w:hAnsi="Times New Roman" w:cs="Times New Roman"/>
        </w:rPr>
        <w:fldChar w:fldCharType="end"/>
      </w:r>
      <w:r>
        <w:rPr>
          <w:rFonts w:hint="default" w:ascii="Times New Roman" w:hAnsi="Times New Roman" w:cs="Times New Roman"/>
        </w:rPr>
        <w:fldChar w:fldCharType="end"/>
      </w:r>
    </w:p>
    <w:p w14:paraId="1376A8D5">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_Toc1609 </w:instrText>
      </w:r>
      <w:r>
        <w:rPr>
          <w:rFonts w:hint="default" w:ascii="Times New Roman" w:hAnsi="Times New Roman" w:cs="Times New Roman"/>
        </w:rPr>
        <w:fldChar w:fldCharType="separate"/>
      </w:r>
      <w:r>
        <w:rPr>
          <w:rFonts w:hint="default" w:ascii="Times New Roman" w:hAnsi="Times New Roman" w:eastAsia="宋体" w:cs="Times New Roman"/>
          <w:bCs/>
          <w:szCs w:val="28"/>
          <w:lang w:val="en-US" w:eastAsia="zh-CN"/>
        </w:rPr>
        <w:t xml:space="preserve">附件9： </w:t>
      </w:r>
      <w:r>
        <w:rPr>
          <w:rFonts w:hint="default" w:ascii="Times New Roman" w:hAnsi="Times New Roman" w:cs="Times New Roman"/>
          <w:bCs/>
          <w:szCs w:val="28"/>
          <w:lang w:val="en-US" w:eastAsia="zh-CN"/>
        </w:rPr>
        <w:t>环保管辖行政区域划分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_Toc1609 \h </w:instrText>
      </w:r>
      <w:r>
        <w:rPr>
          <w:rFonts w:hint="default" w:ascii="Times New Roman" w:hAnsi="Times New Roman" w:cs="Times New Roman"/>
        </w:rPr>
        <w:fldChar w:fldCharType="separate"/>
      </w:r>
      <w:r>
        <w:rPr>
          <w:rFonts w:hint="default" w:ascii="Times New Roman" w:hAnsi="Times New Roman" w:cs="Times New Roman"/>
        </w:rPr>
        <w:t>132</w:t>
      </w:r>
      <w:r>
        <w:rPr>
          <w:rFonts w:hint="default" w:ascii="Times New Roman" w:hAnsi="Times New Roman" w:cs="Times New Roman"/>
        </w:rPr>
        <w:fldChar w:fldCharType="end"/>
      </w:r>
      <w:r>
        <w:rPr>
          <w:rFonts w:hint="default" w:ascii="Times New Roman" w:hAnsi="Times New Roman" w:cs="Times New Roman"/>
        </w:rPr>
        <w:fldChar w:fldCharType="end"/>
      </w:r>
    </w:p>
    <w:p w14:paraId="2FC54B13">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_Toc4549 </w:instrText>
      </w:r>
      <w:r>
        <w:rPr>
          <w:rFonts w:hint="default" w:ascii="Times New Roman" w:hAnsi="Times New Roman" w:cs="Times New Roman"/>
        </w:rPr>
        <w:fldChar w:fldCharType="separate"/>
      </w:r>
      <w:r>
        <w:rPr>
          <w:rFonts w:hint="default" w:ascii="Times New Roman" w:hAnsi="Times New Roman" w:eastAsia="宋体" w:cs="Times New Roman"/>
          <w:bCs/>
          <w:szCs w:val="28"/>
          <w:lang w:val="en-US" w:eastAsia="zh-CN"/>
        </w:rPr>
        <w:t xml:space="preserve">附件10： </w:t>
      </w:r>
      <w:r>
        <w:rPr>
          <w:rFonts w:hint="default" w:ascii="Times New Roman" w:hAnsi="Times New Roman" w:cs="Times New Roman"/>
          <w:bCs/>
          <w:szCs w:val="28"/>
          <w:lang w:val="en-US" w:eastAsia="zh-CN"/>
        </w:rPr>
        <w:t>项目分析研判结果报告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_Toc4549 \h </w:instrText>
      </w:r>
      <w:r>
        <w:rPr>
          <w:rFonts w:hint="default" w:ascii="Times New Roman" w:hAnsi="Times New Roman" w:cs="Times New Roman"/>
        </w:rPr>
        <w:fldChar w:fldCharType="separate"/>
      </w:r>
      <w:r>
        <w:rPr>
          <w:rFonts w:hint="default" w:ascii="Times New Roman" w:hAnsi="Times New Roman" w:cs="Times New Roman"/>
        </w:rPr>
        <w:t>134</w:t>
      </w:r>
      <w:r>
        <w:rPr>
          <w:rFonts w:hint="default" w:ascii="Times New Roman" w:hAnsi="Times New Roman" w:cs="Times New Roman"/>
        </w:rPr>
        <w:fldChar w:fldCharType="end"/>
      </w:r>
      <w:r>
        <w:rPr>
          <w:rFonts w:hint="default" w:ascii="Times New Roman" w:hAnsi="Times New Roman" w:cs="Times New Roman"/>
        </w:rPr>
        <w:fldChar w:fldCharType="end"/>
      </w:r>
    </w:p>
    <w:p w14:paraId="36A346E6">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_Toc13544 </w:instrText>
      </w:r>
      <w:r>
        <w:rPr>
          <w:rFonts w:hint="default" w:ascii="Times New Roman" w:hAnsi="Times New Roman" w:cs="Times New Roman"/>
        </w:rPr>
        <w:fldChar w:fldCharType="separate"/>
      </w:r>
      <w:r>
        <w:rPr>
          <w:rFonts w:hint="default" w:ascii="Times New Roman" w:hAnsi="Times New Roman" w:eastAsia="宋体" w:cs="Times New Roman"/>
          <w:bCs/>
          <w:szCs w:val="28"/>
          <w:lang w:val="en-US" w:eastAsia="zh-CN"/>
        </w:rPr>
        <w:t xml:space="preserve">附件11： </w:t>
      </w:r>
      <w:r>
        <w:rPr>
          <w:rFonts w:hint="default" w:ascii="Times New Roman" w:hAnsi="Times New Roman" w:cs="Times New Roman"/>
          <w:bCs/>
          <w:szCs w:val="28"/>
        </w:rPr>
        <w:t>技术审查会专家意见及签到表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_Toc13544 \h </w:instrText>
      </w:r>
      <w:r>
        <w:rPr>
          <w:rFonts w:hint="default" w:ascii="Times New Roman" w:hAnsi="Times New Roman" w:cs="Times New Roman"/>
        </w:rPr>
        <w:fldChar w:fldCharType="separate"/>
      </w:r>
      <w:r>
        <w:rPr>
          <w:rFonts w:hint="default" w:ascii="Times New Roman" w:hAnsi="Times New Roman" w:cs="Times New Roman"/>
        </w:rPr>
        <w:t>141</w:t>
      </w:r>
      <w:r>
        <w:rPr>
          <w:rFonts w:hint="default" w:ascii="Times New Roman" w:hAnsi="Times New Roman" w:cs="Times New Roman"/>
        </w:rPr>
        <w:fldChar w:fldCharType="end"/>
      </w:r>
      <w:r>
        <w:rPr>
          <w:rFonts w:hint="default" w:ascii="Times New Roman" w:hAnsi="Times New Roman" w:cs="Times New Roman"/>
        </w:rPr>
        <w:fldChar w:fldCharType="end"/>
      </w:r>
    </w:p>
    <w:p w14:paraId="71ECA219">
      <w:pPr>
        <w:pStyle w:val="20"/>
        <w:tabs>
          <w:tab w:val="right" w:leader="dot" w:pos="8787"/>
        </w:tabs>
        <w:rPr>
          <w:rFonts w:hint="default" w:ascii="Times New Roman" w:hAnsi="Times New Roman" w:cs="Times New Roman"/>
        </w:rPr>
      </w:pPr>
    </w:p>
    <w:p w14:paraId="564E5DD1">
      <w:pPr>
        <w:pStyle w:val="20"/>
        <w:tabs>
          <w:tab w:val="right" w:leader="dot" w:pos="8787"/>
        </w:tabs>
        <w:rPr>
          <w:rFonts w:hint="default" w:ascii="Times New Roman" w:hAnsi="Times New Roman" w:eastAsia="宋体" w:cs="Times New Roman"/>
          <w:lang w:val="en-US" w:eastAsia="zh-CN"/>
        </w:rPr>
      </w:pPr>
      <w:r>
        <w:rPr>
          <w:rFonts w:hint="default" w:ascii="Times New Roman" w:hAnsi="Times New Roman" w:cs="Times New Roman"/>
          <w:b/>
          <w:bCs/>
          <w:lang w:val="en-US" w:eastAsia="zh-CN"/>
        </w:rPr>
        <w:t>附图：</w:t>
      </w:r>
    </w:p>
    <w:p w14:paraId="7F059F07">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_Toc11307 </w:instrText>
      </w:r>
      <w:r>
        <w:rPr>
          <w:rFonts w:hint="default" w:ascii="Times New Roman" w:hAnsi="Times New Roman" w:cs="Times New Roman"/>
        </w:rPr>
        <w:fldChar w:fldCharType="separate"/>
      </w:r>
      <w:r>
        <w:rPr>
          <w:rFonts w:hint="default" w:ascii="Times New Roman" w:hAnsi="Times New Roman" w:cs="Times New Roman"/>
          <w:bCs/>
          <w:szCs w:val="28"/>
        </w:rPr>
        <w:t>附图1 项目厂区地理位置图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_Toc11307 \h </w:instrText>
      </w:r>
      <w:r>
        <w:rPr>
          <w:rFonts w:hint="default" w:ascii="Times New Roman" w:hAnsi="Times New Roman" w:cs="Times New Roman"/>
        </w:rPr>
        <w:fldChar w:fldCharType="separate"/>
      </w:r>
      <w:r>
        <w:rPr>
          <w:rFonts w:hint="default" w:ascii="Times New Roman" w:hAnsi="Times New Roman" w:cs="Times New Roman"/>
        </w:rPr>
        <w:t>144</w:t>
      </w:r>
      <w:r>
        <w:rPr>
          <w:rFonts w:hint="default" w:ascii="Times New Roman" w:hAnsi="Times New Roman" w:cs="Times New Roman"/>
        </w:rPr>
        <w:fldChar w:fldCharType="end"/>
      </w:r>
      <w:r>
        <w:rPr>
          <w:rFonts w:hint="default" w:ascii="Times New Roman" w:hAnsi="Times New Roman" w:cs="Times New Roman"/>
        </w:rPr>
        <w:fldChar w:fldCharType="end"/>
      </w:r>
    </w:p>
    <w:p w14:paraId="619D1F09">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_Toc13009 </w:instrText>
      </w:r>
      <w:r>
        <w:rPr>
          <w:rFonts w:hint="default" w:ascii="Times New Roman" w:hAnsi="Times New Roman" w:cs="Times New Roman"/>
        </w:rPr>
        <w:fldChar w:fldCharType="separate"/>
      </w:r>
      <w:r>
        <w:rPr>
          <w:rFonts w:hint="default" w:ascii="Times New Roman" w:hAnsi="Times New Roman" w:cs="Times New Roman"/>
          <w:bCs/>
          <w:szCs w:val="28"/>
        </w:rPr>
        <w:t>附图2 项目环境保护目标图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_Toc13009 \h </w:instrText>
      </w:r>
      <w:r>
        <w:rPr>
          <w:rFonts w:hint="default" w:ascii="Times New Roman" w:hAnsi="Times New Roman" w:cs="Times New Roman"/>
        </w:rPr>
        <w:fldChar w:fldCharType="separate"/>
      </w:r>
      <w:r>
        <w:rPr>
          <w:rFonts w:hint="default" w:ascii="Times New Roman" w:hAnsi="Times New Roman" w:cs="Times New Roman"/>
        </w:rPr>
        <w:t>145</w:t>
      </w:r>
      <w:r>
        <w:rPr>
          <w:rFonts w:hint="default" w:ascii="Times New Roman" w:hAnsi="Times New Roman" w:cs="Times New Roman"/>
        </w:rPr>
        <w:fldChar w:fldCharType="end"/>
      </w:r>
      <w:r>
        <w:rPr>
          <w:rFonts w:hint="default" w:ascii="Times New Roman" w:hAnsi="Times New Roman" w:cs="Times New Roman"/>
        </w:rPr>
        <w:fldChar w:fldCharType="end"/>
      </w:r>
    </w:p>
    <w:p w14:paraId="6F821B3A">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_Toc8945 </w:instrText>
      </w:r>
      <w:r>
        <w:rPr>
          <w:rFonts w:hint="default" w:ascii="Times New Roman" w:hAnsi="Times New Roman" w:cs="Times New Roman"/>
        </w:rPr>
        <w:fldChar w:fldCharType="separate"/>
      </w:r>
      <w:r>
        <w:rPr>
          <w:rFonts w:hint="default" w:ascii="Times New Roman" w:hAnsi="Times New Roman" w:cs="Times New Roman"/>
          <w:bCs/>
          <w:szCs w:val="28"/>
        </w:rPr>
        <w:t>附图3 引用</w:t>
      </w:r>
      <w:r>
        <w:rPr>
          <w:rFonts w:hint="default" w:ascii="Times New Roman" w:hAnsi="Times New Roman" w:cs="Times New Roman"/>
          <w:bCs/>
          <w:szCs w:val="28"/>
          <w:lang w:val="en-US" w:eastAsia="zh-CN"/>
        </w:rPr>
        <w:t>TSP</w:t>
      </w:r>
      <w:r>
        <w:rPr>
          <w:rFonts w:hint="default" w:ascii="Times New Roman" w:hAnsi="Times New Roman" w:cs="Times New Roman"/>
          <w:bCs/>
          <w:szCs w:val="28"/>
        </w:rPr>
        <w:t>环境空气监测点位</w:t>
      </w:r>
      <w:r>
        <w:rPr>
          <w:rFonts w:hint="default" w:ascii="Times New Roman" w:hAnsi="Times New Roman" w:cs="Times New Roman"/>
          <w:bCs/>
        </w:rPr>
        <w:t>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_Toc8945 \h </w:instrText>
      </w:r>
      <w:r>
        <w:rPr>
          <w:rFonts w:hint="default" w:ascii="Times New Roman" w:hAnsi="Times New Roman" w:cs="Times New Roman"/>
        </w:rPr>
        <w:fldChar w:fldCharType="separate"/>
      </w:r>
      <w:r>
        <w:rPr>
          <w:rFonts w:hint="default" w:ascii="Times New Roman" w:hAnsi="Times New Roman" w:cs="Times New Roman"/>
        </w:rPr>
        <w:t>146</w:t>
      </w:r>
      <w:r>
        <w:rPr>
          <w:rFonts w:hint="default" w:ascii="Times New Roman" w:hAnsi="Times New Roman" w:cs="Times New Roman"/>
        </w:rPr>
        <w:fldChar w:fldCharType="end"/>
      </w:r>
      <w:r>
        <w:rPr>
          <w:rFonts w:hint="default" w:ascii="Times New Roman" w:hAnsi="Times New Roman" w:cs="Times New Roman"/>
        </w:rPr>
        <w:fldChar w:fldCharType="end"/>
      </w:r>
    </w:p>
    <w:p w14:paraId="2ED439FD">
      <w:pPr>
        <w:pStyle w:val="20"/>
        <w:tabs>
          <w:tab w:val="right" w:leader="dot" w:pos="8787"/>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_Toc26439 </w:instrText>
      </w:r>
      <w:r>
        <w:rPr>
          <w:rFonts w:hint="default" w:ascii="Times New Roman" w:hAnsi="Times New Roman" w:cs="Times New Roman"/>
        </w:rPr>
        <w:fldChar w:fldCharType="separate"/>
      </w:r>
      <w:r>
        <w:rPr>
          <w:rFonts w:hint="default" w:ascii="Times New Roman" w:hAnsi="Times New Roman" w:cs="Times New Roman"/>
          <w:bCs/>
          <w:szCs w:val="28"/>
        </w:rPr>
        <w:t>附图4 总平面布置图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_Toc26439 \h </w:instrText>
      </w:r>
      <w:r>
        <w:rPr>
          <w:rFonts w:hint="default" w:ascii="Times New Roman" w:hAnsi="Times New Roman" w:cs="Times New Roman"/>
        </w:rPr>
        <w:fldChar w:fldCharType="separate"/>
      </w:r>
      <w:r>
        <w:rPr>
          <w:rFonts w:hint="default" w:ascii="Times New Roman" w:hAnsi="Times New Roman" w:cs="Times New Roman"/>
        </w:rPr>
        <w:t>147</w:t>
      </w:r>
      <w:r>
        <w:rPr>
          <w:rFonts w:hint="default" w:ascii="Times New Roman" w:hAnsi="Times New Roman" w:cs="Times New Roman"/>
        </w:rPr>
        <w:fldChar w:fldCharType="end"/>
      </w:r>
      <w:r>
        <w:rPr>
          <w:rFonts w:hint="default" w:ascii="Times New Roman" w:hAnsi="Times New Roman" w:cs="Times New Roman"/>
        </w:rPr>
        <w:fldChar w:fldCharType="end"/>
      </w:r>
    </w:p>
    <w:p w14:paraId="438337DE">
      <w:pPr>
        <w:pStyle w:val="20"/>
        <w:tabs>
          <w:tab w:val="right" w:leader="dot" w:pos="8787"/>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_Toc14675 </w:instrText>
      </w:r>
      <w:r>
        <w:rPr>
          <w:rFonts w:hint="default" w:ascii="Times New Roman" w:hAnsi="Times New Roman" w:cs="Times New Roman"/>
        </w:rPr>
        <w:fldChar w:fldCharType="separate"/>
      </w:r>
      <w:r>
        <w:rPr>
          <w:rFonts w:hint="default" w:ascii="Times New Roman" w:hAnsi="Times New Roman" w:cs="Times New Roman"/>
          <w:bCs/>
          <w:szCs w:val="28"/>
        </w:rPr>
        <w:t>附图5 项目现场图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_Toc14675 \h </w:instrText>
      </w:r>
      <w:r>
        <w:rPr>
          <w:rFonts w:hint="default" w:ascii="Times New Roman" w:hAnsi="Times New Roman" w:cs="Times New Roman"/>
        </w:rPr>
        <w:fldChar w:fldCharType="separate"/>
      </w:r>
      <w:r>
        <w:rPr>
          <w:rFonts w:hint="default" w:ascii="Times New Roman" w:hAnsi="Times New Roman" w:cs="Times New Roman"/>
        </w:rPr>
        <w:t>148</w:t>
      </w:r>
      <w:r>
        <w:rPr>
          <w:rFonts w:hint="default" w:ascii="Times New Roman" w:hAnsi="Times New Roman" w:cs="Times New Roman"/>
        </w:rPr>
        <w:fldChar w:fldCharType="end"/>
      </w:r>
      <w:r>
        <w:rPr>
          <w:rFonts w:hint="default" w:ascii="Times New Roman" w:hAnsi="Times New Roman" w:cs="Times New Roman"/>
        </w:rPr>
        <w:fldChar w:fldCharType="end"/>
      </w:r>
    </w:p>
    <w:p w14:paraId="11D3409A">
      <w:pPr>
        <w:pStyle w:val="2"/>
        <w:numPr>
          <w:ilvl w:val="255"/>
          <w:numId w:val="0"/>
        </w:numPr>
        <w:spacing w:before="0" w:beforeLines="0" w:after="120" w:afterLines="50"/>
        <w:sectPr>
          <w:pgSz w:w="11906" w:h="16838"/>
          <w:pgMar w:top="1418" w:right="1418" w:bottom="1418" w:left="1701" w:header="851" w:footer="992" w:gutter="0"/>
          <w:pgBorders>
            <w:top w:val="none" w:sz="0" w:space="0"/>
            <w:left w:val="none" w:sz="0" w:space="0"/>
            <w:bottom w:val="none" w:sz="0" w:space="0"/>
            <w:right w:val="none" w:sz="0" w:space="0"/>
          </w:pgBorders>
          <w:pgNumType w:fmt="upperRoman" w:start="1"/>
          <w:cols w:space="720" w:num="1"/>
          <w:docGrid w:linePitch="326" w:charSpace="0"/>
        </w:sectPr>
      </w:pPr>
      <w:r>
        <w:fldChar w:fldCharType="end"/>
      </w:r>
    </w:p>
    <w:p w14:paraId="70621A13">
      <w:pPr>
        <w:pStyle w:val="2"/>
        <w:numPr>
          <w:ilvl w:val="255"/>
          <w:numId w:val="0"/>
        </w:numPr>
        <w:spacing w:before="0" w:beforeLines="0" w:after="120" w:afterLines="50"/>
        <w:jc w:val="center"/>
      </w:pPr>
      <w:bookmarkStart w:id="49" w:name="_Toc25373"/>
      <w:bookmarkStart w:id="50" w:name="_Toc28820"/>
      <w:bookmarkStart w:id="51" w:name="_Toc7824"/>
      <w:bookmarkStart w:id="52" w:name="_Toc7631"/>
      <w:bookmarkStart w:id="53" w:name="_Toc8893"/>
      <w:bookmarkStart w:id="54" w:name="_Toc20835"/>
      <w:bookmarkStart w:id="55" w:name="_Toc5161"/>
      <w:bookmarkStart w:id="56" w:name="_Toc17793"/>
      <w:bookmarkStart w:id="57" w:name="_Toc2944"/>
      <w:r>
        <w:t>一、建设项目基本情况</w:t>
      </w:r>
      <w:bookmarkEnd w:id="40"/>
      <w:bookmarkEnd w:id="41"/>
      <w:bookmarkEnd w:id="42"/>
      <w:bookmarkEnd w:id="43"/>
      <w:bookmarkEnd w:id="44"/>
      <w:bookmarkEnd w:id="45"/>
      <w:bookmarkEnd w:id="46"/>
      <w:bookmarkEnd w:id="47"/>
      <w:bookmarkEnd w:id="49"/>
      <w:bookmarkEnd w:id="50"/>
      <w:bookmarkEnd w:id="51"/>
      <w:bookmarkEnd w:id="52"/>
      <w:bookmarkEnd w:id="53"/>
      <w:bookmarkEnd w:id="54"/>
      <w:bookmarkEnd w:id="55"/>
      <w:bookmarkEnd w:id="56"/>
      <w:bookmarkEnd w:id="57"/>
    </w:p>
    <w:tbl>
      <w:tblPr>
        <w:tblStyle w:val="31"/>
        <w:tblW w:w="889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85" w:type="dxa"/>
          <w:bottom w:w="0" w:type="dxa"/>
          <w:right w:w="85" w:type="dxa"/>
        </w:tblCellMar>
      </w:tblPr>
      <w:tblGrid>
        <w:gridCol w:w="843"/>
        <w:gridCol w:w="890"/>
        <w:gridCol w:w="1911"/>
        <w:gridCol w:w="1920"/>
        <w:gridCol w:w="3330"/>
      </w:tblGrid>
      <w:tr w14:paraId="0124A3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7E8F4BB3">
            <w:pPr>
              <w:autoSpaceDE w:val="0"/>
              <w:autoSpaceDN w:val="0"/>
              <w:adjustRightInd w:val="0"/>
              <w:snapToGrid w:val="0"/>
              <w:spacing w:line="240" w:lineRule="auto"/>
              <w:ind w:firstLine="0" w:firstLineChars="0"/>
              <w:jc w:val="center"/>
            </w:pPr>
            <w:r>
              <w:t>建设项目名称</w:t>
            </w:r>
          </w:p>
        </w:tc>
        <w:tc>
          <w:tcPr>
            <w:tcW w:w="7161" w:type="dxa"/>
            <w:gridSpan w:val="3"/>
            <w:vAlign w:val="center"/>
          </w:tcPr>
          <w:p w14:paraId="789D28C2">
            <w:pPr>
              <w:autoSpaceDE w:val="0"/>
              <w:autoSpaceDN w:val="0"/>
              <w:adjustRightInd w:val="0"/>
              <w:snapToGrid w:val="0"/>
              <w:spacing w:line="240" w:lineRule="auto"/>
              <w:ind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华能湖南岳阳发电有限责任公司</w:t>
            </w:r>
          </w:p>
          <w:p w14:paraId="5A581B85">
            <w:pPr>
              <w:autoSpaceDE w:val="0"/>
              <w:autoSpaceDN w:val="0"/>
              <w:adjustRightInd w:val="0"/>
              <w:snapToGrid w:val="0"/>
              <w:spacing w:line="240" w:lineRule="auto"/>
              <w:ind w:firstLine="0" w:firstLineChars="0"/>
              <w:jc w:val="center"/>
              <w:rPr>
                <w:rFonts w:ascii="Times New Roman" w:hAnsi="Times New Roman" w:eastAsia="宋体" w:cs="Times New Roman"/>
              </w:rPr>
            </w:pPr>
            <w:r>
              <w:rPr>
                <w:rFonts w:hint="eastAsia" w:cs="Times New Roman"/>
                <w:lang w:val="en-US" w:eastAsia="zh-CN"/>
              </w:rPr>
              <w:t>90万吨/年</w:t>
            </w:r>
            <w:r>
              <w:rPr>
                <w:rFonts w:hint="eastAsia" w:ascii="Times New Roman" w:hAnsi="Times New Roman" w:eastAsia="宋体" w:cs="Times New Roman"/>
                <w:lang w:val="en-US" w:eastAsia="zh-CN"/>
              </w:rPr>
              <w:t>粉煤灰</w:t>
            </w:r>
            <w:r>
              <w:rPr>
                <w:rFonts w:hint="eastAsia" w:cs="Times New Roman"/>
                <w:lang w:val="en-US" w:eastAsia="zh-CN"/>
              </w:rPr>
              <w:t>分级综合利用</w:t>
            </w:r>
            <w:r>
              <w:rPr>
                <w:rFonts w:hint="eastAsia" w:ascii="Times New Roman" w:hAnsi="Times New Roman" w:eastAsia="宋体" w:cs="Times New Roman"/>
              </w:rPr>
              <w:t>建设项目</w:t>
            </w:r>
          </w:p>
        </w:tc>
      </w:tr>
      <w:tr w14:paraId="77A59B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75939682">
            <w:pPr>
              <w:autoSpaceDE w:val="0"/>
              <w:autoSpaceDN w:val="0"/>
              <w:adjustRightInd w:val="0"/>
              <w:snapToGrid w:val="0"/>
              <w:spacing w:line="240" w:lineRule="auto"/>
              <w:ind w:firstLine="0" w:firstLineChars="0"/>
              <w:jc w:val="center"/>
            </w:pPr>
            <w:r>
              <w:t>项目代码</w:t>
            </w:r>
          </w:p>
        </w:tc>
        <w:tc>
          <w:tcPr>
            <w:tcW w:w="7161" w:type="dxa"/>
            <w:gridSpan w:val="3"/>
            <w:vAlign w:val="center"/>
          </w:tcPr>
          <w:p w14:paraId="3A01F1CA">
            <w:pPr>
              <w:autoSpaceDE w:val="0"/>
              <w:autoSpaceDN w:val="0"/>
              <w:adjustRightInd w:val="0"/>
              <w:snapToGrid w:val="0"/>
              <w:spacing w:line="240" w:lineRule="auto"/>
              <w:ind w:firstLine="0" w:firstLineChars="0"/>
              <w:jc w:val="center"/>
              <w:rPr>
                <w:rFonts w:hint="eastAsia" w:ascii="Times New Roman" w:hAnsi="Times New Roman" w:eastAsia="宋体" w:cs="Times New Roman"/>
                <w:lang w:val="en-US" w:eastAsia="zh-CN"/>
              </w:rPr>
            </w:pPr>
            <w:r>
              <w:rPr>
                <w:rFonts w:hint="eastAsia" w:cs="Times New Roman"/>
                <w:lang w:val="en-US" w:eastAsia="zh-CN"/>
              </w:rPr>
              <w:t>/</w:t>
            </w:r>
          </w:p>
        </w:tc>
      </w:tr>
      <w:tr w14:paraId="011257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6EBF0B0D">
            <w:pPr>
              <w:autoSpaceDE w:val="0"/>
              <w:autoSpaceDN w:val="0"/>
              <w:adjustRightInd w:val="0"/>
              <w:snapToGrid w:val="0"/>
              <w:spacing w:line="240" w:lineRule="auto"/>
              <w:ind w:firstLine="0" w:firstLineChars="0"/>
              <w:jc w:val="center"/>
            </w:pPr>
            <w:r>
              <w:t>建设单位</w:t>
            </w:r>
          </w:p>
          <w:p w14:paraId="2748F55A">
            <w:pPr>
              <w:autoSpaceDE w:val="0"/>
              <w:autoSpaceDN w:val="0"/>
              <w:adjustRightInd w:val="0"/>
              <w:snapToGrid w:val="0"/>
              <w:spacing w:line="240" w:lineRule="auto"/>
              <w:ind w:firstLine="0" w:firstLineChars="0"/>
              <w:jc w:val="center"/>
            </w:pPr>
            <w:r>
              <w:t>联系人</w:t>
            </w:r>
          </w:p>
        </w:tc>
        <w:tc>
          <w:tcPr>
            <w:tcW w:w="1911" w:type="dxa"/>
            <w:vAlign w:val="center"/>
          </w:tcPr>
          <w:p w14:paraId="34F93345">
            <w:pPr>
              <w:autoSpaceDE w:val="0"/>
              <w:autoSpaceDN w:val="0"/>
              <w:adjustRightInd w:val="0"/>
              <w:snapToGrid w:val="0"/>
              <w:spacing w:line="240" w:lineRule="auto"/>
              <w:ind w:firstLine="0" w:firstLineChars="0"/>
              <w:jc w:val="center"/>
              <w:rPr>
                <w:rFonts w:ascii="Times New Roman" w:hAnsi="Times New Roman" w:eastAsia="宋体" w:cs="Times New Roman"/>
              </w:rPr>
            </w:pPr>
            <w:r>
              <w:rPr>
                <w:rFonts w:hint="eastAsia" w:ascii="Times New Roman" w:hAnsi="Times New Roman" w:eastAsia="宋体" w:cs="Times New Roman"/>
                <w:b w:val="0"/>
                <w:i w:val="0"/>
                <w:caps w:val="0"/>
                <w:spacing w:val="0"/>
                <w:w w:val="100"/>
                <w:sz w:val="24"/>
                <w:lang w:val="en-US" w:eastAsia="zh-CN"/>
              </w:rPr>
              <w:t>魏尚政</w:t>
            </w:r>
          </w:p>
        </w:tc>
        <w:tc>
          <w:tcPr>
            <w:tcW w:w="1920" w:type="dxa"/>
            <w:vAlign w:val="center"/>
          </w:tcPr>
          <w:p w14:paraId="5730B309">
            <w:pPr>
              <w:autoSpaceDE w:val="0"/>
              <w:autoSpaceDN w:val="0"/>
              <w:adjustRightInd w:val="0"/>
              <w:snapToGrid w:val="0"/>
              <w:spacing w:line="240" w:lineRule="auto"/>
              <w:ind w:firstLine="0" w:firstLineChars="0"/>
              <w:jc w:val="center"/>
              <w:rPr>
                <w:rFonts w:ascii="Times New Roman" w:hAnsi="Times New Roman" w:eastAsia="宋体" w:cs="Times New Roman"/>
              </w:rPr>
            </w:pPr>
            <w:r>
              <w:rPr>
                <w:rFonts w:ascii="Times New Roman" w:hAnsi="Times New Roman" w:eastAsia="宋体" w:cs="Times New Roman"/>
              </w:rPr>
              <w:t>联系方式</w:t>
            </w:r>
          </w:p>
        </w:tc>
        <w:tc>
          <w:tcPr>
            <w:tcW w:w="3330" w:type="dxa"/>
            <w:vAlign w:val="center"/>
          </w:tcPr>
          <w:p w14:paraId="0251395D">
            <w:pPr>
              <w:autoSpaceDE w:val="0"/>
              <w:autoSpaceDN w:val="0"/>
              <w:adjustRightInd w:val="0"/>
              <w:snapToGrid w:val="0"/>
              <w:spacing w:line="240" w:lineRule="auto"/>
              <w:ind w:firstLine="0" w:firstLineChars="0"/>
              <w:jc w:val="center"/>
              <w:rPr>
                <w:rFonts w:ascii="Times New Roman" w:hAnsi="Times New Roman" w:eastAsia="宋体" w:cs="Times New Roman"/>
              </w:rPr>
            </w:pPr>
            <w:r>
              <w:rPr>
                <w:rFonts w:hint="eastAsia" w:ascii="Times New Roman" w:hAnsi="Times New Roman" w:eastAsia="宋体" w:cs="Times New Roman"/>
                <w:b w:val="0"/>
                <w:i w:val="0"/>
                <w:caps w:val="0"/>
                <w:spacing w:val="0"/>
                <w:w w:val="100"/>
                <w:sz w:val="24"/>
                <w:u w:val="none"/>
                <w:lang w:val="en-US" w:eastAsia="zh-CN"/>
              </w:rPr>
              <w:t>18673045253</w:t>
            </w:r>
          </w:p>
        </w:tc>
      </w:tr>
      <w:tr w14:paraId="65AFD8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37A5B5F4">
            <w:pPr>
              <w:autoSpaceDE w:val="0"/>
              <w:autoSpaceDN w:val="0"/>
              <w:adjustRightInd w:val="0"/>
              <w:snapToGrid w:val="0"/>
              <w:spacing w:line="240" w:lineRule="auto"/>
              <w:ind w:firstLine="0" w:firstLineChars="0"/>
              <w:jc w:val="center"/>
            </w:pPr>
            <w:r>
              <w:t>建设地点</w:t>
            </w:r>
          </w:p>
        </w:tc>
        <w:tc>
          <w:tcPr>
            <w:tcW w:w="7161" w:type="dxa"/>
            <w:gridSpan w:val="3"/>
            <w:vAlign w:val="center"/>
          </w:tcPr>
          <w:p w14:paraId="14AD0387">
            <w:pPr>
              <w:autoSpaceDE w:val="0"/>
              <w:autoSpaceDN w:val="0"/>
              <w:adjustRightInd w:val="0"/>
              <w:snapToGrid w:val="0"/>
              <w:spacing w:line="240" w:lineRule="auto"/>
              <w:ind w:firstLine="0" w:firstLineChars="0"/>
              <w:jc w:val="center"/>
              <w:rPr>
                <w:rFonts w:hint="eastAsia" w:ascii="Times New Roman" w:hAnsi="Times New Roman" w:eastAsia="宋体" w:cs="Times New Roman"/>
              </w:rPr>
            </w:pPr>
            <w:r>
              <w:rPr>
                <w:rFonts w:hint="eastAsia" w:ascii="Times New Roman" w:hAnsi="Times New Roman" w:eastAsia="宋体" w:cs="Times New Roman"/>
              </w:rPr>
              <w:t>湖南省岳阳市岳阳楼区月冲路</w:t>
            </w:r>
          </w:p>
          <w:p w14:paraId="6B42331D">
            <w:pPr>
              <w:autoSpaceDE w:val="0"/>
              <w:autoSpaceDN w:val="0"/>
              <w:adjustRightInd w:val="0"/>
              <w:snapToGrid w:val="0"/>
              <w:spacing w:line="240" w:lineRule="auto"/>
              <w:ind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华能湖南岳阳发电有限责任公司现有厂区内</w:t>
            </w:r>
          </w:p>
        </w:tc>
      </w:tr>
      <w:tr w14:paraId="367039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2618F391">
            <w:pPr>
              <w:autoSpaceDE w:val="0"/>
              <w:autoSpaceDN w:val="0"/>
              <w:adjustRightInd w:val="0"/>
              <w:snapToGrid w:val="0"/>
              <w:spacing w:line="240" w:lineRule="auto"/>
              <w:ind w:firstLine="0" w:firstLineChars="0"/>
              <w:jc w:val="center"/>
            </w:pPr>
            <w:r>
              <w:t>地理坐标</w:t>
            </w:r>
          </w:p>
        </w:tc>
        <w:tc>
          <w:tcPr>
            <w:tcW w:w="7161" w:type="dxa"/>
            <w:gridSpan w:val="3"/>
            <w:vAlign w:val="center"/>
          </w:tcPr>
          <w:p w14:paraId="2644BF6B">
            <w:pPr>
              <w:autoSpaceDE w:val="0"/>
              <w:autoSpaceDN w:val="0"/>
              <w:adjustRightInd w:val="0"/>
              <w:snapToGrid w:val="0"/>
              <w:spacing w:line="240" w:lineRule="auto"/>
              <w:ind w:firstLine="0" w:firstLineChars="0"/>
              <w:jc w:val="center"/>
              <w:rPr>
                <w:rFonts w:ascii="Times New Roman" w:hAnsi="Times New Roman" w:eastAsia="宋体" w:cs="Times New Roman"/>
              </w:rPr>
            </w:pPr>
            <w:r>
              <w:rPr>
                <w:rFonts w:ascii="Times New Roman" w:hAnsi="Times New Roman" w:eastAsia="宋体" w:cs="Times New Roman"/>
              </w:rPr>
              <w:t>（113度</w:t>
            </w:r>
            <w:r>
              <w:rPr>
                <w:rFonts w:hint="eastAsia" w:cs="Times New Roman"/>
                <w:lang w:val="en-US" w:eastAsia="zh-CN"/>
              </w:rPr>
              <w:t>09</w:t>
            </w:r>
            <w:r>
              <w:rPr>
                <w:rFonts w:ascii="Times New Roman" w:hAnsi="Times New Roman" w:eastAsia="宋体" w:cs="Times New Roman"/>
              </w:rPr>
              <w:t>分</w:t>
            </w:r>
            <w:r>
              <w:rPr>
                <w:rFonts w:hint="eastAsia" w:cs="Times New Roman"/>
                <w:lang w:val="en-US" w:eastAsia="zh-CN"/>
              </w:rPr>
              <w:t>50.976</w:t>
            </w:r>
            <w:r>
              <w:rPr>
                <w:rFonts w:ascii="Times New Roman" w:hAnsi="Times New Roman" w:eastAsia="宋体" w:cs="Times New Roman"/>
              </w:rPr>
              <w:t>秒，29度</w:t>
            </w:r>
            <w:r>
              <w:rPr>
                <w:rFonts w:hint="eastAsia" w:cs="Times New Roman"/>
                <w:lang w:val="en-US" w:eastAsia="zh-CN"/>
              </w:rPr>
              <w:t>27</w:t>
            </w:r>
            <w:r>
              <w:rPr>
                <w:rFonts w:ascii="Times New Roman" w:hAnsi="Times New Roman" w:eastAsia="宋体" w:cs="Times New Roman"/>
              </w:rPr>
              <w:t>分</w:t>
            </w:r>
            <w:r>
              <w:rPr>
                <w:rFonts w:hint="eastAsia" w:cs="Times New Roman"/>
                <w:lang w:val="en-US" w:eastAsia="zh-CN"/>
              </w:rPr>
              <w:t>8.685</w:t>
            </w:r>
            <w:r>
              <w:rPr>
                <w:rFonts w:ascii="Times New Roman" w:hAnsi="Times New Roman" w:eastAsia="宋体" w:cs="Times New Roman"/>
              </w:rPr>
              <w:t>秒）</w:t>
            </w:r>
          </w:p>
        </w:tc>
      </w:tr>
      <w:tr w14:paraId="23A5FE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0A4C3E85">
            <w:pPr>
              <w:autoSpaceDE w:val="0"/>
              <w:autoSpaceDN w:val="0"/>
              <w:adjustRightInd w:val="0"/>
              <w:snapToGrid w:val="0"/>
              <w:spacing w:line="240" w:lineRule="auto"/>
              <w:ind w:firstLine="0" w:firstLineChars="0"/>
              <w:jc w:val="center"/>
            </w:pPr>
            <w:r>
              <w:t>国民经济</w:t>
            </w:r>
          </w:p>
          <w:p w14:paraId="2A072924">
            <w:pPr>
              <w:autoSpaceDE w:val="0"/>
              <w:autoSpaceDN w:val="0"/>
              <w:adjustRightInd w:val="0"/>
              <w:snapToGrid w:val="0"/>
              <w:spacing w:line="240" w:lineRule="auto"/>
              <w:ind w:firstLine="0" w:firstLineChars="0"/>
              <w:jc w:val="center"/>
            </w:pPr>
            <w:r>
              <w:t>行业类别</w:t>
            </w:r>
          </w:p>
        </w:tc>
        <w:tc>
          <w:tcPr>
            <w:tcW w:w="1911" w:type="dxa"/>
            <w:vAlign w:val="center"/>
          </w:tcPr>
          <w:p w14:paraId="6FC22616">
            <w:pPr>
              <w:autoSpaceDE w:val="0"/>
              <w:autoSpaceDN w:val="0"/>
              <w:adjustRightInd w:val="0"/>
              <w:snapToGrid w:val="0"/>
              <w:spacing w:line="240" w:lineRule="auto"/>
              <w:ind w:firstLine="0" w:firstLineChars="0"/>
              <w:jc w:val="center"/>
              <w:rPr>
                <w:rFonts w:ascii="Times New Roman" w:hAnsi="Times New Roman" w:eastAsia="宋体" w:cs="Times New Roman"/>
              </w:rPr>
            </w:pPr>
            <w:r>
              <w:rPr>
                <w:rFonts w:hint="eastAsia" w:ascii="Times New Roman" w:hAnsi="Times New Roman" w:eastAsia="宋体" w:cs="Times New Roman"/>
              </w:rPr>
              <w:t>N7723固体废物治理</w:t>
            </w:r>
          </w:p>
        </w:tc>
        <w:tc>
          <w:tcPr>
            <w:tcW w:w="1920" w:type="dxa"/>
            <w:vAlign w:val="center"/>
          </w:tcPr>
          <w:p w14:paraId="063C1C4C">
            <w:pPr>
              <w:autoSpaceDE w:val="0"/>
              <w:autoSpaceDN w:val="0"/>
              <w:adjustRightInd w:val="0"/>
              <w:snapToGrid w:val="0"/>
              <w:spacing w:line="240" w:lineRule="auto"/>
              <w:ind w:firstLine="0" w:firstLineChars="0"/>
              <w:jc w:val="center"/>
              <w:rPr>
                <w:rFonts w:ascii="Times New Roman" w:hAnsi="Times New Roman" w:eastAsia="宋体" w:cs="Times New Roman"/>
              </w:rPr>
            </w:pPr>
            <w:bookmarkStart w:id="58" w:name="_Hlk49843745"/>
            <w:r>
              <w:rPr>
                <w:rFonts w:ascii="Times New Roman" w:hAnsi="Times New Roman" w:eastAsia="宋体" w:cs="Times New Roman"/>
              </w:rPr>
              <w:t>建设项目</w:t>
            </w:r>
          </w:p>
          <w:p w14:paraId="4B163E4A">
            <w:pPr>
              <w:autoSpaceDE w:val="0"/>
              <w:autoSpaceDN w:val="0"/>
              <w:adjustRightInd w:val="0"/>
              <w:snapToGrid w:val="0"/>
              <w:spacing w:line="240" w:lineRule="auto"/>
              <w:ind w:firstLine="0" w:firstLineChars="0"/>
              <w:jc w:val="center"/>
              <w:rPr>
                <w:rFonts w:ascii="Times New Roman" w:hAnsi="Times New Roman" w:eastAsia="宋体" w:cs="Times New Roman"/>
              </w:rPr>
            </w:pPr>
            <w:r>
              <w:rPr>
                <w:rFonts w:ascii="Times New Roman" w:hAnsi="Times New Roman" w:eastAsia="宋体" w:cs="Times New Roman"/>
              </w:rPr>
              <w:t>行业类别</w:t>
            </w:r>
            <w:bookmarkEnd w:id="58"/>
          </w:p>
        </w:tc>
        <w:tc>
          <w:tcPr>
            <w:tcW w:w="3330" w:type="dxa"/>
            <w:vAlign w:val="center"/>
          </w:tcPr>
          <w:p w14:paraId="2F607CF1">
            <w:pPr>
              <w:autoSpaceDE w:val="0"/>
              <w:autoSpaceDN w:val="0"/>
              <w:adjustRightInd w:val="0"/>
              <w:snapToGrid w:val="0"/>
              <w:spacing w:line="240" w:lineRule="auto"/>
              <w:ind w:firstLine="0" w:firstLineChars="0"/>
              <w:jc w:val="both"/>
              <w:rPr>
                <w:rFonts w:ascii="Times New Roman" w:hAnsi="Times New Roman" w:eastAsia="宋体" w:cs="Times New Roman"/>
              </w:rPr>
            </w:pPr>
            <w:r>
              <w:rPr>
                <w:rFonts w:hint="eastAsia" w:ascii="Times New Roman" w:hAnsi="Times New Roman" w:eastAsia="宋体" w:cs="Times New Roman"/>
              </w:rPr>
              <w:t>四十</w:t>
            </w:r>
            <w:r>
              <w:rPr>
                <w:rFonts w:hint="eastAsia" w:cs="Times New Roman"/>
                <w:lang w:val="en-US" w:eastAsia="zh-CN"/>
              </w:rPr>
              <w:t>七</w:t>
            </w:r>
            <w:r>
              <w:rPr>
                <w:rFonts w:hint="eastAsia" w:ascii="Times New Roman" w:hAnsi="Times New Roman" w:eastAsia="宋体" w:cs="Times New Roman"/>
              </w:rPr>
              <w:t>、生态保护和环境治理业中“103 一般工业固体废弃物（含污水处理污泥）建筑施工废弃物处置及综合利用”的“其他”</w:t>
            </w:r>
          </w:p>
        </w:tc>
      </w:tr>
      <w:tr w14:paraId="2B6A6D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3213AE0E">
            <w:pPr>
              <w:autoSpaceDE w:val="0"/>
              <w:autoSpaceDN w:val="0"/>
              <w:adjustRightInd w:val="0"/>
              <w:snapToGrid w:val="0"/>
              <w:spacing w:line="240" w:lineRule="auto"/>
              <w:ind w:firstLine="0" w:firstLineChars="0"/>
              <w:jc w:val="center"/>
            </w:pPr>
            <w:r>
              <w:t>建设性质</w:t>
            </w:r>
          </w:p>
        </w:tc>
        <w:tc>
          <w:tcPr>
            <w:tcW w:w="1911" w:type="dxa"/>
            <w:vAlign w:val="center"/>
          </w:tcPr>
          <w:p w14:paraId="3809160B">
            <w:pPr>
              <w:autoSpaceDE w:val="0"/>
              <w:autoSpaceDN w:val="0"/>
              <w:adjustRightInd w:val="0"/>
              <w:snapToGrid w:val="0"/>
              <w:spacing w:line="240" w:lineRule="auto"/>
              <w:ind w:firstLine="0" w:firstLineChars="0"/>
              <w:jc w:val="left"/>
              <w:rPr>
                <w:rFonts w:ascii="Times New Roman" w:hAnsi="Times New Roman" w:eastAsia="宋体" w:cs="Times New Roman"/>
              </w:rPr>
            </w:pPr>
            <w:r>
              <w:rPr>
                <w:rFonts w:ascii="Times New Roman" w:hAnsi="Times New Roman" w:eastAsia="宋体" w:cs="Times New Roman"/>
              </w:rPr>
              <w:sym w:font="Wingdings" w:char="00A8"/>
            </w:r>
            <w:r>
              <w:rPr>
                <w:rFonts w:ascii="Times New Roman" w:hAnsi="Times New Roman" w:eastAsia="宋体" w:cs="Times New Roman"/>
              </w:rPr>
              <w:t>新建（迁建）</w:t>
            </w:r>
          </w:p>
          <w:p w14:paraId="4F9F7E5C">
            <w:pPr>
              <w:autoSpaceDE w:val="0"/>
              <w:autoSpaceDN w:val="0"/>
              <w:adjustRightInd w:val="0"/>
              <w:snapToGrid w:val="0"/>
              <w:spacing w:line="240" w:lineRule="auto"/>
              <w:ind w:left="0" w:leftChars="0" w:firstLine="0" w:firstLineChars="0"/>
              <w:jc w:val="both"/>
              <w:rPr>
                <w:rFonts w:ascii="Times New Roman" w:hAnsi="Times New Roman" w:eastAsia="宋体" w:cs="Times New Roman"/>
              </w:rPr>
            </w:pPr>
            <w:r>
              <w:rPr>
                <w:rFonts w:ascii="Times New Roman" w:hAnsi="Times New Roman" w:eastAsia="宋体" w:cs="Times New Roman"/>
              </w:rPr>
              <w:sym w:font="Wingdings" w:char="00A8"/>
            </w:r>
            <w:r>
              <w:rPr>
                <w:rFonts w:ascii="Times New Roman" w:hAnsi="Times New Roman" w:eastAsia="宋体" w:cs="Times New Roman"/>
              </w:rPr>
              <w:t>改</w:t>
            </w:r>
            <w:r>
              <w:rPr>
                <w:rFonts w:hint="eastAsia" w:ascii="Times New Roman" w:hAnsi="Times New Roman" w:eastAsia="宋体" w:cs="Times New Roman"/>
              </w:rPr>
              <w:t>建</w:t>
            </w:r>
          </w:p>
          <w:p w14:paraId="34BF6B82">
            <w:pPr>
              <w:autoSpaceDE w:val="0"/>
              <w:autoSpaceDN w:val="0"/>
              <w:adjustRightInd w:val="0"/>
              <w:snapToGrid w:val="0"/>
              <w:spacing w:line="240" w:lineRule="auto"/>
              <w:ind w:firstLine="0" w:firstLineChars="0"/>
              <w:jc w:val="left"/>
              <w:rPr>
                <w:rFonts w:ascii="Times New Roman" w:hAnsi="Times New Roman" w:eastAsia="宋体" w:cs="Times New Roman"/>
              </w:rPr>
            </w:pPr>
            <w:r>
              <w:rPr>
                <w:rFonts w:hint="eastAsia" w:ascii="Times New Roman" w:hAnsi="Times New Roman" w:eastAsia="宋体" w:cs="Times New Roman"/>
              </w:rPr>
              <w:sym w:font="Wingdings" w:char="00A8"/>
            </w:r>
            <w:r>
              <w:rPr>
                <w:rFonts w:hint="eastAsia" w:ascii="Times New Roman" w:hAnsi="Times New Roman" w:eastAsia="宋体" w:cs="Times New Roman"/>
              </w:rPr>
              <w:t>扩</w:t>
            </w:r>
            <w:r>
              <w:rPr>
                <w:rFonts w:ascii="Times New Roman" w:hAnsi="Times New Roman" w:eastAsia="宋体" w:cs="Times New Roman"/>
              </w:rPr>
              <w:t>建</w:t>
            </w:r>
          </w:p>
          <w:p w14:paraId="2E8C3D22">
            <w:pPr>
              <w:autoSpaceDE w:val="0"/>
              <w:autoSpaceDN w:val="0"/>
              <w:adjustRightInd w:val="0"/>
              <w:snapToGrid w:val="0"/>
              <w:spacing w:line="240" w:lineRule="auto"/>
              <w:ind w:firstLine="0" w:firstLineChars="0"/>
              <w:jc w:val="left"/>
              <w:rPr>
                <w:rFonts w:ascii="Times New Roman" w:hAnsi="Times New Roman" w:eastAsia="宋体" w:cs="Times New Roman"/>
              </w:rPr>
            </w:pPr>
            <w:r>
              <w:rPr>
                <w:rFonts w:ascii="Times New Roman" w:hAnsi="Times New Roman" w:eastAsia="宋体" w:cs="Times New Roman"/>
              </w:rPr>
              <w:sym w:font="Wingdings" w:char="00FE"/>
            </w:r>
            <w:r>
              <w:rPr>
                <w:rFonts w:ascii="Times New Roman" w:hAnsi="Times New Roman" w:eastAsia="宋体" w:cs="Times New Roman"/>
              </w:rPr>
              <w:t>技术改造</w:t>
            </w:r>
          </w:p>
        </w:tc>
        <w:tc>
          <w:tcPr>
            <w:tcW w:w="1920" w:type="dxa"/>
            <w:vAlign w:val="center"/>
          </w:tcPr>
          <w:p w14:paraId="55121233">
            <w:pPr>
              <w:autoSpaceDE w:val="0"/>
              <w:autoSpaceDN w:val="0"/>
              <w:adjustRightInd w:val="0"/>
              <w:snapToGrid w:val="0"/>
              <w:spacing w:line="240" w:lineRule="auto"/>
              <w:ind w:left="0" w:leftChars="0" w:right="0" w:rightChars="0" w:firstLine="0" w:firstLineChars="0"/>
              <w:jc w:val="center"/>
              <w:rPr>
                <w:rFonts w:ascii="Times New Roman" w:hAnsi="Times New Roman" w:eastAsia="宋体" w:cs="Times New Roman"/>
              </w:rPr>
            </w:pPr>
            <w:r>
              <w:rPr>
                <w:rFonts w:ascii="Times New Roman" w:hAnsi="Times New Roman" w:eastAsia="宋体" w:cs="Times New Roman"/>
              </w:rPr>
              <w:t>建设项目</w:t>
            </w:r>
          </w:p>
          <w:p w14:paraId="315107FE">
            <w:pPr>
              <w:autoSpaceDE w:val="0"/>
              <w:autoSpaceDN w:val="0"/>
              <w:adjustRightInd w:val="0"/>
              <w:snapToGrid w:val="0"/>
              <w:spacing w:line="240" w:lineRule="auto"/>
              <w:ind w:left="0" w:leftChars="0" w:right="0" w:rightChars="0" w:firstLine="0" w:firstLineChars="0"/>
              <w:jc w:val="center"/>
              <w:rPr>
                <w:rFonts w:ascii="Times New Roman" w:hAnsi="Times New Roman" w:eastAsia="宋体" w:cs="Times New Roman"/>
              </w:rPr>
            </w:pPr>
            <w:r>
              <w:rPr>
                <w:rFonts w:ascii="Times New Roman" w:hAnsi="Times New Roman" w:eastAsia="宋体" w:cs="Times New Roman"/>
              </w:rPr>
              <w:t>申报情形</w:t>
            </w:r>
          </w:p>
        </w:tc>
        <w:tc>
          <w:tcPr>
            <w:tcW w:w="3330" w:type="dxa"/>
            <w:vAlign w:val="center"/>
          </w:tcPr>
          <w:p w14:paraId="0CAC7078">
            <w:pPr>
              <w:autoSpaceDE w:val="0"/>
              <w:autoSpaceDN w:val="0"/>
              <w:adjustRightInd w:val="0"/>
              <w:snapToGrid w:val="0"/>
              <w:spacing w:line="240" w:lineRule="auto"/>
              <w:ind w:firstLine="0" w:firstLineChars="0"/>
              <w:jc w:val="left"/>
              <w:rPr>
                <w:rFonts w:ascii="Times New Roman" w:hAnsi="Times New Roman" w:eastAsia="宋体" w:cs="Times New Roman"/>
              </w:rPr>
            </w:pPr>
            <w:r>
              <w:rPr>
                <w:rFonts w:ascii="Times New Roman" w:hAnsi="Times New Roman" w:eastAsia="宋体" w:cs="Times New Roman"/>
              </w:rPr>
              <w:sym w:font="Wingdings" w:char="00FE"/>
            </w:r>
            <w:r>
              <w:rPr>
                <w:rFonts w:ascii="Times New Roman" w:hAnsi="Times New Roman" w:eastAsia="宋体" w:cs="Times New Roman"/>
              </w:rPr>
              <w:t>首次申报项目</w:t>
            </w:r>
          </w:p>
          <w:p w14:paraId="4E63733A">
            <w:pPr>
              <w:autoSpaceDE w:val="0"/>
              <w:autoSpaceDN w:val="0"/>
              <w:adjustRightInd w:val="0"/>
              <w:snapToGrid w:val="0"/>
              <w:spacing w:line="240" w:lineRule="auto"/>
              <w:ind w:firstLine="0" w:firstLineChars="0"/>
              <w:jc w:val="left"/>
              <w:rPr>
                <w:rFonts w:ascii="Times New Roman" w:hAnsi="Times New Roman" w:eastAsia="宋体" w:cs="Times New Roman"/>
              </w:rPr>
            </w:pPr>
            <w:r>
              <w:rPr>
                <w:rFonts w:ascii="Times New Roman" w:hAnsi="Times New Roman" w:eastAsia="宋体" w:cs="Times New Roman"/>
              </w:rPr>
              <w:sym w:font="Wingdings" w:char="00A8"/>
            </w:r>
            <w:r>
              <w:rPr>
                <w:rFonts w:ascii="Times New Roman" w:hAnsi="Times New Roman" w:eastAsia="宋体" w:cs="Times New Roman"/>
              </w:rPr>
              <w:t>不予批准后再次申报项目</w:t>
            </w:r>
          </w:p>
          <w:p w14:paraId="5848446C">
            <w:pPr>
              <w:autoSpaceDE w:val="0"/>
              <w:autoSpaceDN w:val="0"/>
              <w:adjustRightInd w:val="0"/>
              <w:snapToGrid w:val="0"/>
              <w:spacing w:line="240" w:lineRule="auto"/>
              <w:ind w:firstLine="0" w:firstLineChars="0"/>
              <w:jc w:val="left"/>
              <w:rPr>
                <w:rFonts w:ascii="Times New Roman" w:hAnsi="Times New Roman" w:eastAsia="宋体" w:cs="Times New Roman"/>
              </w:rPr>
            </w:pPr>
            <w:r>
              <w:rPr>
                <w:rFonts w:ascii="Times New Roman" w:hAnsi="Times New Roman" w:eastAsia="宋体" w:cs="Times New Roman"/>
              </w:rPr>
              <w:sym w:font="Wingdings" w:char="00A8"/>
            </w:r>
            <w:r>
              <w:rPr>
                <w:rFonts w:ascii="Times New Roman" w:hAnsi="Times New Roman" w:eastAsia="宋体" w:cs="Times New Roman"/>
              </w:rPr>
              <w:t>超五年重新审核项目</w:t>
            </w:r>
          </w:p>
          <w:p w14:paraId="6775C098">
            <w:pPr>
              <w:autoSpaceDE w:val="0"/>
              <w:autoSpaceDN w:val="0"/>
              <w:adjustRightInd w:val="0"/>
              <w:snapToGrid w:val="0"/>
              <w:spacing w:line="240" w:lineRule="auto"/>
              <w:ind w:firstLine="0" w:firstLineChars="0"/>
              <w:jc w:val="left"/>
              <w:rPr>
                <w:rFonts w:ascii="Times New Roman" w:hAnsi="Times New Roman" w:eastAsia="宋体" w:cs="Times New Roman"/>
              </w:rPr>
            </w:pPr>
            <w:r>
              <w:rPr>
                <w:rFonts w:ascii="Times New Roman" w:hAnsi="Times New Roman" w:eastAsia="宋体" w:cs="Times New Roman"/>
              </w:rPr>
              <w:sym w:font="Wingdings" w:char="00A8"/>
            </w:r>
            <w:r>
              <w:rPr>
                <w:rFonts w:ascii="Times New Roman" w:hAnsi="Times New Roman" w:eastAsia="宋体" w:cs="Times New Roman"/>
              </w:rPr>
              <w:t>重大变动重新报批项目</w:t>
            </w:r>
          </w:p>
        </w:tc>
      </w:tr>
      <w:tr w14:paraId="5847E5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2CDC7E81">
            <w:pPr>
              <w:autoSpaceDE w:val="0"/>
              <w:autoSpaceDN w:val="0"/>
              <w:adjustRightInd w:val="0"/>
              <w:snapToGrid w:val="0"/>
              <w:spacing w:line="240" w:lineRule="auto"/>
              <w:ind w:firstLine="0" w:firstLineChars="0"/>
              <w:jc w:val="both"/>
            </w:pPr>
            <w:r>
              <w:t>项目审批（核准/备案）部门（选填）</w:t>
            </w:r>
          </w:p>
        </w:tc>
        <w:tc>
          <w:tcPr>
            <w:tcW w:w="1911" w:type="dxa"/>
            <w:vAlign w:val="center"/>
          </w:tcPr>
          <w:p w14:paraId="21EDDA8E">
            <w:pPr>
              <w:autoSpaceDE w:val="0"/>
              <w:autoSpaceDN w:val="0"/>
              <w:adjustRightInd w:val="0"/>
              <w:snapToGrid w:val="0"/>
              <w:spacing w:line="240" w:lineRule="auto"/>
              <w:ind w:firstLine="0" w:firstLineChars="0"/>
              <w:jc w:val="center"/>
              <w:rPr>
                <w:rFonts w:hint="eastAsia" w:eastAsia="宋体"/>
                <w:lang w:val="en-US" w:eastAsia="zh-CN"/>
              </w:rPr>
            </w:pPr>
            <w:r>
              <w:rPr>
                <w:rFonts w:hint="eastAsia"/>
                <w:lang w:val="en-US" w:eastAsia="zh-CN"/>
              </w:rPr>
              <w:t>/</w:t>
            </w:r>
          </w:p>
        </w:tc>
        <w:tc>
          <w:tcPr>
            <w:tcW w:w="1920" w:type="dxa"/>
            <w:vAlign w:val="center"/>
          </w:tcPr>
          <w:p w14:paraId="3CE63C33">
            <w:pPr>
              <w:autoSpaceDE w:val="0"/>
              <w:autoSpaceDN w:val="0"/>
              <w:adjustRightInd w:val="0"/>
              <w:snapToGrid w:val="0"/>
              <w:spacing w:line="240" w:lineRule="auto"/>
              <w:ind w:firstLine="0" w:firstLineChars="0"/>
              <w:jc w:val="center"/>
            </w:pPr>
            <w:r>
              <w:t>项目审批（核准/</w:t>
            </w:r>
          </w:p>
          <w:p w14:paraId="67A0365C">
            <w:pPr>
              <w:autoSpaceDE w:val="0"/>
              <w:autoSpaceDN w:val="0"/>
              <w:adjustRightInd w:val="0"/>
              <w:snapToGrid w:val="0"/>
              <w:spacing w:line="240" w:lineRule="auto"/>
              <w:ind w:firstLine="0" w:firstLineChars="0"/>
              <w:jc w:val="center"/>
            </w:pPr>
            <w:r>
              <w:t>备案）文号（选填）</w:t>
            </w:r>
          </w:p>
        </w:tc>
        <w:tc>
          <w:tcPr>
            <w:tcW w:w="3330" w:type="dxa"/>
            <w:vAlign w:val="center"/>
          </w:tcPr>
          <w:p w14:paraId="08524C5B">
            <w:pPr>
              <w:autoSpaceDE w:val="0"/>
              <w:autoSpaceDN w:val="0"/>
              <w:adjustRightInd w:val="0"/>
              <w:snapToGrid w:val="0"/>
              <w:spacing w:line="240" w:lineRule="auto"/>
              <w:ind w:firstLine="0" w:firstLineChars="0"/>
              <w:jc w:val="center"/>
              <w:rPr>
                <w:rFonts w:hint="eastAsia" w:eastAsia="宋体"/>
                <w:lang w:val="en-US" w:eastAsia="zh-CN"/>
              </w:rPr>
            </w:pPr>
            <w:r>
              <w:rPr>
                <w:rFonts w:hint="eastAsia"/>
                <w:lang w:val="en-US" w:eastAsia="zh-CN"/>
              </w:rPr>
              <w:t>/</w:t>
            </w:r>
          </w:p>
        </w:tc>
      </w:tr>
      <w:tr w14:paraId="44AFEE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64A49538">
            <w:pPr>
              <w:autoSpaceDE w:val="0"/>
              <w:autoSpaceDN w:val="0"/>
              <w:adjustRightInd w:val="0"/>
              <w:snapToGrid w:val="0"/>
              <w:spacing w:line="240" w:lineRule="auto"/>
              <w:ind w:firstLine="0" w:firstLineChars="0"/>
              <w:jc w:val="center"/>
              <w:rPr>
                <w:highlight w:val="none"/>
              </w:rPr>
            </w:pPr>
            <w:r>
              <w:rPr>
                <w:highlight w:val="none"/>
              </w:rPr>
              <w:t>总投资</w:t>
            </w:r>
          </w:p>
          <w:p w14:paraId="594A794C">
            <w:pPr>
              <w:autoSpaceDE w:val="0"/>
              <w:autoSpaceDN w:val="0"/>
              <w:adjustRightInd w:val="0"/>
              <w:snapToGrid w:val="0"/>
              <w:spacing w:line="240" w:lineRule="auto"/>
              <w:ind w:firstLine="0" w:firstLineChars="0"/>
              <w:jc w:val="center"/>
              <w:rPr>
                <w:highlight w:val="none"/>
              </w:rPr>
            </w:pPr>
            <w:r>
              <w:rPr>
                <w:highlight w:val="none"/>
              </w:rPr>
              <w:t>（万元）</w:t>
            </w:r>
          </w:p>
        </w:tc>
        <w:tc>
          <w:tcPr>
            <w:tcW w:w="1911" w:type="dxa"/>
            <w:vAlign w:val="center"/>
          </w:tcPr>
          <w:p w14:paraId="191C37EC">
            <w:pPr>
              <w:autoSpaceDE w:val="0"/>
              <w:autoSpaceDN w:val="0"/>
              <w:adjustRightInd w:val="0"/>
              <w:snapToGrid w:val="0"/>
              <w:spacing w:line="240" w:lineRule="auto"/>
              <w:ind w:firstLine="0" w:firstLineChars="0"/>
              <w:jc w:val="center"/>
              <w:rPr>
                <w:rFonts w:hint="default" w:eastAsia="宋体"/>
                <w:highlight w:val="none"/>
                <w:lang w:val="en-US" w:eastAsia="zh-CN"/>
              </w:rPr>
            </w:pPr>
            <w:r>
              <w:rPr>
                <w:rFonts w:hint="eastAsia"/>
                <w:highlight w:val="none"/>
                <w:lang w:val="en-US" w:eastAsia="zh-CN"/>
              </w:rPr>
              <w:t>230</w:t>
            </w:r>
          </w:p>
        </w:tc>
        <w:tc>
          <w:tcPr>
            <w:tcW w:w="1920" w:type="dxa"/>
            <w:tcMar>
              <w:top w:w="16" w:type="dxa"/>
              <w:left w:w="16" w:type="dxa"/>
              <w:right w:w="16" w:type="dxa"/>
            </w:tcMar>
            <w:vAlign w:val="center"/>
          </w:tcPr>
          <w:p w14:paraId="6A9A0E02">
            <w:pPr>
              <w:autoSpaceDE w:val="0"/>
              <w:autoSpaceDN w:val="0"/>
              <w:adjustRightInd w:val="0"/>
              <w:snapToGrid w:val="0"/>
              <w:spacing w:line="240" w:lineRule="auto"/>
              <w:ind w:firstLine="0" w:firstLineChars="0"/>
              <w:jc w:val="center"/>
              <w:rPr>
                <w:highlight w:val="none"/>
              </w:rPr>
            </w:pPr>
            <w:r>
              <w:rPr>
                <w:highlight w:val="none"/>
              </w:rPr>
              <w:t>环保投资（万元）</w:t>
            </w:r>
          </w:p>
        </w:tc>
        <w:tc>
          <w:tcPr>
            <w:tcW w:w="3330" w:type="dxa"/>
            <w:vAlign w:val="center"/>
          </w:tcPr>
          <w:p w14:paraId="33184230">
            <w:pPr>
              <w:autoSpaceDE w:val="0"/>
              <w:autoSpaceDN w:val="0"/>
              <w:adjustRightInd w:val="0"/>
              <w:snapToGrid w:val="0"/>
              <w:spacing w:line="240" w:lineRule="auto"/>
              <w:ind w:firstLine="0" w:firstLineChars="0"/>
              <w:jc w:val="center"/>
              <w:rPr>
                <w:rFonts w:hint="default" w:eastAsia="宋体"/>
                <w:highlight w:val="none"/>
                <w:lang w:val="en-US" w:eastAsia="zh-CN"/>
              </w:rPr>
            </w:pPr>
            <w:r>
              <w:rPr>
                <w:rFonts w:hint="eastAsia"/>
                <w:highlight w:val="none"/>
                <w:lang w:val="en-US" w:eastAsia="zh-CN"/>
              </w:rPr>
              <w:t>5</w:t>
            </w:r>
          </w:p>
        </w:tc>
      </w:tr>
      <w:tr w14:paraId="6CD5C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2C632D86">
            <w:pPr>
              <w:autoSpaceDE w:val="0"/>
              <w:autoSpaceDN w:val="0"/>
              <w:adjustRightInd w:val="0"/>
              <w:snapToGrid w:val="0"/>
              <w:spacing w:line="240" w:lineRule="auto"/>
              <w:ind w:firstLine="0" w:firstLineChars="0"/>
              <w:jc w:val="center"/>
            </w:pPr>
            <w:r>
              <w:t>环保投资占比（%）</w:t>
            </w:r>
          </w:p>
        </w:tc>
        <w:tc>
          <w:tcPr>
            <w:tcW w:w="1911" w:type="dxa"/>
            <w:vAlign w:val="center"/>
          </w:tcPr>
          <w:p w14:paraId="73D631A3">
            <w:pPr>
              <w:autoSpaceDE w:val="0"/>
              <w:autoSpaceDN w:val="0"/>
              <w:adjustRightInd w:val="0"/>
              <w:snapToGrid w:val="0"/>
              <w:spacing w:line="240" w:lineRule="auto"/>
              <w:ind w:firstLine="0" w:firstLineChars="0"/>
              <w:jc w:val="center"/>
              <w:rPr>
                <w:rFonts w:hint="default" w:eastAsia="宋体"/>
                <w:highlight w:val="none"/>
                <w:lang w:val="en-US" w:eastAsia="zh-CN"/>
              </w:rPr>
            </w:pPr>
            <w:r>
              <w:rPr>
                <w:rFonts w:hint="eastAsia"/>
                <w:highlight w:val="none"/>
                <w:lang w:val="en-US" w:eastAsia="zh-CN"/>
              </w:rPr>
              <w:t>2.17</w:t>
            </w:r>
          </w:p>
        </w:tc>
        <w:tc>
          <w:tcPr>
            <w:tcW w:w="1920" w:type="dxa"/>
            <w:tcMar>
              <w:top w:w="16" w:type="dxa"/>
              <w:left w:w="16" w:type="dxa"/>
              <w:right w:w="16" w:type="dxa"/>
            </w:tcMar>
            <w:vAlign w:val="center"/>
          </w:tcPr>
          <w:p w14:paraId="7B3B30C0">
            <w:pPr>
              <w:autoSpaceDE w:val="0"/>
              <w:autoSpaceDN w:val="0"/>
              <w:adjustRightInd w:val="0"/>
              <w:snapToGrid w:val="0"/>
              <w:spacing w:line="240" w:lineRule="auto"/>
              <w:ind w:firstLine="0" w:firstLineChars="0"/>
              <w:jc w:val="center"/>
            </w:pPr>
            <w:r>
              <w:t>施工工期</w:t>
            </w:r>
          </w:p>
        </w:tc>
        <w:tc>
          <w:tcPr>
            <w:tcW w:w="3330" w:type="dxa"/>
            <w:vAlign w:val="center"/>
          </w:tcPr>
          <w:p w14:paraId="28CA1D61">
            <w:pPr>
              <w:autoSpaceDE w:val="0"/>
              <w:autoSpaceDN w:val="0"/>
              <w:adjustRightInd w:val="0"/>
              <w:snapToGrid w:val="0"/>
              <w:spacing w:line="240" w:lineRule="auto"/>
              <w:ind w:firstLine="0" w:firstLineChars="0"/>
              <w:jc w:val="center"/>
              <w:rPr>
                <w:rFonts w:hint="eastAsia" w:eastAsia="宋体"/>
                <w:lang w:val="en-US" w:eastAsia="zh-CN"/>
              </w:rPr>
            </w:pPr>
            <w:r>
              <w:rPr>
                <w:rFonts w:hint="eastAsia"/>
                <w:lang w:val="en-US" w:eastAsia="zh-CN"/>
              </w:rPr>
              <w:t>3</w:t>
            </w:r>
          </w:p>
        </w:tc>
      </w:tr>
      <w:tr w14:paraId="256657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6145412F">
            <w:pPr>
              <w:autoSpaceDE w:val="0"/>
              <w:autoSpaceDN w:val="0"/>
              <w:adjustRightInd w:val="0"/>
              <w:snapToGrid w:val="0"/>
              <w:spacing w:line="240" w:lineRule="auto"/>
              <w:ind w:firstLine="0" w:firstLineChars="0"/>
              <w:jc w:val="center"/>
            </w:pPr>
            <w:r>
              <w:t>是否开工建设</w:t>
            </w:r>
          </w:p>
        </w:tc>
        <w:tc>
          <w:tcPr>
            <w:tcW w:w="1911" w:type="dxa"/>
            <w:vAlign w:val="center"/>
          </w:tcPr>
          <w:p w14:paraId="38E290E6">
            <w:pPr>
              <w:autoSpaceDE w:val="0"/>
              <w:autoSpaceDN w:val="0"/>
              <w:adjustRightInd w:val="0"/>
              <w:snapToGrid w:val="0"/>
              <w:spacing w:line="240" w:lineRule="auto"/>
              <w:ind w:firstLine="0" w:firstLineChars="0"/>
              <w:jc w:val="left"/>
            </w:pPr>
            <w:r>
              <w:rPr/>
              <w:sym w:font="Wingdings" w:char="00FE"/>
            </w:r>
            <w:r>
              <w:t>否</w:t>
            </w:r>
          </w:p>
          <w:p w14:paraId="66DDA5D0">
            <w:pPr>
              <w:autoSpaceDE w:val="0"/>
              <w:autoSpaceDN w:val="0"/>
              <w:adjustRightInd w:val="0"/>
              <w:snapToGrid w:val="0"/>
              <w:spacing w:line="240" w:lineRule="auto"/>
              <w:ind w:firstLine="0" w:firstLineChars="0"/>
            </w:pPr>
            <w:r>
              <w:rPr/>
              <w:sym w:font="Wingdings" w:char="00A8"/>
            </w:r>
            <w:r>
              <w:t>是</w:t>
            </w:r>
          </w:p>
        </w:tc>
        <w:tc>
          <w:tcPr>
            <w:tcW w:w="1920" w:type="dxa"/>
            <w:tcMar>
              <w:top w:w="16" w:type="dxa"/>
              <w:left w:w="16" w:type="dxa"/>
              <w:right w:w="16" w:type="dxa"/>
            </w:tcMar>
            <w:vAlign w:val="center"/>
          </w:tcPr>
          <w:p w14:paraId="602F09BB">
            <w:pPr>
              <w:autoSpaceDE w:val="0"/>
              <w:autoSpaceDN w:val="0"/>
              <w:adjustRightInd w:val="0"/>
              <w:snapToGrid w:val="0"/>
              <w:spacing w:line="240" w:lineRule="auto"/>
              <w:ind w:firstLine="0" w:firstLineChars="0"/>
              <w:jc w:val="center"/>
              <w:rPr>
                <w:spacing w:val="-6"/>
              </w:rPr>
            </w:pPr>
            <w:r>
              <w:rPr>
                <w:spacing w:val="-6"/>
              </w:rPr>
              <w:t>用地（用海）</w:t>
            </w:r>
          </w:p>
          <w:p w14:paraId="07953DBA">
            <w:pPr>
              <w:autoSpaceDE w:val="0"/>
              <w:autoSpaceDN w:val="0"/>
              <w:adjustRightInd w:val="0"/>
              <w:snapToGrid w:val="0"/>
              <w:spacing w:line="240" w:lineRule="auto"/>
              <w:ind w:firstLine="0" w:firstLineChars="0"/>
              <w:jc w:val="center"/>
            </w:pPr>
            <w:r>
              <w:rPr>
                <w:spacing w:val="-6"/>
              </w:rPr>
              <w:t>面积（m</w:t>
            </w:r>
            <w:r>
              <w:rPr>
                <w:spacing w:val="-6"/>
                <w:vertAlign w:val="superscript"/>
              </w:rPr>
              <w:t>2</w:t>
            </w:r>
            <w:r>
              <w:rPr>
                <w:spacing w:val="-6"/>
              </w:rPr>
              <w:t>）</w:t>
            </w:r>
          </w:p>
        </w:tc>
        <w:tc>
          <w:tcPr>
            <w:tcW w:w="3330" w:type="dxa"/>
            <w:vAlign w:val="center"/>
          </w:tcPr>
          <w:p w14:paraId="036DC68A">
            <w:pPr>
              <w:autoSpaceDE w:val="0"/>
              <w:autoSpaceDN w:val="0"/>
              <w:adjustRightInd w:val="0"/>
              <w:snapToGrid w:val="0"/>
              <w:spacing w:line="240" w:lineRule="auto"/>
              <w:ind w:firstLine="0" w:firstLineChars="0"/>
              <w:jc w:val="center"/>
              <w:rPr>
                <w:rFonts w:hint="eastAsia"/>
                <w:highlight w:val="none"/>
                <w:vertAlign w:val="superscript"/>
                <w:lang w:val="en-US" w:eastAsia="zh-CN"/>
              </w:rPr>
            </w:pPr>
            <w:r>
              <w:rPr>
                <w:rFonts w:hint="eastAsia"/>
                <w:highlight w:val="none"/>
                <w:lang w:val="en-US" w:eastAsia="zh-CN"/>
              </w:rPr>
              <w:t>6600m</w:t>
            </w:r>
            <w:r>
              <w:rPr>
                <w:rFonts w:hint="eastAsia"/>
                <w:highlight w:val="none"/>
                <w:vertAlign w:val="superscript"/>
                <w:lang w:val="en-US" w:eastAsia="zh-CN"/>
              </w:rPr>
              <w:t>2</w:t>
            </w:r>
          </w:p>
          <w:p w14:paraId="1F36F4A0">
            <w:pPr>
              <w:autoSpaceDE w:val="0"/>
              <w:autoSpaceDN w:val="0"/>
              <w:adjustRightInd w:val="0"/>
              <w:snapToGrid w:val="0"/>
              <w:spacing w:line="240" w:lineRule="auto"/>
              <w:ind w:firstLine="0" w:firstLineChars="0"/>
              <w:jc w:val="center"/>
              <w:rPr>
                <w:rFonts w:hint="default"/>
                <w:vertAlign w:val="baseline"/>
                <w:lang w:val="en-US" w:eastAsia="zh-CN"/>
              </w:rPr>
            </w:pPr>
            <w:r>
              <w:rPr>
                <w:rFonts w:hint="eastAsia"/>
                <w:highlight w:val="none"/>
                <w:vertAlign w:val="baseline"/>
                <w:lang w:val="en-US" w:eastAsia="zh-CN"/>
              </w:rPr>
              <w:t>（不新增用地）</w:t>
            </w:r>
          </w:p>
        </w:tc>
      </w:tr>
      <w:tr w14:paraId="142073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vAlign w:val="center"/>
          </w:tcPr>
          <w:p w14:paraId="6247F6FD">
            <w:pPr>
              <w:autoSpaceDE w:val="0"/>
              <w:autoSpaceDN w:val="0"/>
              <w:adjustRightInd w:val="0"/>
              <w:snapToGrid w:val="0"/>
              <w:spacing w:line="240" w:lineRule="auto"/>
              <w:ind w:firstLine="0" w:firstLineChars="0"/>
              <w:jc w:val="center"/>
            </w:pPr>
            <w:r>
              <w:t>专项评价</w:t>
            </w:r>
          </w:p>
          <w:p w14:paraId="7DDB2438">
            <w:pPr>
              <w:autoSpaceDE w:val="0"/>
              <w:autoSpaceDN w:val="0"/>
              <w:adjustRightInd w:val="0"/>
              <w:snapToGrid w:val="0"/>
              <w:spacing w:line="240" w:lineRule="auto"/>
              <w:ind w:firstLine="0" w:firstLineChars="0"/>
              <w:jc w:val="center"/>
            </w:pPr>
            <w:r>
              <w:t>设置情况</w:t>
            </w:r>
          </w:p>
        </w:tc>
        <w:tc>
          <w:tcPr>
            <w:tcW w:w="7161" w:type="dxa"/>
            <w:gridSpan w:val="3"/>
            <w:vAlign w:val="center"/>
          </w:tcPr>
          <w:p w14:paraId="5B097027">
            <w:pPr>
              <w:spacing w:line="240" w:lineRule="auto"/>
              <w:ind w:firstLine="0" w:firstLineChars="0"/>
              <w:jc w:val="center"/>
            </w:pPr>
            <w:r>
              <w:rPr>
                <w:rFonts w:hint="eastAsia"/>
              </w:rPr>
              <w:t>/</w:t>
            </w:r>
          </w:p>
        </w:tc>
      </w:tr>
      <w:tr w14:paraId="56FE23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697" w:hRule="atLeast"/>
          <w:jc w:val="center"/>
        </w:trPr>
        <w:tc>
          <w:tcPr>
            <w:tcW w:w="1733" w:type="dxa"/>
            <w:gridSpan w:val="2"/>
            <w:vAlign w:val="center"/>
          </w:tcPr>
          <w:p w14:paraId="3BEC1AEA">
            <w:pPr>
              <w:autoSpaceDE w:val="0"/>
              <w:autoSpaceDN w:val="0"/>
              <w:adjustRightInd w:val="0"/>
              <w:snapToGrid w:val="0"/>
              <w:spacing w:line="240" w:lineRule="auto"/>
              <w:ind w:firstLine="0" w:firstLineChars="0"/>
              <w:jc w:val="center"/>
              <w:rPr>
                <w:highlight w:val="none"/>
              </w:rPr>
            </w:pPr>
            <w:r>
              <w:rPr>
                <w:highlight w:val="none"/>
              </w:rPr>
              <w:t>规划情况</w:t>
            </w:r>
          </w:p>
        </w:tc>
        <w:tc>
          <w:tcPr>
            <w:tcW w:w="7161" w:type="dxa"/>
            <w:gridSpan w:val="3"/>
            <w:vAlign w:val="center"/>
          </w:tcPr>
          <w:p w14:paraId="6BD14983">
            <w:pPr>
              <w:keepNext w:val="0"/>
              <w:keepLines w:val="0"/>
              <w:pageBreakBefore w:val="0"/>
              <w:widowControl/>
              <w:numPr>
                <w:ilvl w:val="0"/>
                <w:numId w:val="0"/>
              </w:numPr>
              <w:kinsoku/>
              <w:wordWrap/>
              <w:overflowPunct/>
              <w:topLinePunct w:val="0"/>
              <w:autoSpaceDE w:val="0"/>
              <w:autoSpaceDN w:val="0"/>
              <w:bidi w:val="0"/>
              <w:adjustRightInd w:val="0"/>
              <w:snapToGrid w:val="0"/>
              <w:spacing w:line="264" w:lineRule="auto"/>
              <w:ind w:left="0" w:leftChars="0" w:right="0" w:rightChars="0" w:firstLine="0" w:firstLineChars="0"/>
              <w:jc w:val="center"/>
              <w:textAlignment w:val="auto"/>
              <w:rPr>
                <w:rFonts w:hint="eastAsia"/>
                <w:highlight w:val="none"/>
                <w:lang w:val="en-US" w:eastAsia="zh-CN"/>
              </w:rPr>
            </w:pPr>
            <w:r>
              <w:rPr>
                <w:rFonts w:hint="eastAsia"/>
                <w:highlight w:val="none"/>
                <w:lang w:val="en-US" w:eastAsia="zh-CN"/>
              </w:rPr>
              <w:t>《岳阳市城陵矶片区（H）控制性详细规划》</w:t>
            </w:r>
          </w:p>
          <w:p w14:paraId="27432330">
            <w:pPr>
              <w:keepNext w:val="0"/>
              <w:keepLines w:val="0"/>
              <w:pageBreakBefore w:val="0"/>
              <w:widowControl/>
              <w:numPr>
                <w:ilvl w:val="0"/>
                <w:numId w:val="0"/>
              </w:numPr>
              <w:kinsoku/>
              <w:wordWrap/>
              <w:overflowPunct/>
              <w:topLinePunct w:val="0"/>
              <w:autoSpaceDE w:val="0"/>
              <w:autoSpaceDN w:val="0"/>
              <w:bidi w:val="0"/>
              <w:adjustRightInd w:val="0"/>
              <w:snapToGrid w:val="0"/>
              <w:spacing w:line="264" w:lineRule="auto"/>
              <w:ind w:left="0" w:leftChars="0" w:right="0" w:rightChars="0" w:firstLine="0" w:firstLineChars="0"/>
              <w:jc w:val="center"/>
              <w:textAlignment w:val="auto"/>
              <w:rPr>
                <w:rFonts w:hint="default"/>
                <w:highlight w:val="none"/>
                <w:lang w:val="en-US" w:eastAsia="zh-CN"/>
              </w:rPr>
            </w:pPr>
            <w:r>
              <w:rPr>
                <w:rFonts w:hint="eastAsia"/>
                <w:highlight w:val="none"/>
                <w:lang w:val="en-US" w:eastAsia="zh-CN"/>
              </w:rPr>
              <w:t>《岳阳市国土空间总体规划（2021-2035年）》</w:t>
            </w:r>
          </w:p>
        </w:tc>
      </w:tr>
      <w:tr w14:paraId="14235D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vAlign w:val="center"/>
          </w:tcPr>
          <w:p w14:paraId="6EB2F076">
            <w:pPr>
              <w:autoSpaceDE w:val="0"/>
              <w:autoSpaceDN w:val="0"/>
              <w:adjustRightInd w:val="0"/>
              <w:snapToGrid w:val="0"/>
              <w:spacing w:line="240" w:lineRule="auto"/>
              <w:ind w:firstLine="0" w:firstLineChars="0"/>
              <w:jc w:val="center"/>
            </w:pPr>
            <w:r>
              <w:t>规划环境影响评价情况</w:t>
            </w:r>
          </w:p>
        </w:tc>
        <w:tc>
          <w:tcPr>
            <w:tcW w:w="7161" w:type="dxa"/>
            <w:gridSpan w:val="3"/>
            <w:vAlign w:val="center"/>
          </w:tcPr>
          <w:p w14:paraId="3DB9CFE1">
            <w:pPr>
              <w:ind w:left="0" w:leftChars="0" w:right="0" w:rightChars="0" w:firstLine="0" w:firstLineChars="0"/>
              <w:jc w:val="center"/>
              <w:rPr>
                <w:rFonts w:hint="eastAsia" w:eastAsia="宋体"/>
                <w:lang w:val="en-US" w:eastAsia="zh-CN"/>
              </w:rPr>
            </w:pPr>
            <w:r>
              <w:rPr>
                <w:rFonts w:hint="eastAsia"/>
                <w:lang w:val="en-US" w:eastAsia="zh-CN"/>
              </w:rPr>
              <w:t>/</w:t>
            </w:r>
          </w:p>
        </w:tc>
      </w:tr>
      <w:tr w14:paraId="5C101C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90" w:hRule="atLeast"/>
          <w:jc w:val="center"/>
        </w:trPr>
        <w:tc>
          <w:tcPr>
            <w:tcW w:w="1733" w:type="dxa"/>
            <w:gridSpan w:val="2"/>
            <w:vAlign w:val="center"/>
          </w:tcPr>
          <w:p w14:paraId="2BD297C8">
            <w:pPr>
              <w:autoSpaceDE w:val="0"/>
              <w:autoSpaceDN w:val="0"/>
              <w:adjustRightInd w:val="0"/>
              <w:snapToGrid w:val="0"/>
              <w:spacing w:line="240" w:lineRule="auto"/>
              <w:ind w:firstLine="0" w:firstLineChars="0"/>
              <w:jc w:val="center"/>
            </w:pPr>
            <w:r>
              <w:t>规划及规划环境影响评价符合性分析</w:t>
            </w:r>
          </w:p>
        </w:tc>
        <w:tc>
          <w:tcPr>
            <w:tcW w:w="7161" w:type="dxa"/>
            <w:gridSpan w:val="3"/>
            <w:vAlign w:val="center"/>
          </w:tcPr>
          <w:p w14:paraId="6B4DE212">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cs="Times New Roman"/>
                <w:b/>
                <w:bCs/>
                <w:u w:val="single"/>
                <w:lang w:val="en-US" w:eastAsia="zh-CN"/>
              </w:rPr>
            </w:pPr>
            <w:r>
              <w:rPr>
                <w:rFonts w:hint="eastAsia" w:cs="Times New Roman"/>
                <w:b/>
                <w:bCs/>
                <w:u w:val="single"/>
                <w:lang w:val="en-US" w:eastAsia="zh-CN"/>
              </w:rPr>
              <w:t>规划符合性分析</w:t>
            </w:r>
          </w:p>
          <w:p w14:paraId="703BAE79">
            <w:pPr>
              <w:keepNext w:val="0"/>
              <w:keepLines w:val="0"/>
              <w:pageBreakBefore w:val="0"/>
              <w:widowControl/>
              <w:numPr>
                <w:ilvl w:val="0"/>
                <w:numId w:val="8"/>
              </w:numPr>
              <w:kinsoku/>
              <w:wordWrap/>
              <w:overflowPunct/>
              <w:topLinePunct w:val="0"/>
              <w:autoSpaceDE/>
              <w:autoSpaceDN/>
              <w:bidi w:val="0"/>
              <w:adjustRightInd/>
              <w:snapToGrid/>
              <w:spacing w:line="360" w:lineRule="auto"/>
              <w:ind w:leftChars="0" w:right="0" w:rightChars="0" w:firstLine="0" w:firstLineChars="0"/>
              <w:jc w:val="both"/>
              <w:textAlignment w:val="auto"/>
              <w:rPr>
                <w:rFonts w:hint="eastAsia" w:cs="Times New Roman"/>
                <w:b w:val="0"/>
                <w:bCs w:val="0"/>
                <w:u w:val="single"/>
                <w:lang w:val="en-US" w:eastAsia="zh-CN"/>
              </w:rPr>
            </w:pPr>
            <w:r>
              <w:rPr>
                <w:rFonts w:hint="eastAsia" w:cs="Times New Roman"/>
                <w:b w:val="0"/>
                <w:bCs w:val="0"/>
                <w:u w:val="single"/>
                <w:lang w:val="en-US" w:eastAsia="zh-CN"/>
              </w:rPr>
              <w:t>与岳阳市城陵矶片区控制性详细规划的符合性分析</w:t>
            </w:r>
          </w:p>
          <w:p w14:paraId="2724AB90">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right="0" w:rightChars="0" w:firstLine="480" w:firstLineChars="200"/>
              <w:jc w:val="left"/>
              <w:textAlignment w:val="auto"/>
              <w:rPr>
                <w:rFonts w:hint="eastAsia" w:cs="Times New Roman"/>
                <w:b w:val="0"/>
                <w:bCs w:val="0"/>
                <w:i w:val="0"/>
                <w:iCs w:val="0"/>
                <w:caps w:val="0"/>
                <w:color w:val="0F1115"/>
                <w:spacing w:val="0"/>
                <w:sz w:val="24"/>
                <w:szCs w:val="24"/>
                <w:u w:val="single"/>
                <w:shd w:val="clear" w:fill="FFFFFF"/>
                <w:lang w:eastAsia="zh-CN"/>
              </w:rPr>
            </w:pPr>
            <w:r>
              <w:rPr>
                <w:rFonts w:hint="default" w:ascii="Times New Roman" w:hAnsi="Times New Roman" w:eastAsia="宋体" w:cs="Times New Roman"/>
                <w:b w:val="0"/>
                <w:bCs w:val="0"/>
                <w:i w:val="0"/>
                <w:iCs w:val="0"/>
                <w:caps w:val="0"/>
                <w:color w:val="0F1115"/>
                <w:spacing w:val="0"/>
                <w:sz w:val="24"/>
                <w:szCs w:val="24"/>
                <w:u w:val="single"/>
                <w:shd w:val="clear" w:fill="FFFFFF"/>
              </w:rPr>
              <w:t>《岳阳市城陵矶片区（H）控制性详细规划》是岳阳市中心城区43个片区控规之一</w:t>
            </w:r>
            <w:r>
              <w:rPr>
                <w:rFonts w:hint="default" w:ascii="Times New Roman" w:hAnsi="Times New Roman" w:eastAsia="宋体" w:cs="Times New Roman"/>
                <w:b w:val="0"/>
                <w:bCs w:val="0"/>
                <w:i w:val="0"/>
                <w:iCs w:val="0"/>
                <w:caps w:val="0"/>
                <w:color w:val="3964FE"/>
                <w:spacing w:val="0"/>
                <w:sz w:val="24"/>
                <w:szCs w:val="24"/>
                <w:u w:val="single"/>
                <w:bdr w:val="single" w:color="auto" w:sz="18" w:space="0"/>
                <w:shd w:val="clear" w:fill="FFFFFF"/>
              </w:rPr>
              <w:fldChar w:fldCharType="begin"/>
            </w:r>
            <w:r>
              <w:rPr>
                <w:rFonts w:hint="default" w:ascii="Times New Roman" w:hAnsi="Times New Roman" w:eastAsia="宋体" w:cs="Times New Roman"/>
                <w:b w:val="0"/>
                <w:bCs w:val="0"/>
                <w:i w:val="0"/>
                <w:iCs w:val="0"/>
                <w:caps w:val="0"/>
                <w:color w:val="3964FE"/>
                <w:spacing w:val="0"/>
                <w:sz w:val="24"/>
                <w:szCs w:val="24"/>
                <w:u w:val="single"/>
                <w:bdr w:val="single" w:color="auto" w:sz="18" w:space="0"/>
                <w:shd w:val="clear" w:fill="FFFFFF"/>
              </w:rPr>
              <w:instrText xml:space="preserve"> HYPERLINK "http://papers.803.com.cn/cjxxb/2011-07/26/content_99452477.html" \t "https://chat.deepseek.com/a/chat/s/_blank" </w:instrText>
            </w:r>
            <w:r>
              <w:rPr>
                <w:rFonts w:hint="default" w:ascii="Times New Roman" w:hAnsi="Times New Roman" w:eastAsia="宋体" w:cs="Times New Roman"/>
                <w:b w:val="0"/>
                <w:bCs w:val="0"/>
                <w:i w:val="0"/>
                <w:iCs w:val="0"/>
                <w:caps w:val="0"/>
                <w:color w:val="3964FE"/>
                <w:spacing w:val="0"/>
                <w:sz w:val="24"/>
                <w:szCs w:val="24"/>
                <w:u w:val="single"/>
                <w:bdr w:val="single" w:color="auto" w:sz="18" w:space="0"/>
                <w:shd w:val="clear" w:fill="FFFFFF"/>
              </w:rPr>
              <w:fldChar w:fldCharType="separate"/>
            </w:r>
            <w:r>
              <w:rPr>
                <w:rFonts w:hint="default" w:ascii="Times New Roman" w:hAnsi="Times New Roman" w:eastAsia="宋体" w:cs="Times New Roman"/>
                <w:b w:val="0"/>
                <w:bCs w:val="0"/>
                <w:i w:val="0"/>
                <w:iCs w:val="0"/>
                <w:caps w:val="0"/>
                <w:color w:val="3964FE"/>
                <w:spacing w:val="0"/>
                <w:sz w:val="24"/>
                <w:szCs w:val="24"/>
                <w:u w:val="single"/>
                <w:bdr w:val="single" w:color="auto" w:sz="18" w:space="0"/>
                <w:shd w:val="clear" w:fill="FFFFFF"/>
              </w:rPr>
              <w:fldChar w:fldCharType="end"/>
            </w:r>
            <w:r>
              <w:rPr>
                <w:rFonts w:hint="default" w:ascii="Times New Roman" w:hAnsi="Times New Roman" w:eastAsia="宋体" w:cs="Times New Roman"/>
                <w:b w:val="0"/>
                <w:bCs w:val="0"/>
                <w:i w:val="0"/>
                <w:iCs w:val="0"/>
                <w:caps w:val="0"/>
                <w:color w:val="0F1115"/>
                <w:spacing w:val="0"/>
                <w:sz w:val="24"/>
                <w:szCs w:val="24"/>
                <w:u w:val="single"/>
                <w:shd w:val="clear" w:fill="FFFFFF"/>
              </w:rPr>
              <w:t>。该规划已编制完成并通过省级专家评审</w:t>
            </w:r>
            <w:r>
              <w:rPr>
                <w:rFonts w:hint="default" w:ascii="Times New Roman" w:hAnsi="Times New Roman" w:eastAsia="宋体" w:cs="Times New Roman"/>
                <w:b w:val="0"/>
                <w:bCs w:val="0"/>
                <w:i w:val="0"/>
                <w:iCs w:val="0"/>
                <w:caps w:val="0"/>
                <w:color w:val="3964FE"/>
                <w:spacing w:val="0"/>
                <w:sz w:val="24"/>
                <w:szCs w:val="24"/>
                <w:u w:val="single"/>
                <w:bdr w:val="single" w:color="auto" w:sz="18" w:space="0"/>
                <w:shd w:val="clear" w:fill="FFFFFF"/>
              </w:rPr>
              <w:fldChar w:fldCharType="begin"/>
            </w:r>
            <w:r>
              <w:rPr>
                <w:rFonts w:hint="default" w:ascii="Times New Roman" w:hAnsi="Times New Roman" w:eastAsia="宋体" w:cs="Times New Roman"/>
                <w:b w:val="0"/>
                <w:bCs w:val="0"/>
                <w:i w:val="0"/>
                <w:iCs w:val="0"/>
                <w:caps w:val="0"/>
                <w:color w:val="3964FE"/>
                <w:spacing w:val="0"/>
                <w:sz w:val="24"/>
                <w:szCs w:val="24"/>
                <w:u w:val="single"/>
                <w:bdr w:val="single" w:color="auto" w:sz="18" w:space="0"/>
                <w:shd w:val="clear" w:fill="FFFFFF"/>
              </w:rPr>
              <w:instrText xml:space="preserve"> HYPERLINK "https://papers.803.com.cn/cjxxb/2011-07/18/content_99452102.html" \t "https://chat.deepseek.com/a/chat/s/_blank" </w:instrText>
            </w:r>
            <w:r>
              <w:rPr>
                <w:rFonts w:hint="default" w:ascii="Times New Roman" w:hAnsi="Times New Roman" w:eastAsia="宋体" w:cs="Times New Roman"/>
                <w:b w:val="0"/>
                <w:bCs w:val="0"/>
                <w:i w:val="0"/>
                <w:iCs w:val="0"/>
                <w:caps w:val="0"/>
                <w:color w:val="3964FE"/>
                <w:spacing w:val="0"/>
                <w:sz w:val="24"/>
                <w:szCs w:val="24"/>
                <w:u w:val="single"/>
                <w:bdr w:val="single" w:color="auto" w:sz="18" w:space="0"/>
                <w:shd w:val="clear" w:fill="FFFFFF"/>
              </w:rPr>
              <w:fldChar w:fldCharType="separate"/>
            </w:r>
            <w:r>
              <w:rPr>
                <w:rFonts w:hint="default" w:ascii="Times New Roman" w:hAnsi="Times New Roman" w:eastAsia="宋体" w:cs="Times New Roman"/>
                <w:b w:val="0"/>
                <w:bCs w:val="0"/>
                <w:i w:val="0"/>
                <w:iCs w:val="0"/>
                <w:caps w:val="0"/>
                <w:color w:val="3964FE"/>
                <w:spacing w:val="0"/>
                <w:sz w:val="24"/>
                <w:szCs w:val="24"/>
                <w:u w:val="single"/>
                <w:bdr w:val="single" w:color="auto" w:sz="18" w:space="0"/>
                <w:shd w:val="clear" w:fill="FFFFFF"/>
              </w:rPr>
              <w:fldChar w:fldCharType="end"/>
            </w:r>
            <w:r>
              <w:rPr>
                <w:rFonts w:hint="default" w:ascii="Times New Roman" w:hAnsi="Times New Roman" w:eastAsia="宋体" w:cs="Times New Roman"/>
                <w:b w:val="0"/>
                <w:bCs w:val="0"/>
                <w:i w:val="0"/>
                <w:iCs w:val="0"/>
                <w:caps w:val="0"/>
                <w:color w:val="0F1115"/>
                <w:spacing w:val="0"/>
                <w:sz w:val="24"/>
                <w:szCs w:val="24"/>
                <w:u w:val="single"/>
                <w:shd w:val="clear" w:fill="FFFFFF"/>
              </w:rPr>
              <w:t>。本项目与该控规的符合性分析见下表</w:t>
            </w:r>
            <w:r>
              <w:rPr>
                <w:rFonts w:hint="eastAsia" w:cs="Times New Roman"/>
                <w:b w:val="0"/>
                <w:bCs w:val="0"/>
                <w:i w:val="0"/>
                <w:iCs w:val="0"/>
                <w:caps w:val="0"/>
                <w:color w:val="0F1115"/>
                <w:spacing w:val="0"/>
                <w:sz w:val="24"/>
                <w:szCs w:val="24"/>
                <w:u w:val="single"/>
                <w:shd w:val="clear" w:fill="FFFFFF"/>
                <w:lang w:eastAsia="zh-CN"/>
              </w:rPr>
              <w:t>。</w:t>
            </w:r>
          </w:p>
          <w:p w14:paraId="6D6C9328">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right="0" w:rightChars="0" w:firstLine="482" w:firstLineChars="200"/>
              <w:jc w:val="center"/>
              <w:textAlignment w:val="auto"/>
              <w:rPr>
                <w:rFonts w:hint="eastAsia"/>
                <w:b/>
                <w:bCs/>
                <w:u w:val="none"/>
                <w:lang w:eastAsia="zh-CN"/>
              </w:rPr>
            </w:pPr>
            <w:r>
              <w:rPr>
                <w:rFonts w:hint="eastAsia"/>
                <w:b/>
                <w:bCs/>
                <w:u w:val="none"/>
                <w:lang w:val="en-US" w:eastAsia="zh-CN"/>
              </w:rPr>
              <w:t>与《岳阳市城陵矶片区（H）控制性详细规划》符合性分析一览表</w:t>
            </w:r>
          </w:p>
          <w:tbl>
            <w:tblPr>
              <w:tblStyle w:val="3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1865"/>
              <w:gridCol w:w="3462"/>
              <w:gridCol w:w="706"/>
            </w:tblGrid>
            <w:tr w14:paraId="2D9241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28" w:type="dxa"/>
                  <w:tcBorders>
                    <w:tl2br w:val="nil"/>
                    <w:tr2bl w:val="nil"/>
                  </w:tcBorders>
                  <w:vAlign w:val="center"/>
                </w:tcPr>
                <w:p w14:paraId="73D3F8D7">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规划</w:t>
                  </w:r>
                </w:p>
                <w:p w14:paraId="6EBAF49F">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要点</w:t>
                  </w:r>
                </w:p>
              </w:tc>
              <w:tc>
                <w:tcPr>
                  <w:tcW w:w="1865" w:type="dxa"/>
                  <w:tcBorders>
                    <w:tl2br w:val="nil"/>
                    <w:tr2bl w:val="nil"/>
                  </w:tcBorders>
                  <w:vAlign w:val="center"/>
                </w:tcPr>
                <w:p w14:paraId="399C864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规划内容</w:t>
                  </w:r>
                </w:p>
              </w:tc>
              <w:tc>
                <w:tcPr>
                  <w:tcW w:w="3462" w:type="dxa"/>
                  <w:tcBorders>
                    <w:tl2br w:val="nil"/>
                    <w:tr2bl w:val="nil"/>
                  </w:tcBorders>
                  <w:vAlign w:val="center"/>
                </w:tcPr>
                <w:p w14:paraId="77ABE466">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本项目情况</w:t>
                  </w:r>
                </w:p>
              </w:tc>
              <w:tc>
                <w:tcPr>
                  <w:tcW w:w="706" w:type="dxa"/>
                  <w:tcBorders>
                    <w:tl2br w:val="nil"/>
                    <w:tr2bl w:val="nil"/>
                  </w:tcBorders>
                  <w:vAlign w:val="center"/>
                </w:tcPr>
                <w:p w14:paraId="268A901F">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符合性</w:t>
                  </w:r>
                </w:p>
              </w:tc>
            </w:tr>
            <w:tr w14:paraId="651B43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28" w:type="dxa"/>
                  <w:tcBorders>
                    <w:tl2br w:val="nil"/>
                    <w:tr2bl w:val="nil"/>
                  </w:tcBorders>
                  <w:vAlign w:val="center"/>
                </w:tcPr>
                <w:p w14:paraId="3414A38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规划</w:t>
                  </w:r>
                </w:p>
                <w:p w14:paraId="0F12707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范围</w:t>
                  </w:r>
                </w:p>
              </w:tc>
              <w:tc>
                <w:tcPr>
                  <w:tcW w:w="1865" w:type="dxa"/>
                  <w:tcBorders>
                    <w:tl2br w:val="nil"/>
                    <w:tr2bl w:val="nil"/>
                  </w:tcBorders>
                  <w:vAlign w:val="center"/>
                </w:tcPr>
                <w:p w14:paraId="2876827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rPr>
                    <w:t>城陵矶片区规划范围11.39km²，西临洞庭湖、长江，东至长江大道、联港路，南靠荆岳铁路、杭瑞高速、京广铁路，北接临港产业新区</w:t>
                  </w:r>
                </w:p>
              </w:tc>
              <w:tc>
                <w:tcPr>
                  <w:tcW w:w="3462" w:type="dxa"/>
                  <w:tcBorders>
                    <w:tl2br w:val="nil"/>
                    <w:tr2bl w:val="nil"/>
                  </w:tcBorders>
                  <w:vAlign w:val="center"/>
                </w:tcPr>
                <w:p w14:paraId="34152EA6">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rPr>
                    <w:t>本项目位于华能湖南岳阳发电有限责任公司现有厂区内，</w:t>
                  </w:r>
                  <w:r>
                    <w:rPr>
                      <w:rFonts w:hint="eastAsia" w:ascii="Times New Roman" w:hAnsi="Times New Roman" w:eastAsia="宋体" w:cs="Times New Roman"/>
                      <w:b w:val="0"/>
                      <w:bCs w:val="0"/>
                      <w:i w:val="0"/>
                      <w:iCs w:val="0"/>
                      <w:caps w:val="0"/>
                      <w:color w:val="0F1115"/>
                      <w:spacing w:val="0"/>
                      <w:sz w:val="21"/>
                      <w:szCs w:val="21"/>
                      <w:u w:val="single"/>
                      <w:shd w:val="clear" w:fill="FFFFFF"/>
                      <w:lang w:val="en-US" w:eastAsia="zh-CN"/>
                    </w:rPr>
                    <w:t>根据项目研判报告2.2节，厂区范围坐标为</w:t>
                  </w:r>
                  <w:r>
                    <w:rPr>
                      <w:rFonts w:hint="default" w:ascii="Times New Roman" w:hAnsi="Times New Roman" w:eastAsia="宋体" w:cs="Times New Roman"/>
                      <w:b w:val="0"/>
                      <w:bCs w:val="0"/>
                      <w:i w:val="0"/>
                      <w:iCs w:val="0"/>
                      <w:caps w:val="0"/>
                      <w:color w:val="0F1115"/>
                      <w:spacing w:val="0"/>
                      <w:sz w:val="21"/>
                      <w:szCs w:val="21"/>
                      <w:u w:val="single"/>
                      <w:shd w:val="clear" w:fill="FFFFFF"/>
                    </w:rPr>
                    <w:t>（113.1626°E~113.1664°E，29.4499°N~29.4534°N），处于城陵矶片区控规规划范围内，符合规划范围管控要求</w:t>
                  </w:r>
                </w:p>
              </w:tc>
              <w:tc>
                <w:tcPr>
                  <w:tcW w:w="706" w:type="dxa"/>
                  <w:tcBorders>
                    <w:tl2br w:val="nil"/>
                    <w:tr2bl w:val="nil"/>
                  </w:tcBorders>
                  <w:vAlign w:val="center"/>
                </w:tcPr>
                <w:p w14:paraId="7C09A84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符合</w:t>
                  </w:r>
                </w:p>
              </w:tc>
            </w:tr>
            <w:tr w14:paraId="65F8A3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28" w:type="dxa"/>
                  <w:tcBorders>
                    <w:tl2br w:val="nil"/>
                    <w:tr2bl w:val="nil"/>
                  </w:tcBorders>
                  <w:vAlign w:val="center"/>
                </w:tcPr>
                <w:p w14:paraId="0668AF4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功能</w:t>
                  </w:r>
                </w:p>
                <w:p w14:paraId="3890466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定位</w:t>
                  </w:r>
                </w:p>
              </w:tc>
              <w:tc>
                <w:tcPr>
                  <w:tcW w:w="1865" w:type="dxa"/>
                  <w:tcBorders>
                    <w:tl2br w:val="nil"/>
                    <w:tr2bl w:val="nil"/>
                  </w:tcBorders>
                  <w:vAlign w:val="center"/>
                </w:tcPr>
                <w:p w14:paraId="7E3767E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rPr>
                    <w:t>城陵矶片区着力打造工业重镇</w:t>
                  </w:r>
                  <w:r>
                    <w:rPr>
                      <w:rFonts w:hint="default" w:ascii="Times New Roman" w:hAnsi="Times New Roman" w:eastAsia="宋体" w:cs="Times New Roman"/>
                      <w:b w:val="0"/>
                      <w:bCs w:val="0"/>
                      <w:i w:val="0"/>
                      <w:iCs w:val="0"/>
                      <w:caps w:val="0"/>
                      <w:color w:val="3964FE"/>
                      <w:spacing w:val="0"/>
                      <w:sz w:val="21"/>
                      <w:szCs w:val="21"/>
                      <w:u w:val="single"/>
                      <w:bdr w:val="single" w:color="auto" w:sz="18" w:space="0"/>
                      <w:shd w:val="clear" w:fill="FFFFFF"/>
                    </w:rPr>
                    <w:fldChar w:fldCharType="begin"/>
                  </w:r>
                  <w:r>
                    <w:rPr>
                      <w:rFonts w:hint="default" w:ascii="Times New Roman" w:hAnsi="Times New Roman" w:eastAsia="宋体" w:cs="Times New Roman"/>
                      <w:b w:val="0"/>
                      <w:bCs w:val="0"/>
                      <w:i w:val="0"/>
                      <w:iCs w:val="0"/>
                      <w:caps w:val="0"/>
                      <w:color w:val="3964FE"/>
                      <w:spacing w:val="0"/>
                      <w:sz w:val="21"/>
                      <w:szCs w:val="21"/>
                      <w:u w:val="single"/>
                      <w:bdr w:val="single" w:color="auto" w:sz="18" w:space="0"/>
                      <w:shd w:val="clear" w:fill="FFFFFF"/>
                    </w:rPr>
                    <w:instrText xml:space="preserve"> HYPERLINK "https://papers.803.com.cn/cjxxb/2011-07/18/content_99452102.html" \t "https://chat.deepseek.com/a/chat/s/_blank" </w:instrText>
                  </w:r>
                  <w:r>
                    <w:rPr>
                      <w:rFonts w:hint="default" w:ascii="Times New Roman" w:hAnsi="Times New Roman" w:eastAsia="宋体" w:cs="Times New Roman"/>
                      <w:b w:val="0"/>
                      <w:bCs w:val="0"/>
                      <w:i w:val="0"/>
                      <w:iCs w:val="0"/>
                      <w:caps w:val="0"/>
                      <w:color w:val="3964FE"/>
                      <w:spacing w:val="0"/>
                      <w:sz w:val="21"/>
                      <w:szCs w:val="21"/>
                      <w:u w:val="single"/>
                      <w:bdr w:val="single" w:color="auto" w:sz="18" w:space="0"/>
                      <w:shd w:val="clear" w:fill="FFFFFF"/>
                    </w:rPr>
                    <w:fldChar w:fldCharType="separate"/>
                  </w:r>
                  <w:r>
                    <w:rPr>
                      <w:rFonts w:hint="default" w:ascii="Times New Roman" w:hAnsi="Times New Roman" w:eastAsia="宋体" w:cs="Times New Roman"/>
                      <w:b w:val="0"/>
                      <w:bCs w:val="0"/>
                      <w:i w:val="0"/>
                      <w:iCs w:val="0"/>
                      <w:caps w:val="0"/>
                      <w:color w:val="3964FE"/>
                      <w:spacing w:val="0"/>
                      <w:sz w:val="21"/>
                      <w:szCs w:val="21"/>
                      <w:u w:val="single"/>
                      <w:bdr w:val="single" w:color="auto" w:sz="18" w:space="0"/>
                      <w:shd w:val="clear" w:fill="FFFFFF"/>
                    </w:rPr>
                    <w:fldChar w:fldCharType="end"/>
                  </w:r>
                  <w:r>
                    <w:rPr>
                      <w:rFonts w:hint="default" w:ascii="Times New Roman" w:hAnsi="Times New Roman" w:eastAsia="宋体" w:cs="Times New Roman"/>
                      <w:b w:val="0"/>
                      <w:bCs w:val="0"/>
                      <w:i w:val="0"/>
                      <w:iCs w:val="0"/>
                      <w:caps w:val="0"/>
                      <w:color w:val="0F1115"/>
                      <w:spacing w:val="0"/>
                      <w:sz w:val="21"/>
                      <w:szCs w:val="21"/>
                      <w:u w:val="single"/>
                      <w:shd w:val="clear" w:fill="FFFFFF"/>
                    </w:rPr>
                    <w:t>；在临港产业新区范畴内，以 “一带、四区、一中心” 布局</w:t>
                  </w:r>
                  <w:r>
                    <w:rPr>
                      <w:rFonts w:hint="default" w:ascii="Times New Roman" w:hAnsi="Times New Roman" w:eastAsia="宋体" w:cs="Times New Roman"/>
                      <w:b w:val="0"/>
                      <w:bCs w:val="0"/>
                      <w:i w:val="0"/>
                      <w:iCs w:val="0"/>
                      <w:caps w:val="0"/>
                      <w:color w:val="3964FE"/>
                      <w:spacing w:val="0"/>
                      <w:sz w:val="21"/>
                      <w:szCs w:val="21"/>
                      <w:u w:val="single"/>
                      <w:bdr w:val="single" w:color="auto" w:sz="18" w:space="0"/>
                      <w:shd w:val="clear" w:fill="FFFFFF"/>
                    </w:rPr>
                    <w:fldChar w:fldCharType="begin"/>
                  </w:r>
                  <w:r>
                    <w:rPr>
                      <w:rFonts w:hint="default" w:ascii="Times New Roman" w:hAnsi="Times New Roman" w:eastAsia="宋体" w:cs="Times New Roman"/>
                      <w:b w:val="0"/>
                      <w:bCs w:val="0"/>
                      <w:i w:val="0"/>
                      <w:iCs w:val="0"/>
                      <w:caps w:val="0"/>
                      <w:color w:val="3964FE"/>
                      <w:spacing w:val="0"/>
                      <w:sz w:val="21"/>
                      <w:szCs w:val="21"/>
                      <w:u w:val="single"/>
                      <w:bdr w:val="single" w:color="auto" w:sz="18" w:space="0"/>
                      <w:shd w:val="clear" w:fill="FFFFFF"/>
                    </w:rPr>
                    <w:instrText xml:space="preserve"> HYPERLINK "http://papers.803.com.cn/cjxxb/2011-07/26/content_99452477.html" \t "https://chat.deepseek.com/a/chat/s/_blank" </w:instrText>
                  </w:r>
                  <w:r>
                    <w:rPr>
                      <w:rFonts w:hint="default" w:ascii="Times New Roman" w:hAnsi="Times New Roman" w:eastAsia="宋体" w:cs="Times New Roman"/>
                      <w:b w:val="0"/>
                      <w:bCs w:val="0"/>
                      <w:i w:val="0"/>
                      <w:iCs w:val="0"/>
                      <w:caps w:val="0"/>
                      <w:color w:val="3964FE"/>
                      <w:spacing w:val="0"/>
                      <w:sz w:val="21"/>
                      <w:szCs w:val="21"/>
                      <w:u w:val="single"/>
                      <w:bdr w:val="single" w:color="auto" w:sz="18" w:space="0"/>
                      <w:shd w:val="clear" w:fill="FFFFFF"/>
                    </w:rPr>
                    <w:fldChar w:fldCharType="separate"/>
                  </w:r>
                  <w:r>
                    <w:rPr>
                      <w:rFonts w:hint="default" w:ascii="Times New Roman" w:hAnsi="Times New Roman" w:eastAsia="宋体" w:cs="Times New Roman"/>
                      <w:b w:val="0"/>
                      <w:bCs w:val="0"/>
                      <w:i w:val="0"/>
                      <w:iCs w:val="0"/>
                      <w:caps w:val="0"/>
                      <w:color w:val="3964FE"/>
                      <w:spacing w:val="0"/>
                      <w:sz w:val="21"/>
                      <w:szCs w:val="21"/>
                      <w:u w:val="single"/>
                      <w:bdr w:val="single" w:color="auto" w:sz="18" w:space="0"/>
                      <w:shd w:val="clear" w:fill="FFFFFF"/>
                    </w:rPr>
                    <w:fldChar w:fldCharType="end"/>
                  </w:r>
                  <w:r>
                    <w:rPr>
                      <w:rFonts w:hint="default" w:ascii="Times New Roman" w:hAnsi="Times New Roman" w:eastAsia="宋体" w:cs="Times New Roman"/>
                      <w:b w:val="0"/>
                      <w:bCs w:val="0"/>
                      <w:i w:val="0"/>
                      <w:iCs w:val="0"/>
                      <w:caps w:val="0"/>
                      <w:color w:val="0F1115"/>
                      <w:spacing w:val="0"/>
                      <w:sz w:val="21"/>
                      <w:szCs w:val="21"/>
                      <w:u w:val="single"/>
                      <w:shd w:val="clear" w:fill="FFFFFF"/>
                    </w:rPr>
                    <w:t>，即港口作业带；北部工业区、南部工业区、西部仓储区、中部生活区；洛家山公共服务中心</w:t>
                  </w:r>
                </w:p>
              </w:tc>
              <w:tc>
                <w:tcPr>
                  <w:tcW w:w="3462" w:type="dxa"/>
                  <w:tcBorders>
                    <w:tl2br w:val="nil"/>
                    <w:tr2bl w:val="nil"/>
                  </w:tcBorders>
                  <w:vAlign w:val="center"/>
                </w:tcPr>
                <w:p w14:paraId="4E75352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rPr>
                    <w:t>本项目位于北部工业区（规划明确为“莲花塘电力和林纸产业区，主要包括泰格林纸和华能电厂两大工业用地”）</w:t>
                  </w:r>
                  <w:r>
                    <w:rPr>
                      <w:rFonts w:hint="default" w:ascii="Times New Roman" w:hAnsi="Times New Roman" w:eastAsia="宋体" w:cs="Times New Roman"/>
                      <w:b w:val="0"/>
                      <w:bCs w:val="0"/>
                      <w:i w:val="0"/>
                      <w:iCs w:val="0"/>
                      <w:caps w:val="0"/>
                      <w:color w:val="3964FE"/>
                      <w:spacing w:val="0"/>
                      <w:sz w:val="21"/>
                      <w:szCs w:val="21"/>
                      <w:u w:val="single"/>
                      <w:bdr w:val="single" w:color="auto" w:sz="18" w:space="0"/>
                      <w:shd w:val="clear" w:fill="FFFFFF"/>
                    </w:rPr>
                    <w:fldChar w:fldCharType="begin"/>
                  </w:r>
                  <w:r>
                    <w:rPr>
                      <w:rFonts w:hint="default" w:ascii="Times New Roman" w:hAnsi="Times New Roman" w:eastAsia="宋体" w:cs="Times New Roman"/>
                      <w:b w:val="0"/>
                      <w:bCs w:val="0"/>
                      <w:i w:val="0"/>
                      <w:iCs w:val="0"/>
                      <w:caps w:val="0"/>
                      <w:color w:val="3964FE"/>
                      <w:spacing w:val="0"/>
                      <w:sz w:val="21"/>
                      <w:szCs w:val="21"/>
                      <w:u w:val="single"/>
                      <w:bdr w:val="single" w:color="auto" w:sz="18" w:space="0"/>
                      <w:shd w:val="clear" w:fill="FFFFFF"/>
                    </w:rPr>
                    <w:instrText xml:space="preserve"> HYPERLINK "https://papers.803.com.cn/cjxxb/2011-07/18/content_99452102.html" \t "https://chat.deepseek.com/a/chat/s/_blank" </w:instrText>
                  </w:r>
                  <w:r>
                    <w:rPr>
                      <w:rFonts w:hint="default" w:ascii="Times New Roman" w:hAnsi="Times New Roman" w:eastAsia="宋体" w:cs="Times New Roman"/>
                      <w:b w:val="0"/>
                      <w:bCs w:val="0"/>
                      <w:i w:val="0"/>
                      <w:iCs w:val="0"/>
                      <w:caps w:val="0"/>
                      <w:color w:val="3964FE"/>
                      <w:spacing w:val="0"/>
                      <w:sz w:val="21"/>
                      <w:szCs w:val="21"/>
                      <w:u w:val="single"/>
                      <w:bdr w:val="single" w:color="auto" w:sz="18" w:space="0"/>
                      <w:shd w:val="clear" w:fill="FFFFFF"/>
                    </w:rPr>
                    <w:fldChar w:fldCharType="separate"/>
                  </w:r>
                  <w:r>
                    <w:rPr>
                      <w:rFonts w:hint="default" w:ascii="Times New Roman" w:hAnsi="Times New Roman" w:eastAsia="宋体" w:cs="Times New Roman"/>
                      <w:b w:val="0"/>
                      <w:bCs w:val="0"/>
                      <w:i w:val="0"/>
                      <w:iCs w:val="0"/>
                      <w:caps w:val="0"/>
                      <w:color w:val="3964FE"/>
                      <w:spacing w:val="0"/>
                      <w:sz w:val="21"/>
                      <w:szCs w:val="21"/>
                      <w:u w:val="single"/>
                      <w:bdr w:val="single" w:color="auto" w:sz="18" w:space="0"/>
                      <w:shd w:val="clear" w:fill="FFFFFF"/>
                    </w:rPr>
                    <w:fldChar w:fldCharType="end"/>
                  </w:r>
                  <w:r>
                    <w:rPr>
                      <w:rFonts w:hint="default" w:ascii="Times New Roman" w:hAnsi="Times New Roman" w:eastAsia="宋体" w:cs="Times New Roman"/>
                      <w:b w:val="0"/>
                      <w:bCs w:val="0"/>
                      <w:i w:val="0"/>
                      <w:iCs w:val="0"/>
                      <w:caps w:val="0"/>
                      <w:color w:val="0F1115"/>
                      <w:spacing w:val="0"/>
                      <w:sz w:val="21"/>
                      <w:szCs w:val="21"/>
                      <w:u w:val="single"/>
                      <w:shd w:val="clear" w:fill="FFFFFF"/>
                    </w:rPr>
                    <w:t>，项目为电厂粉煤灰综合利用工程，属于电厂配套固废治理项目，符合北部工业区的功能定位</w:t>
                  </w:r>
                </w:p>
              </w:tc>
              <w:tc>
                <w:tcPr>
                  <w:tcW w:w="706" w:type="dxa"/>
                  <w:tcBorders>
                    <w:tl2br w:val="nil"/>
                    <w:tr2bl w:val="nil"/>
                  </w:tcBorders>
                  <w:vAlign w:val="center"/>
                </w:tcPr>
                <w:p w14:paraId="14C5D8E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符合</w:t>
                  </w:r>
                </w:p>
              </w:tc>
            </w:tr>
            <w:tr w14:paraId="7C344E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28" w:type="dxa"/>
                  <w:tcBorders>
                    <w:tl2br w:val="nil"/>
                    <w:tr2bl w:val="nil"/>
                  </w:tcBorders>
                  <w:vAlign w:val="center"/>
                </w:tcPr>
                <w:p w14:paraId="01C327B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用地</w:t>
                  </w:r>
                </w:p>
                <w:p w14:paraId="4D2FA8B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布局</w:t>
                  </w:r>
                </w:p>
              </w:tc>
              <w:tc>
                <w:tcPr>
                  <w:tcW w:w="1865" w:type="dxa"/>
                  <w:tcBorders>
                    <w:tl2br w:val="nil"/>
                    <w:tr2bl w:val="nil"/>
                  </w:tcBorders>
                  <w:vAlign w:val="center"/>
                </w:tcPr>
                <w:p w14:paraId="0CEF641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rPr>
                    <w:t>北部工业区以电力、林纸产业为主导</w:t>
                  </w:r>
                </w:p>
              </w:tc>
              <w:tc>
                <w:tcPr>
                  <w:tcW w:w="3462" w:type="dxa"/>
                  <w:tcBorders>
                    <w:tl2br w:val="nil"/>
                    <w:tr2bl w:val="nil"/>
                  </w:tcBorders>
                  <w:vAlign w:val="center"/>
                </w:tcPr>
                <w:p w14:paraId="5FCF9EF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i w:val="0"/>
                      <w:iCs w:val="0"/>
                      <w:caps w:val="0"/>
                      <w:color w:val="0F1115"/>
                      <w:spacing w:val="0"/>
                      <w:sz w:val="21"/>
                      <w:szCs w:val="21"/>
                      <w:u w:val="single"/>
                      <w:shd w:val="clear" w:fill="FFFFFF"/>
                    </w:rPr>
                    <w:t>本项目位于华能电厂现有工业用地范围内，不新增用地，不改变用地性质，符合北部工业区的用地布局要求</w:t>
                  </w:r>
                </w:p>
              </w:tc>
              <w:tc>
                <w:tcPr>
                  <w:tcW w:w="706" w:type="dxa"/>
                  <w:tcBorders>
                    <w:tl2br w:val="nil"/>
                    <w:tr2bl w:val="nil"/>
                  </w:tcBorders>
                  <w:vAlign w:val="center"/>
                </w:tcPr>
                <w:p w14:paraId="35C2E32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符合</w:t>
                  </w:r>
                </w:p>
              </w:tc>
            </w:tr>
            <w:tr w14:paraId="48F9E2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28" w:type="dxa"/>
                  <w:tcBorders>
                    <w:tl2br w:val="nil"/>
                    <w:tr2bl w:val="nil"/>
                  </w:tcBorders>
                  <w:vAlign w:val="center"/>
                </w:tcPr>
                <w:p w14:paraId="114F33B1">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交通</w:t>
                  </w:r>
                </w:p>
                <w:p w14:paraId="17C2D0A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规划</w:t>
                  </w:r>
                </w:p>
              </w:tc>
              <w:tc>
                <w:tcPr>
                  <w:tcW w:w="1865" w:type="dxa"/>
                  <w:tcBorders>
                    <w:tl2br w:val="nil"/>
                    <w:tr2bl w:val="nil"/>
                  </w:tcBorders>
                  <w:vAlign w:val="center"/>
                </w:tcPr>
                <w:p w14:paraId="2EA14BD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rPr>
                    <w:t>规划形成</w:t>
                  </w:r>
                  <w:r>
                    <w:rPr>
                      <w:rFonts w:hint="eastAsia" w:ascii="Times New Roman" w:hAnsi="Times New Roman" w:eastAsia="宋体" w:cs="Times New Roman"/>
                      <w:b w:val="0"/>
                      <w:bCs w:val="0"/>
                      <w:i w:val="0"/>
                      <w:iCs w:val="0"/>
                      <w:caps w:val="0"/>
                      <w:color w:val="0F1115"/>
                      <w:spacing w:val="0"/>
                      <w:sz w:val="21"/>
                      <w:szCs w:val="21"/>
                      <w:u w:val="single"/>
                      <w:shd w:val="clear" w:fill="FFFFFF"/>
                      <w:lang w:eastAsia="zh-CN"/>
                    </w:rPr>
                    <w:t>“</w:t>
                  </w:r>
                  <w:r>
                    <w:rPr>
                      <w:rFonts w:hint="default" w:ascii="Times New Roman" w:hAnsi="Times New Roman" w:eastAsia="宋体" w:cs="Times New Roman"/>
                      <w:b w:val="0"/>
                      <w:bCs w:val="0"/>
                      <w:i w:val="0"/>
                      <w:iCs w:val="0"/>
                      <w:caps w:val="0"/>
                      <w:color w:val="0F1115"/>
                      <w:spacing w:val="0"/>
                      <w:sz w:val="21"/>
                      <w:szCs w:val="21"/>
                      <w:u w:val="single"/>
                      <w:shd w:val="clear" w:fill="FFFFFF"/>
                    </w:rPr>
                    <w:t>四纵四横</w:t>
                  </w:r>
                  <w:r>
                    <w:rPr>
                      <w:rFonts w:hint="eastAsia" w:ascii="Times New Roman" w:hAnsi="Times New Roman" w:eastAsia="宋体" w:cs="Times New Roman"/>
                      <w:b w:val="0"/>
                      <w:bCs w:val="0"/>
                      <w:i w:val="0"/>
                      <w:iCs w:val="0"/>
                      <w:caps w:val="0"/>
                      <w:color w:val="0F1115"/>
                      <w:spacing w:val="0"/>
                      <w:sz w:val="21"/>
                      <w:szCs w:val="21"/>
                      <w:u w:val="single"/>
                      <w:shd w:val="clear" w:fill="FFFFFF"/>
                      <w:lang w:eastAsia="zh-CN"/>
                    </w:rPr>
                    <w:t>”</w:t>
                  </w:r>
                  <w:r>
                    <w:rPr>
                      <w:rFonts w:hint="default" w:ascii="Times New Roman" w:hAnsi="Times New Roman" w:eastAsia="宋体" w:cs="Times New Roman"/>
                      <w:b w:val="0"/>
                      <w:bCs w:val="0"/>
                      <w:i w:val="0"/>
                      <w:iCs w:val="0"/>
                      <w:caps w:val="0"/>
                      <w:color w:val="0F1115"/>
                      <w:spacing w:val="0"/>
                      <w:sz w:val="21"/>
                      <w:szCs w:val="21"/>
                      <w:u w:val="single"/>
                      <w:shd w:val="clear" w:fill="FFFFFF"/>
                    </w:rPr>
                    <w:t>干道网络</w:t>
                  </w:r>
                </w:p>
              </w:tc>
              <w:tc>
                <w:tcPr>
                  <w:tcW w:w="3462" w:type="dxa"/>
                  <w:tcBorders>
                    <w:tl2br w:val="nil"/>
                    <w:tr2bl w:val="nil"/>
                  </w:tcBorders>
                  <w:vAlign w:val="center"/>
                </w:tcPr>
                <w:p w14:paraId="189E107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i w:val="0"/>
                      <w:iCs w:val="0"/>
                      <w:caps w:val="0"/>
                      <w:color w:val="0F1115"/>
                      <w:spacing w:val="0"/>
                      <w:sz w:val="21"/>
                      <w:szCs w:val="21"/>
                      <w:u w:val="single"/>
                      <w:shd w:val="clear" w:fill="FFFFFF"/>
                    </w:rPr>
                    <w:t>项目物料运输可通过城陵矶片区完善的“四纵四横”路网实现，交通条件便利，符合交通规划要求</w:t>
                  </w:r>
                </w:p>
              </w:tc>
              <w:tc>
                <w:tcPr>
                  <w:tcW w:w="706" w:type="dxa"/>
                  <w:tcBorders>
                    <w:tl2br w:val="nil"/>
                    <w:tr2bl w:val="nil"/>
                  </w:tcBorders>
                  <w:vAlign w:val="center"/>
                </w:tcPr>
                <w:p w14:paraId="44F04161">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符合</w:t>
                  </w:r>
                </w:p>
              </w:tc>
            </w:tr>
            <w:tr w14:paraId="4A4B0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28" w:type="dxa"/>
                  <w:tcBorders>
                    <w:tl2br w:val="nil"/>
                    <w:tr2bl w:val="nil"/>
                  </w:tcBorders>
                  <w:vAlign w:val="center"/>
                </w:tcPr>
                <w:p w14:paraId="32D2421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生态环境保护</w:t>
                  </w:r>
                </w:p>
              </w:tc>
              <w:tc>
                <w:tcPr>
                  <w:tcW w:w="1865" w:type="dxa"/>
                  <w:tcBorders>
                    <w:tl2br w:val="nil"/>
                    <w:tr2bl w:val="nil"/>
                  </w:tcBorders>
                  <w:vAlign w:val="center"/>
                </w:tcPr>
                <w:p w14:paraId="327984E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rPr>
                    <w:t>在保护城市生态环境，处理环境保护与城市建设两者关系的前提下，促进土地集约高效使用</w:t>
                  </w:r>
                </w:p>
              </w:tc>
              <w:tc>
                <w:tcPr>
                  <w:tcW w:w="3462" w:type="dxa"/>
                  <w:tcBorders>
                    <w:tl2br w:val="nil"/>
                    <w:tr2bl w:val="nil"/>
                  </w:tcBorders>
                  <w:vAlign w:val="center"/>
                </w:tcPr>
                <w:p w14:paraId="3591849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i w:val="0"/>
                      <w:iCs w:val="0"/>
                      <w:caps w:val="0"/>
                      <w:color w:val="0F1115"/>
                      <w:spacing w:val="0"/>
                      <w:sz w:val="21"/>
                      <w:szCs w:val="21"/>
                      <w:u w:val="single"/>
                      <w:shd w:val="clear" w:fill="FFFFFF"/>
                    </w:rPr>
                    <w:t>本项目为粉煤灰综合利用项目，属于固体废物治理及资源化利用，有利于减少粉煤灰堆存对环境的影响，符合控规关于生态环境保护的要求</w:t>
                  </w:r>
                </w:p>
              </w:tc>
              <w:tc>
                <w:tcPr>
                  <w:tcW w:w="706" w:type="dxa"/>
                  <w:tcBorders>
                    <w:tl2br w:val="nil"/>
                    <w:tr2bl w:val="nil"/>
                  </w:tcBorders>
                  <w:vAlign w:val="center"/>
                </w:tcPr>
                <w:p w14:paraId="26218D4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符合</w:t>
                  </w:r>
                </w:p>
              </w:tc>
            </w:tr>
          </w:tbl>
          <w:p w14:paraId="6071E194">
            <w:pPr>
              <w:keepNext w:val="0"/>
              <w:keepLines w:val="0"/>
              <w:pageBreakBefore w:val="0"/>
              <w:widowControl/>
              <w:numPr>
                <w:ilvl w:val="0"/>
                <w:numId w:val="0"/>
              </w:numPr>
              <w:kinsoku/>
              <w:wordWrap/>
              <w:overflowPunct/>
              <w:topLinePunct w:val="0"/>
              <w:autoSpaceDE/>
              <w:autoSpaceDN/>
              <w:bidi w:val="0"/>
              <w:adjustRightInd/>
              <w:snapToGrid/>
              <w:spacing w:before="164" w:beforeLines="50" w:line="360" w:lineRule="auto"/>
              <w:ind w:leftChars="0" w:right="0" w:rightChars="0" w:firstLine="480" w:firstLineChars="200"/>
              <w:jc w:val="both"/>
              <w:textAlignment w:val="auto"/>
              <w:rPr>
                <w:rFonts w:hint="default" w:ascii="Times New Roman" w:hAnsi="Times New Roman" w:eastAsia="宋体" w:cs="Times New Roman"/>
                <w:b w:val="0"/>
                <w:bCs w:val="0"/>
                <w:i w:val="0"/>
                <w:iCs w:val="0"/>
                <w:caps w:val="0"/>
                <w:color w:val="0F1115"/>
                <w:spacing w:val="0"/>
                <w:sz w:val="24"/>
                <w:szCs w:val="24"/>
                <w:u w:val="single"/>
                <w:shd w:val="clear" w:fill="FFFFFF"/>
                <w:lang w:val="en-US" w:eastAsia="zh-CN"/>
              </w:rPr>
            </w:pPr>
            <w:r>
              <w:rPr>
                <w:rFonts w:hint="default" w:ascii="Times New Roman" w:hAnsi="Times New Roman" w:eastAsia="宋体" w:cs="Times New Roman"/>
                <w:i w:val="0"/>
                <w:iCs w:val="0"/>
                <w:caps w:val="0"/>
                <w:color w:val="0F1115"/>
                <w:spacing w:val="0"/>
                <w:sz w:val="24"/>
                <w:szCs w:val="24"/>
                <w:u w:val="single"/>
                <w:shd w:val="clear" w:fill="FFFFFF"/>
              </w:rPr>
              <w:t>综上分析，本项目符合《岳阳市城陵矶片区（H）控制性详细规划》的相关要求。本项目的建设有利于提升电厂固废综合利用水平，符合城陵矶片区北部工业区的产业发展方向。</w:t>
            </w:r>
          </w:p>
          <w:p w14:paraId="498B2129">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cs="Times New Roman"/>
                <w:b w:val="0"/>
                <w:bCs w:val="0"/>
                <w:i w:val="0"/>
                <w:iCs w:val="0"/>
                <w:caps w:val="0"/>
                <w:color w:val="0F1115"/>
                <w:spacing w:val="0"/>
                <w:sz w:val="24"/>
                <w:szCs w:val="24"/>
                <w:u w:val="single"/>
                <w:shd w:val="clear" w:fill="FFFFFF"/>
                <w:lang w:val="en-US" w:eastAsia="zh-CN"/>
              </w:rPr>
            </w:pPr>
            <w:r>
              <w:rPr>
                <w:rFonts w:hint="eastAsia" w:cs="Times New Roman"/>
                <w:b w:val="0"/>
                <w:bCs w:val="0"/>
                <w:i w:val="0"/>
                <w:iCs w:val="0"/>
                <w:caps w:val="0"/>
                <w:color w:val="0F1115"/>
                <w:spacing w:val="0"/>
                <w:sz w:val="24"/>
                <w:szCs w:val="24"/>
                <w:u w:val="single"/>
                <w:shd w:val="clear" w:fill="FFFFFF"/>
                <w:lang w:val="en-US" w:eastAsia="zh-CN"/>
              </w:rPr>
              <w:t>与《岳阳市国土空间总体规划（2021-2035年）》符合性分析</w:t>
            </w:r>
          </w:p>
          <w:p w14:paraId="0B379C1C">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right="0" w:rightChars="0" w:firstLine="480" w:firstLineChars="200"/>
              <w:jc w:val="both"/>
              <w:textAlignment w:val="auto"/>
              <w:rPr>
                <w:rFonts w:hint="eastAsia" w:ascii="Segoe UI" w:hAnsi="Segoe UI" w:eastAsia="宋体" w:cs="Segoe UI"/>
                <w:i w:val="0"/>
                <w:iCs w:val="0"/>
                <w:caps w:val="0"/>
                <w:color w:val="0F1115"/>
                <w:spacing w:val="0"/>
                <w:sz w:val="24"/>
                <w:szCs w:val="24"/>
                <w:u w:val="single"/>
                <w:shd w:val="clear" w:fill="FFFFFF"/>
                <w:lang w:eastAsia="zh-CN"/>
              </w:rPr>
            </w:pPr>
            <w:r>
              <w:rPr>
                <w:rFonts w:hint="default" w:ascii="Times New Roman" w:hAnsi="Times New Roman" w:eastAsia="宋体" w:cs="Times New Roman"/>
                <w:b w:val="0"/>
                <w:bCs w:val="0"/>
                <w:i w:val="0"/>
                <w:iCs w:val="0"/>
                <w:caps w:val="0"/>
                <w:color w:val="0F1115"/>
                <w:spacing w:val="0"/>
                <w:sz w:val="24"/>
                <w:szCs w:val="24"/>
                <w:u w:val="single"/>
                <w:shd w:val="clear" w:fill="FFFFFF"/>
              </w:rPr>
              <w:t>《岳阳市国土空间总体规划（2021-2035年）》是岳阳市国土空间发展的法定上位规划。2022年9月30日，自然资源部批复启用湖南省“三区三线”成果；2023年12月30日，该规划由湖南省人民政府正式批复实施。2024年1月3日，岳阳市自然资源和规划局发布批后公告</w:t>
            </w:r>
            <w:r>
              <w:rPr>
                <w:rFonts w:hint="default" w:ascii="Times New Roman" w:hAnsi="Times New Roman" w:eastAsia="宋体" w:cs="Times New Roman"/>
                <w:b w:val="0"/>
                <w:bCs w:val="0"/>
                <w:i w:val="0"/>
                <w:iCs w:val="0"/>
                <w:caps w:val="0"/>
                <w:color w:val="3964FE"/>
                <w:spacing w:val="0"/>
                <w:sz w:val="24"/>
                <w:szCs w:val="24"/>
                <w:u w:val="single"/>
                <w:bdr w:val="single" w:color="auto" w:sz="18" w:space="0"/>
                <w:shd w:val="clear" w:fill="FFFFFF"/>
              </w:rPr>
              <w:fldChar w:fldCharType="begin"/>
            </w:r>
            <w:r>
              <w:rPr>
                <w:rFonts w:hint="default" w:ascii="Times New Roman" w:hAnsi="Times New Roman" w:eastAsia="宋体" w:cs="Times New Roman"/>
                <w:b w:val="0"/>
                <w:bCs w:val="0"/>
                <w:i w:val="0"/>
                <w:iCs w:val="0"/>
                <w:caps w:val="0"/>
                <w:color w:val="3964FE"/>
                <w:spacing w:val="0"/>
                <w:sz w:val="24"/>
                <w:szCs w:val="24"/>
                <w:u w:val="single"/>
                <w:bdr w:val="single" w:color="auto" w:sz="18" w:space="0"/>
                <w:shd w:val="clear" w:fill="FFFFFF"/>
              </w:rPr>
              <w:instrText xml:space="preserve"> HYPERLINK "https://zygh.yueyang.gov.cn/31048/31061/61148/content_2243572.html" \t "https://chat.deepseek.com/a/chat/s/_blank" </w:instrText>
            </w:r>
            <w:r>
              <w:rPr>
                <w:rFonts w:hint="default" w:ascii="Times New Roman" w:hAnsi="Times New Roman" w:eastAsia="宋体" w:cs="Times New Roman"/>
                <w:b w:val="0"/>
                <w:bCs w:val="0"/>
                <w:i w:val="0"/>
                <w:iCs w:val="0"/>
                <w:caps w:val="0"/>
                <w:color w:val="3964FE"/>
                <w:spacing w:val="0"/>
                <w:sz w:val="24"/>
                <w:szCs w:val="24"/>
                <w:u w:val="single"/>
                <w:bdr w:val="single" w:color="auto" w:sz="18" w:space="0"/>
                <w:shd w:val="clear" w:fill="FFFFFF"/>
              </w:rPr>
              <w:fldChar w:fldCharType="separate"/>
            </w:r>
            <w:r>
              <w:rPr>
                <w:rFonts w:hint="default" w:ascii="Times New Roman" w:hAnsi="Times New Roman" w:eastAsia="宋体" w:cs="Times New Roman"/>
                <w:b w:val="0"/>
                <w:bCs w:val="0"/>
                <w:i w:val="0"/>
                <w:iCs w:val="0"/>
                <w:caps w:val="0"/>
                <w:color w:val="3964FE"/>
                <w:spacing w:val="0"/>
                <w:sz w:val="24"/>
                <w:szCs w:val="24"/>
                <w:u w:val="single"/>
                <w:bdr w:val="single" w:color="auto" w:sz="18" w:space="0"/>
                <w:shd w:val="clear" w:fill="FFFFFF"/>
              </w:rPr>
              <w:fldChar w:fldCharType="end"/>
            </w:r>
            <w:r>
              <w:rPr>
                <w:rFonts w:hint="default" w:ascii="Times New Roman" w:hAnsi="Times New Roman" w:eastAsia="宋体" w:cs="Times New Roman"/>
                <w:b w:val="0"/>
                <w:bCs w:val="0"/>
                <w:i w:val="0"/>
                <w:iCs w:val="0"/>
                <w:caps w:val="0"/>
                <w:color w:val="0F1115"/>
                <w:spacing w:val="0"/>
                <w:sz w:val="24"/>
                <w:szCs w:val="24"/>
                <w:u w:val="single"/>
                <w:shd w:val="clear" w:fill="FFFFFF"/>
              </w:rPr>
              <w:t>。规划将主体功能区规划、土地利用规划、城乡规划等融合，实现了“多规合一”。本项目与该总体规划的符合性分析见下表</w:t>
            </w:r>
            <w:r>
              <w:rPr>
                <w:rFonts w:hint="default" w:ascii="Times New Roman" w:hAnsi="Times New Roman" w:eastAsia="宋体" w:cs="Times New Roman"/>
                <w:b w:val="0"/>
                <w:bCs w:val="0"/>
                <w:i w:val="0"/>
                <w:iCs w:val="0"/>
                <w:caps w:val="0"/>
                <w:color w:val="0F1115"/>
                <w:spacing w:val="0"/>
                <w:sz w:val="24"/>
                <w:szCs w:val="24"/>
                <w:u w:val="single"/>
                <w:shd w:val="clear" w:fill="FFFFFF"/>
                <w:lang w:eastAsia="zh-CN"/>
              </w:rPr>
              <w:t>。</w:t>
            </w:r>
          </w:p>
          <w:p w14:paraId="2BEF2AEC">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right="0" w:rightChars="0" w:firstLine="480" w:firstLineChars="200"/>
              <w:jc w:val="center"/>
              <w:textAlignment w:val="auto"/>
              <w:rPr>
                <w:rFonts w:hint="default" w:ascii="Times New Roman" w:hAnsi="Times New Roman" w:eastAsia="宋体" w:cs="Times New Roman"/>
                <w:b/>
                <w:bCs/>
                <w:u w:val="none"/>
                <w:lang w:val="en-US" w:eastAsia="zh-CN"/>
              </w:rPr>
            </w:pPr>
            <w:r>
              <w:rPr>
                <w:rFonts w:ascii="Segoe UI" w:hAnsi="Segoe UI" w:eastAsia="Segoe UI" w:cs="Segoe UI"/>
                <w:b/>
                <w:bCs/>
                <w:i w:val="0"/>
                <w:iCs w:val="0"/>
                <w:caps w:val="0"/>
                <w:color w:val="0F1115"/>
                <w:spacing w:val="0"/>
                <w:sz w:val="24"/>
                <w:szCs w:val="24"/>
                <w:u w:val="none"/>
                <w:shd w:val="clear" w:fill="FFFFFF"/>
              </w:rPr>
              <w:t>与</w:t>
            </w:r>
            <w:r>
              <w:rPr>
                <w:rFonts w:hint="default" w:ascii="Times New Roman" w:hAnsi="Times New Roman" w:eastAsia="宋体" w:cs="Times New Roman"/>
                <w:b/>
                <w:bCs/>
                <w:i w:val="0"/>
                <w:iCs w:val="0"/>
                <w:caps w:val="0"/>
                <w:color w:val="0F1115"/>
                <w:spacing w:val="0"/>
                <w:sz w:val="24"/>
                <w:szCs w:val="24"/>
                <w:u w:val="none"/>
                <w:shd w:val="clear" w:fill="FFFFFF"/>
              </w:rPr>
              <w:t>《岳阳市国土空间总体规划（2021-2035年）》符合性分析</w:t>
            </w:r>
            <w:r>
              <w:rPr>
                <w:rFonts w:hint="eastAsia" w:ascii="Times New Roman" w:hAnsi="Times New Roman" w:eastAsia="宋体" w:cs="Times New Roman"/>
                <w:b/>
                <w:bCs/>
                <w:i w:val="0"/>
                <w:iCs w:val="0"/>
                <w:caps w:val="0"/>
                <w:color w:val="0F1115"/>
                <w:spacing w:val="0"/>
                <w:sz w:val="24"/>
                <w:szCs w:val="24"/>
                <w:u w:val="none"/>
                <w:shd w:val="clear" w:fill="FFFFFF"/>
                <w:lang w:val="en-US" w:eastAsia="zh-CN"/>
              </w:rPr>
              <w:t>一览</w:t>
            </w:r>
            <w:r>
              <w:rPr>
                <w:rFonts w:hint="default" w:ascii="Times New Roman" w:hAnsi="Times New Roman" w:eastAsia="宋体" w:cs="Times New Roman"/>
                <w:b/>
                <w:bCs/>
                <w:i w:val="0"/>
                <w:iCs w:val="0"/>
                <w:caps w:val="0"/>
                <w:color w:val="0F1115"/>
                <w:spacing w:val="0"/>
                <w:sz w:val="24"/>
                <w:szCs w:val="24"/>
                <w:u w:val="none"/>
                <w:shd w:val="clear" w:fill="FFFFFF"/>
              </w:rPr>
              <w:t>表</w:t>
            </w:r>
          </w:p>
          <w:tbl>
            <w:tblPr>
              <w:tblStyle w:val="32"/>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2380"/>
              <w:gridCol w:w="2700"/>
              <w:gridCol w:w="953"/>
            </w:tblGrid>
            <w:tr w14:paraId="754B37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928" w:type="dxa"/>
                  <w:tcBorders>
                    <w:tl2br w:val="nil"/>
                    <w:tr2bl w:val="nil"/>
                  </w:tcBorders>
                  <w:vAlign w:val="center"/>
                </w:tcPr>
                <w:p w14:paraId="2A222CC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规划</w:t>
                  </w:r>
                </w:p>
                <w:p w14:paraId="5AC7719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要点</w:t>
                  </w:r>
                </w:p>
              </w:tc>
              <w:tc>
                <w:tcPr>
                  <w:tcW w:w="2380" w:type="dxa"/>
                  <w:tcBorders>
                    <w:tl2br w:val="nil"/>
                    <w:tr2bl w:val="nil"/>
                  </w:tcBorders>
                  <w:vAlign w:val="center"/>
                </w:tcPr>
                <w:p w14:paraId="3D996E8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规划内容</w:t>
                  </w:r>
                </w:p>
              </w:tc>
              <w:tc>
                <w:tcPr>
                  <w:tcW w:w="2700" w:type="dxa"/>
                  <w:tcBorders>
                    <w:tl2br w:val="nil"/>
                    <w:tr2bl w:val="nil"/>
                  </w:tcBorders>
                  <w:vAlign w:val="center"/>
                </w:tcPr>
                <w:p w14:paraId="295FFEC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本项目情况</w:t>
                  </w:r>
                </w:p>
              </w:tc>
              <w:tc>
                <w:tcPr>
                  <w:tcW w:w="953" w:type="dxa"/>
                  <w:tcBorders>
                    <w:tl2br w:val="nil"/>
                    <w:tr2bl w:val="nil"/>
                  </w:tcBorders>
                  <w:vAlign w:val="center"/>
                </w:tcPr>
                <w:p w14:paraId="4ED71A2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符合性</w:t>
                  </w:r>
                </w:p>
              </w:tc>
            </w:tr>
            <w:tr w14:paraId="79555B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928" w:type="dxa"/>
                  <w:vMerge w:val="restart"/>
                  <w:tcBorders>
                    <w:tl2br w:val="nil"/>
                    <w:tr2bl w:val="nil"/>
                  </w:tcBorders>
                  <w:vAlign w:val="center"/>
                </w:tcPr>
                <w:p w14:paraId="073CB83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城市性质与功能定位</w:t>
                  </w:r>
                </w:p>
              </w:tc>
              <w:tc>
                <w:tcPr>
                  <w:tcW w:w="2380" w:type="dxa"/>
                  <w:tcBorders>
                    <w:tl2br w:val="nil"/>
                    <w:tr2bl w:val="nil"/>
                  </w:tcBorders>
                  <w:vAlign w:val="center"/>
                </w:tcPr>
                <w:p w14:paraId="04A22FF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bCs/>
                      <w:i w:val="0"/>
                      <w:iCs w:val="0"/>
                      <w:caps w:val="0"/>
                      <w:color w:val="0F1115"/>
                      <w:spacing w:val="0"/>
                      <w:sz w:val="21"/>
                      <w:szCs w:val="21"/>
                      <w:u w:val="single"/>
                      <w:shd w:val="clear" w:fill="FFFFFF"/>
                      <w:vertAlign w:val="baseline"/>
                      <w:lang w:val="en-US" w:eastAsia="zh-CN"/>
                    </w:rPr>
                    <w:t>城市性质：</w:t>
                  </w: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岳阳市是长江经济带绿色发展示范区，国家历史文化名城和湖南省域副中心城市</w:t>
                  </w:r>
                </w:p>
              </w:tc>
              <w:tc>
                <w:tcPr>
                  <w:tcW w:w="2700" w:type="dxa"/>
                  <w:tcBorders>
                    <w:tl2br w:val="nil"/>
                    <w:tr2bl w:val="nil"/>
                  </w:tcBorders>
                  <w:vAlign w:val="center"/>
                </w:tcPr>
                <w:p w14:paraId="11FFA7E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本项目为粉煤灰综合利用项目，属于固体废物资源化利用，符合“绿色发展示范区”的定位要求</w:t>
                  </w:r>
                </w:p>
              </w:tc>
              <w:tc>
                <w:tcPr>
                  <w:tcW w:w="953" w:type="dxa"/>
                  <w:vMerge w:val="restart"/>
                  <w:tcBorders>
                    <w:tl2br w:val="nil"/>
                    <w:tr2bl w:val="nil"/>
                  </w:tcBorders>
                  <w:vAlign w:val="center"/>
                </w:tcPr>
                <w:p w14:paraId="4988647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符合</w:t>
                  </w:r>
                </w:p>
              </w:tc>
            </w:tr>
            <w:tr w14:paraId="1D3B2F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928" w:type="dxa"/>
                  <w:vMerge w:val="continue"/>
                  <w:tcBorders>
                    <w:tl2br w:val="nil"/>
                    <w:tr2bl w:val="nil"/>
                  </w:tcBorders>
                  <w:vAlign w:val="center"/>
                </w:tcPr>
                <w:p w14:paraId="277601B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pPr>
                </w:p>
              </w:tc>
              <w:tc>
                <w:tcPr>
                  <w:tcW w:w="2380" w:type="dxa"/>
                  <w:tcBorders>
                    <w:tl2br w:val="nil"/>
                    <w:tr2bl w:val="nil"/>
                  </w:tcBorders>
                  <w:vAlign w:val="center"/>
                </w:tcPr>
                <w:p w14:paraId="6828541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bCs/>
                      <w:i w:val="0"/>
                      <w:iCs w:val="0"/>
                      <w:caps w:val="0"/>
                      <w:color w:val="0F1115"/>
                      <w:spacing w:val="0"/>
                      <w:sz w:val="21"/>
                      <w:szCs w:val="21"/>
                      <w:u w:val="single"/>
                      <w:shd w:val="clear" w:fill="FFFFFF"/>
                      <w:vertAlign w:val="baseline"/>
                      <w:lang w:val="en-US" w:eastAsia="zh-CN"/>
                    </w:rPr>
                    <w:t>产业空间发展目标</w:t>
                  </w:r>
                  <w:r>
                    <w:rPr>
                      <w:rFonts w:hint="eastAsia" w:cs="Times New Roman"/>
                      <w:b/>
                      <w:bCs/>
                      <w:i w:val="0"/>
                      <w:iCs w:val="0"/>
                      <w:caps w:val="0"/>
                      <w:color w:val="0F1115"/>
                      <w:spacing w:val="0"/>
                      <w:sz w:val="21"/>
                      <w:szCs w:val="21"/>
                      <w:u w:val="single"/>
                      <w:shd w:val="clear" w:fill="FFFFFF"/>
                      <w:vertAlign w:val="baseline"/>
                      <w:lang w:val="en-US" w:eastAsia="zh-CN"/>
                    </w:rPr>
                    <w:t>：</w:t>
                  </w: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坚持创新驱动，为实体经济发展提供有效的空间支撑。优先保障现代石化、绿色食品、现代物流、先进装备制造、文体旅游、新材料电子信息及软件服务、医药及医疗器械、电力新能源等九大重点产业链空间需求，实现强链、延链、补链进一步完善岳阳现代化产业体系。</w:t>
                  </w:r>
                </w:p>
              </w:tc>
              <w:tc>
                <w:tcPr>
                  <w:tcW w:w="2700" w:type="dxa"/>
                  <w:tcBorders>
                    <w:tl2br w:val="nil"/>
                    <w:tr2bl w:val="nil"/>
                  </w:tcBorders>
                  <w:vAlign w:val="center"/>
                </w:tcPr>
                <w:p w14:paraId="7F0F123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本项目为华能电厂粉煤灰综合利用工程，属于电力能源产业链的延伸配套项目，有利于提升电厂固废综合利用水平</w:t>
                  </w:r>
                </w:p>
              </w:tc>
              <w:tc>
                <w:tcPr>
                  <w:tcW w:w="953" w:type="dxa"/>
                  <w:vMerge w:val="continue"/>
                  <w:tcBorders>
                    <w:tl2br w:val="nil"/>
                    <w:tr2bl w:val="nil"/>
                  </w:tcBorders>
                  <w:vAlign w:val="center"/>
                </w:tcPr>
                <w:p w14:paraId="61C07BD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p>
              </w:tc>
            </w:tr>
            <w:tr w14:paraId="732761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928" w:type="dxa"/>
                  <w:vMerge w:val="restart"/>
                  <w:tcBorders>
                    <w:tl2br w:val="nil"/>
                    <w:tr2bl w:val="nil"/>
                  </w:tcBorders>
                  <w:vAlign w:val="center"/>
                </w:tcPr>
                <w:p w14:paraId="0344137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中心城区空间布局</w:t>
                  </w:r>
                </w:p>
              </w:tc>
              <w:tc>
                <w:tcPr>
                  <w:tcW w:w="2380" w:type="dxa"/>
                  <w:tcBorders>
                    <w:tl2br w:val="nil"/>
                    <w:tr2bl w:val="nil"/>
                  </w:tcBorders>
                  <w:vAlign w:val="center"/>
                </w:tcPr>
                <w:p w14:paraId="72ED53D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bCs/>
                      <w:i w:val="0"/>
                      <w:iCs w:val="0"/>
                      <w:caps w:val="0"/>
                      <w:color w:val="0F1115"/>
                      <w:spacing w:val="0"/>
                      <w:sz w:val="21"/>
                      <w:szCs w:val="21"/>
                      <w:u w:val="single"/>
                      <w:shd w:val="clear" w:fill="FFFFFF"/>
                      <w:vertAlign w:val="baseline"/>
                      <w:lang w:val="en-US" w:eastAsia="zh-CN"/>
                    </w:rPr>
                    <w:t>中心城区范围：</w:t>
                  </w: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中心城区范围包括岳阳楼</w:t>
                  </w:r>
                </w:p>
                <w:p w14:paraId="4A79352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区、云溪区、君山区君山烷的城市建成区和规划拓展区域，总面积350.91平方千米。</w:t>
                  </w:r>
                </w:p>
              </w:tc>
              <w:tc>
                <w:tcPr>
                  <w:tcW w:w="2700" w:type="dxa"/>
                  <w:tcBorders>
                    <w:tl2br w:val="nil"/>
                    <w:tr2bl w:val="nil"/>
                  </w:tcBorders>
                  <w:vAlign w:val="center"/>
                </w:tcPr>
                <w:p w14:paraId="0202F1A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本项目位于岳阳楼区城陵矶，属于中心城区范围内，符合中心城区的空间管控要求</w:t>
                  </w:r>
                </w:p>
              </w:tc>
              <w:tc>
                <w:tcPr>
                  <w:tcW w:w="953" w:type="dxa"/>
                  <w:vMerge w:val="restart"/>
                  <w:tcBorders>
                    <w:tl2br w:val="nil"/>
                    <w:tr2bl w:val="nil"/>
                  </w:tcBorders>
                  <w:vAlign w:val="center"/>
                </w:tcPr>
                <w:p w14:paraId="097A7D7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符合</w:t>
                  </w:r>
                </w:p>
              </w:tc>
            </w:tr>
            <w:tr w14:paraId="63B470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928" w:type="dxa"/>
                  <w:vMerge w:val="continue"/>
                  <w:tcBorders>
                    <w:tl2br w:val="nil"/>
                    <w:tr2bl w:val="nil"/>
                  </w:tcBorders>
                  <w:vAlign w:val="center"/>
                </w:tcPr>
                <w:p w14:paraId="155DF0B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pPr>
                </w:p>
              </w:tc>
              <w:tc>
                <w:tcPr>
                  <w:tcW w:w="2380" w:type="dxa"/>
                  <w:tcBorders>
                    <w:tl2br w:val="nil"/>
                    <w:tr2bl w:val="nil"/>
                  </w:tcBorders>
                  <w:vAlign w:val="center"/>
                </w:tcPr>
                <w:p w14:paraId="453A19B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空间结构：</w:t>
                  </w:r>
                  <w:r>
                    <w:rPr>
                      <w:rFonts w:hint="default" w:ascii="Times New Roman" w:hAnsi="Times New Roman" w:eastAsia="宋体" w:cs="Times New Roman"/>
                      <w:b w:val="0"/>
                      <w:bCs w:val="0"/>
                      <w:i w:val="0"/>
                      <w:iCs w:val="0"/>
                      <w:caps w:val="0"/>
                      <w:color w:val="0F1115"/>
                      <w:spacing w:val="0"/>
                      <w:sz w:val="21"/>
                      <w:szCs w:val="21"/>
                      <w:shd w:val="clear" w:fill="FFFFFF"/>
                    </w:rPr>
                    <w:t>构建</w:t>
                  </w:r>
                  <w:r>
                    <w:rPr>
                      <w:rFonts w:hint="eastAsia" w:ascii="Times New Roman" w:hAnsi="Times New Roman" w:eastAsia="宋体" w:cs="Times New Roman"/>
                      <w:b w:val="0"/>
                      <w:bCs w:val="0"/>
                      <w:i w:val="0"/>
                      <w:iCs w:val="0"/>
                      <w:caps w:val="0"/>
                      <w:color w:val="0F1115"/>
                      <w:spacing w:val="0"/>
                      <w:sz w:val="21"/>
                      <w:szCs w:val="21"/>
                      <w:shd w:val="clear" w:fill="FFFFFF"/>
                      <w:lang w:eastAsia="zh-CN"/>
                    </w:rPr>
                    <w:t>“</w:t>
                  </w:r>
                  <w:r>
                    <w:rPr>
                      <w:rFonts w:hint="default" w:ascii="Times New Roman" w:hAnsi="Times New Roman" w:eastAsia="宋体" w:cs="Times New Roman"/>
                      <w:b w:val="0"/>
                      <w:bCs w:val="0"/>
                      <w:i w:val="0"/>
                      <w:iCs w:val="0"/>
                      <w:caps w:val="0"/>
                      <w:color w:val="0F1115"/>
                      <w:spacing w:val="0"/>
                      <w:sz w:val="21"/>
                      <w:szCs w:val="21"/>
                      <w:shd w:val="clear" w:fill="FFFFFF"/>
                    </w:rPr>
                    <w:t>一轴五楔，一心四片</w:t>
                  </w:r>
                  <w:r>
                    <w:rPr>
                      <w:rFonts w:hint="eastAsia" w:ascii="Times New Roman" w:hAnsi="Times New Roman" w:eastAsia="宋体" w:cs="Times New Roman"/>
                      <w:b w:val="0"/>
                      <w:bCs w:val="0"/>
                      <w:i w:val="0"/>
                      <w:iCs w:val="0"/>
                      <w:caps w:val="0"/>
                      <w:color w:val="0F1115"/>
                      <w:spacing w:val="0"/>
                      <w:sz w:val="21"/>
                      <w:szCs w:val="21"/>
                      <w:shd w:val="clear" w:fill="FFFFFF"/>
                      <w:lang w:eastAsia="zh-CN"/>
                    </w:rPr>
                    <w:t>”</w:t>
                  </w:r>
                  <w:r>
                    <w:rPr>
                      <w:rFonts w:hint="default" w:ascii="Times New Roman" w:hAnsi="Times New Roman" w:eastAsia="宋体" w:cs="Times New Roman"/>
                      <w:b w:val="0"/>
                      <w:bCs w:val="0"/>
                      <w:i w:val="0"/>
                      <w:iCs w:val="0"/>
                      <w:caps w:val="0"/>
                      <w:color w:val="0F1115"/>
                      <w:spacing w:val="0"/>
                      <w:sz w:val="21"/>
                      <w:szCs w:val="21"/>
                      <w:shd w:val="clear" w:fill="FFFFFF"/>
                    </w:rPr>
                    <w:t>的中心城区空间结构，北部港产融合片区重点推动区港一体化发展，保障产业空间供给</w:t>
                  </w:r>
                  <w:r>
                    <w:rPr>
                      <w:rFonts w:hint="eastAsia" w:ascii="Times New Roman" w:hAnsi="Times New Roman" w:eastAsia="宋体" w:cs="Times New Roman"/>
                      <w:b w:val="0"/>
                      <w:bCs w:val="0"/>
                      <w:i w:val="0"/>
                      <w:iCs w:val="0"/>
                      <w:caps w:val="0"/>
                      <w:color w:val="0F1115"/>
                      <w:spacing w:val="0"/>
                      <w:sz w:val="21"/>
                      <w:szCs w:val="21"/>
                      <w:shd w:val="clear" w:fill="FFFFFF"/>
                      <w:lang w:eastAsia="zh-CN"/>
                    </w:rPr>
                    <w:t>，与临湘市共同培育市域北部产业集聚区。</w:t>
                  </w:r>
                </w:p>
              </w:tc>
              <w:tc>
                <w:tcPr>
                  <w:tcW w:w="2700" w:type="dxa"/>
                  <w:tcBorders>
                    <w:tl2br w:val="nil"/>
                    <w:tr2bl w:val="nil"/>
                  </w:tcBorders>
                  <w:vAlign w:val="center"/>
                </w:tcPr>
                <w:p w14:paraId="063C0A8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本项目位于北部港产融合片区，为电厂配套技改项目，符合该片区“保障产业空间供给”的发展导向</w:t>
                  </w:r>
                </w:p>
              </w:tc>
              <w:tc>
                <w:tcPr>
                  <w:tcW w:w="953" w:type="dxa"/>
                  <w:vMerge w:val="continue"/>
                  <w:tcBorders>
                    <w:tl2br w:val="nil"/>
                    <w:tr2bl w:val="nil"/>
                  </w:tcBorders>
                  <w:vAlign w:val="center"/>
                </w:tcPr>
                <w:p w14:paraId="13E3FCB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p>
              </w:tc>
            </w:tr>
            <w:tr w14:paraId="5D45BE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928" w:type="dxa"/>
                  <w:vMerge w:val="continue"/>
                  <w:tcBorders>
                    <w:tl2br w:val="nil"/>
                    <w:tr2bl w:val="nil"/>
                  </w:tcBorders>
                  <w:vAlign w:val="center"/>
                </w:tcPr>
                <w:p w14:paraId="01D5343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p>
              </w:tc>
              <w:tc>
                <w:tcPr>
                  <w:tcW w:w="2380" w:type="dxa"/>
                  <w:tcBorders>
                    <w:tl2br w:val="nil"/>
                    <w:tr2bl w:val="nil"/>
                  </w:tcBorders>
                  <w:vAlign w:val="center"/>
                </w:tcPr>
                <w:p w14:paraId="2957493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bCs/>
                      <w:i w:val="0"/>
                      <w:iCs w:val="0"/>
                      <w:caps w:val="0"/>
                      <w:color w:val="0F1115"/>
                      <w:spacing w:val="0"/>
                      <w:sz w:val="21"/>
                      <w:szCs w:val="21"/>
                      <w:u w:val="single"/>
                      <w:shd w:val="clear" w:fill="FFFFFF"/>
                      <w:vertAlign w:val="baseline"/>
                      <w:lang w:val="en-US" w:eastAsia="zh-CN"/>
                    </w:rPr>
                    <w:t>空间发展战略：</w:t>
                  </w: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推动绿色化工园、城陵矶</w:t>
                  </w:r>
                </w:p>
                <w:p w14:paraId="784A331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新港区、临湘产业园区协同发展，形成都市区北部产业集聚区，以港促产、以产兴港，壮大城市新引擎，重点推进污染工业企业和低效工业用地的产业升级和转型改造，推动工业项目向工业发展区内集中。</w:t>
                  </w:r>
                </w:p>
              </w:tc>
              <w:tc>
                <w:tcPr>
                  <w:tcW w:w="2700" w:type="dxa"/>
                  <w:tcBorders>
                    <w:tl2br w:val="nil"/>
                    <w:tr2bl w:val="nil"/>
                  </w:tcBorders>
                  <w:vAlign w:val="center"/>
                </w:tcPr>
                <w:p w14:paraId="0751052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本项目位于华能电厂现有工业用地范围内，不新增用地，符合工业发展区的用地布局要求</w:t>
                  </w:r>
                </w:p>
              </w:tc>
              <w:tc>
                <w:tcPr>
                  <w:tcW w:w="953" w:type="dxa"/>
                  <w:vMerge w:val="continue"/>
                  <w:tcBorders>
                    <w:tl2br w:val="nil"/>
                    <w:tr2bl w:val="nil"/>
                  </w:tcBorders>
                  <w:vAlign w:val="center"/>
                </w:tcPr>
                <w:p w14:paraId="5A7BDF7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p>
              </w:tc>
            </w:tr>
            <w:tr w14:paraId="143E33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928" w:type="dxa"/>
                  <w:vMerge w:val="restart"/>
                  <w:tcBorders>
                    <w:tl2br w:val="nil"/>
                    <w:tr2bl w:val="nil"/>
                  </w:tcBorders>
                  <w:vAlign w:val="center"/>
                </w:tcPr>
                <w:p w14:paraId="796E27D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“三区三线管控”</w:t>
                  </w:r>
                </w:p>
              </w:tc>
              <w:tc>
                <w:tcPr>
                  <w:tcW w:w="2380" w:type="dxa"/>
                  <w:tcBorders>
                    <w:tl2br w:val="nil"/>
                    <w:tr2bl w:val="nil"/>
                  </w:tcBorders>
                  <w:vAlign w:val="center"/>
                </w:tcPr>
                <w:p w14:paraId="6787260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bCs/>
                      <w:i w:val="0"/>
                      <w:iCs w:val="0"/>
                      <w:caps w:val="0"/>
                      <w:color w:val="0F1115"/>
                      <w:spacing w:val="0"/>
                      <w:sz w:val="21"/>
                      <w:szCs w:val="21"/>
                      <w:u w:val="single"/>
                      <w:shd w:val="clear" w:fill="FFFFFF"/>
                      <w:vertAlign w:val="baseline"/>
                      <w:lang w:val="en-US" w:eastAsia="zh-CN"/>
                    </w:rPr>
                    <w:t>耕地和永久基本农田：</w:t>
                  </w: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至2035年，市辖区耕地保有量不低于60.63万亩，永久基本农田保护面积不低于49.46万亩。</w:t>
                  </w:r>
                </w:p>
              </w:tc>
              <w:tc>
                <w:tcPr>
                  <w:tcW w:w="2700" w:type="dxa"/>
                  <w:vMerge w:val="restart"/>
                  <w:tcBorders>
                    <w:tl2br w:val="nil"/>
                    <w:tr2bl w:val="nil"/>
                  </w:tcBorders>
                  <w:vAlign w:val="center"/>
                </w:tcPr>
                <w:p w14:paraId="1404933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本项目位于华能电厂现有厂区内，不占用耕地和永久基本农田</w:t>
                  </w: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，不涉及生态保护红线，不新增用地</w:t>
                  </w:r>
                </w:p>
              </w:tc>
              <w:tc>
                <w:tcPr>
                  <w:tcW w:w="953" w:type="dxa"/>
                  <w:vMerge w:val="restart"/>
                  <w:tcBorders>
                    <w:tl2br w:val="nil"/>
                    <w:tr2bl w:val="nil"/>
                  </w:tcBorders>
                  <w:vAlign w:val="center"/>
                </w:tcPr>
                <w:p w14:paraId="61D47FE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符合</w:t>
                  </w:r>
                </w:p>
              </w:tc>
            </w:tr>
            <w:tr w14:paraId="53878C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928" w:type="dxa"/>
                  <w:vMerge w:val="continue"/>
                  <w:tcBorders>
                    <w:tl2br w:val="nil"/>
                    <w:tr2bl w:val="nil"/>
                  </w:tcBorders>
                  <w:vAlign w:val="center"/>
                </w:tcPr>
                <w:p w14:paraId="7368C6A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pPr>
                </w:p>
              </w:tc>
              <w:tc>
                <w:tcPr>
                  <w:tcW w:w="2380" w:type="dxa"/>
                  <w:tcBorders>
                    <w:tl2br w:val="nil"/>
                    <w:tr2bl w:val="nil"/>
                  </w:tcBorders>
                  <w:vAlign w:val="center"/>
                </w:tcPr>
                <w:p w14:paraId="36E0C5A1">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bCs/>
                      <w:i w:val="0"/>
                      <w:iCs w:val="0"/>
                      <w:caps w:val="0"/>
                      <w:color w:val="0F1115"/>
                      <w:spacing w:val="0"/>
                      <w:sz w:val="21"/>
                      <w:szCs w:val="21"/>
                      <w:u w:val="single"/>
                      <w:shd w:val="clear" w:fill="FFFFFF"/>
                      <w:vertAlign w:val="baseline"/>
                      <w:lang w:val="en-US" w:eastAsia="zh-CN"/>
                    </w:rPr>
                    <w:t>生态保护红线：</w:t>
                  </w: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至2035年，市辖区生态保护红线面积不低于176.45km²，占市辖区国土面积的12.49%。</w:t>
                  </w:r>
                </w:p>
              </w:tc>
              <w:tc>
                <w:tcPr>
                  <w:tcW w:w="2700" w:type="dxa"/>
                  <w:vMerge w:val="continue"/>
                  <w:tcBorders>
                    <w:tl2br w:val="nil"/>
                    <w:tr2bl w:val="nil"/>
                  </w:tcBorders>
                  <w:vAlign w:val="center"/>
                </w:tcPr>
                <w:p w14:paraId="644C7B4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p>
              </w:tc>
              <w:tc>
                <w:tcPr>
                  <w:tcW w:w="953" w:type="dxa"/>
                  <w:vMerge w:val="continue"/>
                  <w:tcBorders>
                    <w:tl2br w:val="nil"/>
                    <w:tr2bl w:val="nil"/>
                  </w:tcBorders>
                  <w:vAlign w:val="center"/>
                </w:tcPr>
                <w:p w14:paraId="018C9A8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p>
              </w:tc>
            </w:tr>
            <w:tr w14:paraId="6AC083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928" w:type="dxa"/>
                  <w:vMerge w:val="continue"/>
                  <w:tcBorders>
                    <w:tl2br w:val="nil"/>
                    <w:tr2bl w:val="nil"/>
                  </w:tcBorders>
                  <w:vAlign w:val="center"/>
                </w:tcPr>
                <w:p w14:paraId="4A55BCE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p>
              </w:tc>
              <w:tc>
                <w:tcPr>
                  <w:tcW w:w="2380" w:type="dxa"/>
                  <w:tcBorders>
                    <w:tl2br w:val="nil"/>
                    <w:tr2bl w:val="nil"/>
                  </w:tcBorders>
                  <w:vAlign w:val="center"/>
                </w:tcPr>
                <w:p w14:paraId="1F8ED63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bCs/>
                      <w:i w:val="0"/>
                      <w:iCs w:val="0"/>
                      <w:caps w:val="0"/>
                      <w:color w:val="0F1115"/>
                      <w:spacing w:val="0"/>
                      <w:sz w:val="21"/>
                      <w:szCs w:val="21"/>
                      <w:u w:val="single"/>
                      <w:shd w:val="clear" w:fill="FFFFFF"/>
                      <w:vertAlign w:val="baseline"/>
                      <w:lang w:val="en-US" w:eastAsia="zh-CN"/>
                    </w:rPr>
                    <w:t>城镇开发边界：</w:t>
                  </w: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至2035年，市辖区城镇开发边界面积控制在262.77km²以内。</w:t>
                  </w:r>
                </w:p>
              </w:tc>
              <w:tc>
                <w:tcPr>
                  <w:tcW w:w="2700" w:type="dxa"/>
                  <w:vMerge w:val="continue"/>
                  <w:tcBorders>
                    <w:tl2br w:val="nil"/>
                    <w:tr2bl w:val="nil"/>
                  </w:tcBorders>
                  <w:vAlign w:val="center"/>
                </w:tcPr>
                <w:p w14:paraId="3CFCA9F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p>
              </w:tc>
              <w:tc>
                <w:tcPr>
                  <w:tcW w:w="953" w:type="dxa"/>
                  <w:vMerge w:val="continue"/>
                  <w:tcBorders>
                    <w:tl2br w:val="nil"/>
                    <w:tr2bl w:val="nil"/>
                  </w:tcBorders>
                  <w:vAlign w:val="center"/>
                </w:tcPr>
                <w:p w14:paraId="18127CF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p>
              </w:tc>
            </w:tr>
            <w:tr w14:paraId="5BDEF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928" w:type="dxa"/>
                  <w:vMerge w:val="restart"/>
                  <w:tcBorders>
                    <w:tl2br w:val="nil"/>
                    <w:tr2bl w:val="nil"/>
                  </w:tcBorders>
                  <w:vAlign w:val="center"/>
                </w:tcPr>
                <w:p w14:paraId="677C5A0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市政寄出设施与能源保障</w:t>
                  </w:r>
                </w:p>
              </w:tc>
              <w:tc>
                <w:tcPr>
                  <w:tcW w:w="2380" w:type="dxa"/>
                  <w:tcBorders>
                    <w:tl2br w:val="nil"/>
                    <w:tr2bl w:val="nil"/>
                  </w:tcBorders>
                  <w:vAlign w:val="center"/>
                </w:tcPr>
                <w:p w14:paraId="5626CE0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bCs/>
                      <w:i w:val="0"/>
                      <w:iCs w:val="0"/>
                      <w:caps w:val="0"/>
                      <w:color w:val="0F1115"/>
                      <w:spacing w:val="0"/>
                      <w:sz w:val="21"/>
                      <w:szCs w:val="21"/>
                      <w:u w:val="single"/>
                      <w:shd w:val="clear" w:fill="FFFFFF"/>
                      <w:vertAlign w:val="baseline"/>
                      <w:lang w:val="en-US" w:eastAsia="zh-CN"/>
                    </w:rPr>
                    <w:t>电力能源产业：</w:t>
                  </w: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保障电力新能源等九大重点产业链空间需求，支持电力能源产业发展</w:t>
                  </w:r>
                </w:p>
              </w:tc>
              <w:tc>
                <w:tcPr>
                  <w:tcW w:w="2700" w:type="dxa"/>
                  <w:tcBorders>
                    <w:tl2br w:val="nil"/>
                    <w:tr2bl w:val="nil"/>
                  </w:tcBorders>
                  <w:vAlign w:val="center"/>
                </w:tcPr>
                <w:p w14:paraId="6E9BB3F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本项目服务于华能电厂粉煤灰的综合利用，直接支撑电力能源产业链的绿色发展</w:t>
                  </w:r>
                </w:p>
              </w:tc>
              <w:tc>
                <w:tcPr>
                  <w:tcW w:w="953" w:type="dxa"/>
                  <w:vMerge w:val="restart"/>
                  <w:tcBorders>
                    <w:tl2br w:val="nil"/>
                    <w:tr2bl w:val="nil"/>
                  </w:tcBorders>
                  <w:vAlign w:val="center"/>
                </w:tcPr>
                <w:p w14:paraId="1E86C8F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符合</w:t>
                  </w:r>
                </w:p>
              </w:tc>
            </w:tr>
            <w:tr w14:paraId="464D3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928" w:type="dxa"/>
                  <w:vMerge w:val="continue"/>
                  <w:tcBorders>
                    <w:tl2br w:val="nil"/>
                    <w:tr2bl w:val="nil"/>
                  </w:tcBorders>
                  <w:vAlign w:val="center"/>
                </w:tcPr>
                <w:p w14:paraId="1E6A6C7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pPr>
                </w:p>
              </w:tc>
              <w:tc>
                <w:tcPr>
                  <w:tcW w:w="2380" w:type="dxa"/>
                  <w:tcBorders>
                    <w:tl2br w:val="nil"/>
                    <w:tr2bl w:val="nil"/>
                  </w:tcBorders>
                  <w:vAlign w:val="center"/>
                </w:tcPr>
                <w:p w14:paraId="64C3782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bCs/>
                      <w:i w:val="0"/>
                      <w:iCs w:val="0"/>
                      <w:caps w:val="0"/>
                      <w:color w:val="0F1115"/>
                      <w:spacing w:val="0"/>
                      <w:sz w:val="21"/>
                      <w:szCs w:val="21"/>
                      <w:u w:val="single"/>
                      <w:shd w:val="clear" w:fill="FFFFFF"/>
                      <w:vertAlign w:val="baseline"/>
                      <w:lang w:val="en-US" w:eastAsia="zh-CN"/>
                    </w:rPr>
                    <w:t>能源结构优化：</w:t>
                  </w: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全面推进光伏风电高质量开发利用，加大可再生能源利用，支持太阳能光伏屋顶发电、太阳能供暖、生物质能、地热能利用，建设新型电力系统。加强重点企业减排，推进电厂能效提升，探索开展电厂碳排放捕捉、利用与封存。</w:t>
                  </w:r>
                </w:p>
              </w:tc>
              <w:tc>
                <w:tcPr>
                  <w:tcW w:w="2700" w:type="dxa"/>
                  <w:tcBorders>
                    <w:tl2br w:val="nil"/>
                    <w:tr2bl w:val="nil"/>
                  </w:tcBorders>
                  <w:vAlign w:val="center"/>
                </w:tcPr>
                <w:p w14:paraId="44FA123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本项目通过粉煤灰分级加工提升固废综合利用水平，减少粉煤灰堆存环境风险，符合能源结构优化和固废资源化利用导向</w:t>
                  </w:r>
                </w:p>
              </w:tc>
              <w:tc>
                <w:tcPr>
                  <w:tcW w:w="953" w:type="dxa"/>
                  <w:vMerge w:val="continue"/>
                  <w:tcBorders>
                    <w:tl2br w:val="nil"/>
                    <w:tr2bl w:val="nil"/>
                  </w:tcBorders>
                  <w:vAlign w:val="center"/>
                </w:tcPr>
                <w:p w14:paraId="7B8F1FE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p>
              </w:tc>
            </w:tr>
            <w:tr w14:paraId="13EB46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928" w:type="dxa"/>
                  <w:vMerge w:val="continue"/>
                  <w:tcBorders>
                    <w:tl2br w:val="nil"/>
                    <w:tr2bl w:val="nil"/>
                  </w:tcBorders>
                  <w:vAlign w:val="center"/>
                </w:tcPr>
                <w:p w14:paraId="3907E7F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p>
              </w:tc>
              <w:tc>
                <w:tcPr>
                  <w:tcW w:w="2380" w:type="dxa"/>
                  <w:tcBorders>
                    <w:tl2br w:val="nil"/>
                    <w:tr2bl w:val="nil"/>
                  </w:tcBorders>
                  <w:vAlign w:val="center"/>
                </w:tcPr>
                <w:p w14:paraId="0CF630D1">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bCs/>
                      <w:i w:val="0"/>
                      <w:iCs w:val="0"/>
                      <w:caps w:val="0"/>
                      <w:color w:val="0F1115"/>
                      <w:spacing w:val="0"/>
                      <w:sz w:val="21"/>
                      <w:szCs w:val="21"/>
                      <w:u w:val="single"/>
                      <w:shd w:val="clear" w:fill="FFFFFF"/>
                      <w:vertAlign w:val="baseline"/>
                      <w:lang w:val="en-US" w:eastAsia="zh-CN"/>
                    </w:rPr>
                    <w:t>固体废物处理：</w:t>
                  </w: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中心城区垃圾管理以无害化处理为核心，以实现生活垃圾无害化、减量化和资源化。</w:t>
                  </w:r>
                </w:p>
              </w:tc>
              <w:tc>
                <w:tcPr>
                  <w:tcW w:w="2700" w:type="dxa"/>
                  <w:tcBorders>
                    <w:tl2br w:val="nil"/>
                    <w:tr2bl w:val="nil"/>
                  </w:tcBorders>
                  <w:vAlign w:val="center"/>
                </w:tcPr>
                <w:p w14:paraId="1BC7C9B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本项目为粉煤灰综合利用</w:t>
                  </w: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，属于固废资源化利用范畴，符合“减量化、资源化、无害化”的固废处理导向</w:t>
                  </w:r>
                </w:p>
              </w:tc>
              <w:tc>
                <w:tcPr>
                  <w:tcW w:w="953" w:type="dxa"/>
                  <w:vMerge w:val="continue"/>
                  <w:tcBorders>
                    <w:tl2br w:val="nil"/>
                    <w:tr2bl w:val="nil"/>
                  </w:tcBorders>
                  <w:vAlign w:val="center"/>
                </w:tcPr>
                <w:p w14:paraId="26563E9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p>
              </w:tc>
            </w:tr>
            <w:tr w14:paraId="40374A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28" w:type="dxa"/>
                  <w:vMerge w:val="restart"/>
                  <w:tcBorders>
                    <w:tl2br w:val="nil"/>
                    <w:tr2bl w:val="nil"/>
                  </w:tcBorders>
                  <w:vAlign w:val="center"/>
                </w:tcPr>
                <w:p w14:paraId="50ABA29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生态环境保护与绿色发展</w:t>
                  </w:r>
                </w:p>
              </w:tc>
              <w:tc>
                <w:tcPr>
                  <w:tcW w:w="2380" w:type="dxa"/>
                  <w:tcBorders>
                    <w:tl2br w:val="nil"/>
                    <w:tr2bl w:val="nil"/>
                  </w:tcBorders>
                  <w:vAlign w:val="center"/>
                </w:tcPr>
                <w:p w14:paraId="324BB36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bCs/>
                      <w:i w:val="0"/>
                      <w:iCs w:val="0"/>
                      <w:caps w:val="0"/>
                      <w:color w:val="0F1115"/>
                      <w:spacing w:val="0"/>
                      <w:sz w:val="21"/>
                      <w:szCs w:val="21"/>
                      <w:u w:val="single"/>
                      <w:shd w:val="clear" w:fill="FFFFFF"/>
                      <w:vertAlign w:val="baseline"/>
                      <w:lang w:val="en-US" w:eastAsia="zh-CN"/>
                    </w:rPr>
                    <w:t>绿色发展：</w:t>
                  </w: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探索绿色发展模式，建设长江经济带绿色发展示范区</w:t>
                  </w:r>
                </w:p>
              </w:tc>
              <w:tc>
                <w:tcPr>
                  <w:tcW w:w="2700" w:type="dxa"/>
                  <w:tcBorders>
                    <w:tl2br w:val="nil"/>
                    <w:tr2bl w:val="nil"/>
                  </w:tcBorders>
                  <w:vAlign w:val="center"/>
                </w:tcPr>
                <w:p w14:paraId="4937439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本项目为粉煤灰高值化综合利用，属于循环经济和绿色发展的项目</w:t>
                  </w:r>
                </w:p>
              </w:tc>
              <w:tc>
                <w:tcPr>
                  <w:tcW w:w="953" w:type="dxa"/>
                  <w:vMerge w:val="restart"/>
                  <w:tcBorders>
                    <w:tl2br w:val="nil"/>
                    <w:tr2bl w:val="nil"/>
                  </w:tcBorders>
                  <w:vAlign w:val="center"/>
                </w:tcPr>
                <w:p w14:paraId="721776A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符合</w:t>
                  </w:r>
                </w:p>
              </w:tc>
            </w:tr>
            <w:tr w14:paraId="7BD01C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28" w:type="dxa"/>
                  <w:vMerge w:val="continue"/>
                  <w:tcBorders>
                    <w:tl2br w:val="nil"/>
                    <w:tr2bl w:val="nil"/>
                  </w:tcBorders>
                  <w:vAlign w:val="center"/>
                </w:tcPr>
                <w:p w14:paraId="295D31D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p>
              </w:tc>
              <w:tc>
                <w:tcPr>
                  <w:tcW w:w="2380" w:type="dxa"/>
                  <w:tcBorders>
                    <w:tl2br w:val="nil"/>
                    <w:tr2bl w:val="nil"/>
                  </w:tcBorders>
                  <w:vAlign w:val="center"/>
                </w:tcPr>
                <w:p w14:paraId="314871F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bCs/>
                      <w:i w:val="0"/>
                      <w:iCs w:val="0"/>
                      <w:caps w:val="0"/>
                      <w:color w:val="0F1115"/>
                      <w:spacing w:val="0"/>
                      <w:sz w:val="21"/>
                      <w:szCs w:val="21"/>
                      <w:u w:val="single"/>
                      <w:shd w:val="clear" w:fill="FFFFFF"/>
                      <w:vertAlign w:val="baseline"/>
                      <w:lang w:val="en-US" w:eastAsia="zh-CN"/>
                    </w:rPr>
                    <w:t>减污降碳：</w:t>
                  </w: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加强重点企业减排，推进电厂能效提升，探索开展电厂碳排放捕捉、利用与封存。</w:t>
                  </w:r>
                </w:p>
              </w:tc>
              <w:tc>
                <w:tcPr>
                  <w:tcW w:w="2700" w:type="dxa"/>
                  <w:tcBorders>
                    <w:tl2br w:val="nil"/>
                    <w:tr2bl w:val="nil"/>
                  </w:tcBorders>
                  <w:vAlign w:val="center"/>
                </w:tcPr>
                <w:p w14:paraId="5FE15B0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本项目通过粉煤灰分级利用，将低品质固废转化为建材原料，有利于减少固废堆存环境风险，间接减少碳排放</w:t>
                  </w:r>
                </w:p>
              </w:tc>
              <w:tc>
                <w:tcPr>
                  <w:tcW w:w="953" w:type="dxa"/>
                  <w:vMerge w:val="continue"/>
                  <w:tcBorders>
                    <w:tl2br w:val="nil"/>
                    <w:tr2bl w:val="nil"/>
                  </w:tcBorders>
                  <w:vAlign w:val="center"/>
                </w:tcPr>
                <w:p w14:paraId="23D823E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p>
              </w:tc>
            </w:tr>
            <w:tr w14:paraId="48EBE7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28" w:type="dxa"/>
                  <w:vMerge w:val="continue"/>
                  <w:tcBorders>
                    <w:tl2br w:val="nil"/>
                    <w:tr2bl w:val="nil"/>
                  </w:tcBorders>
                  <w:vAlign w:val="center"/>
                </w:tcPr>
                <w:p w14:paraId="649B8CF7">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p>
              </w:tc>
              <w:tc>
                <w:tcPr>
                  <w:tcW w:w="2380" w:type="dxa"/>
                  <w:tcBorders>
                    <w:tl2br w:val="nil"/>
                    <w:tr2bl w:val="nil"/>
                  </w:tcBorders>
                  <w:vAlign w:val="center"/>
                </w:tcPr>
                <w:p w14:paraId="547B428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bCs/>
                      <w:i w:val="0"/>
                      <w:iCs w:val="0"/>
                      <w:caps w:val="0"/>
                      <w:color w:val="0F1115"/>
                      <w:spacing w:val="0"/>
                      <w:sz w:val="21"/>
                      <w:szCs w:val="21"/>
                      <w:u w:val="single"/>
                      <w:shd w:val="clear" w:fill="FFFFFF"/>
                      <w:vertAlign w:val="baseline"/>
                      <w:lang w:val="en-US" w:eastAsia="zh-CN"/>
                    </w:rPr>
                    <w:t>扬尘管控：</w:t>
                  </w: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加强扬尘污染监管与执法</w:t>
                  </w:r>
                </w:p>
              </w:tc>
              <w:tc>
                <w:tcPr>
                  <w:tcW w:w="2700" w:type="dxa"/>
                  <w:tcBorders>
                    <w:tl2br w:val="nil"/>
                    <w:tr2bl w:val="nil"/>
                  </w:tcBorders>
                  <w:vAlign w:val="center"/>
                </w:tcPr>
                <w:p w14:paraId="34768D7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本项目粉煤灰采用密闭筒仓储存，气力输送，配套布袋除尘设施，有效控制扬尘排放</w:t>
                  </w:r>
                </w:p>
              </w:tc>
              <w:tc>
                <w:tcPr>
                  <w:tcW w:w="953" w:type="dxa"/>
                  <w:vMerge w:val="continue"/>
                  <w:tcBorders>
                    <w:tl2br w:val="nil"/>
                    <w:tr2bl w:val="nil"/>
                  </w:tcBorders>
                  <w:vAlign w:val="center"/>
                </w:tcPr>
                <w:p w14:paraId="31F96E4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p>
              </w:tc>
            </w:tr>
          </w:tbl>
          <w:p w14:paraId="2181D8FA">
            <w:pPr>
              <w:keepNext w:val="0"/>
              <w:keepLines w:val="0"/>
              <w:pageBreakBefore w:val="0"/>
              <w:widowControl/>
              <w:numPr>
                <w:ilvl w:val="0"/>
                <w:numId w:val="0"/>
              </w:numPr>
              <w:kinsoku/>
              <w:wordWrap/>
              <w:overflowPunct/>
              <w:topLinePunct w:val="0"/>
              <w:autoSpaceDE/>
              <w:autoSpaceDN/>
              <w:bidi w:val="0"/>
              <w:adjustRightInd/>
              <w:snapToGrid/>
              <w:spacing w:before="164" w:beforeLines="50" w:line="360" w:lineRule="auto"/>
              <w:ind w:leftChars="0" w:right="0" w:rightChars="0" w:firstLine="480" w:firstLineChars="200"/>
              <w:jc w:val="both"/>
              <w:textAlignment w:val="auto"/>
              <w:rPr>
                <w:rFonts w:hint="default" w:ascii="Segoe UI" w:hAnsi="Segoe UI" w:eastAsia="宋体" w:cs="Segoe UI"/>
                <w:i w:val="0"/>
                <w:iCs w:val="0"/>
                <w:caps w:val="0"/>
                <w:color w:val="0F1115"/>
                <w:spacing w:val="0"/>
                <w:sz w:val="24"/>
                <w:szCs w:val="24"/>
                <w:shd w:val="clear" w:fill="FFFFFF"/>
                <w:lang w:val="en-US" w:eastAsia="zh-CN"/>
              </w:rPr>
            </w:pPr>
            <w:r>
              <w:rPr>
                <w:rFonts w:hint="eastAsia" w:ascii="Segoe UI" w:hAnsi="Segoe UI" w:eastAsia="宋体" w:cs="Segoe UI"/>
                <w:i w:val="0"/>
                <w:iCs w:val="0"/>
                <w:caps w:val="0"/>
                <w:color w:val="0F1115"/>
                <w:spacing w:val="0"/>
                <w:sz w:val="24"/>
                <w:szCs w:val="24"/>
                <w:u w:val="single"/>
                <w:shd w:val="clear" w:fill="FFFFFF"/>
                <w:lang w:val="en-US" w:eastAsia="zh-CN"/>
              </w:rPr>
              <w:t>综上分析，本项目符合</w:t>
            </w:r>
            <w:r>
              <w:rPr>
                <w:rFonts w:hint="default" w:ascii="Times New Roman" w:hAnsi="Times New Roman" w:eastAsia="宋体" w:cs="Times New Roman"/>
                <w:b w:val="0"/>
                <w:bCs w:val="0"/>
                <w:i w:val="0"/>
                <w:iCs w:val="0"/>
                <w:caps w:val="0"/>
                <w:color w:val="0F1115"/>
                <w:spacing w:val="0"/>
                <w:sz w:val="24"/>
                <w:szCs w:val="24"/>
                <w:u w:val="single"/>
                <w:shd w:val="clear" w:fill="FFFFFF"/>
              </w:rPr>
              <w:t>《岳阳市国土空间总体规划（2021-2035年）》</w:t>
            </w:r>
            <w:r>
              <w:rPr>
                <w:rFonts w:hint="eastAsia" w:cs="Times New Roman"/>
                <w:b w:val="0"/>
                <w:bCs w:val="0"/>
                <w:i w:val="0"/>
                <w:iCs w:val="0"/>
                <w:caps w:val="0"/>
                <w:color w:val="0F1115"/>
                <w:spacing w:val="0"/>
                <w:sz w:val="24"/>
                <w:szCs w:val="24"/>
                <w:u w:val="single"/>
                <w:shd w:val="clear" w:fill="FFFFFF"/>
                <w:lang w:val="en-US" w:eastAsia="zh-CN"/>
              </w:rPr>
              <w:t>相关要求。</w:t>
            </w:r>
          </w:p>
        </w:tc>
      </w:tr>
      <w:tr w14:paraId="0D39FE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843" w:type="dxa"/>
            <w:vAlign w:val="center"/>
          </w:tcPr>
          <w:p w14:paraId="712057CB">
            <w:pPr>
              <w:autoSpaceDE w:val="0"/>
              <w:autoSpaceDN w:val="0"/>
              <w:adjustRightInd w:val="0"/>
              <w:snapToGrid w:val="0"/>
              <w:spacing w:line="240" w:lineRule="auto"/>
              <w:ind w:firstLine="0" w:firstLineChars="0"/>
              <w:jc w:val="center"/>
            </w:pPr>
            <w:r>
              <w:t>其他符合性分析</w:t>
            </w:r>
          </w:p>
        </w:tc>
        <w:tc>
          <w:tcPr>
            <w:tcW w:w="8051" w:type="dxa"/>
            <w:gridSpan w:val="4"/>
            <w:vAlign w:val="center"/>
          </w:tcPr>
          <w:p w14:paraId="00D4F5CB">
            <w:pPr>
              <w:numPr>
                <w:ilvl w:val="0"/>
                <w:numId w:val="10"/>
              </w:numPr>
              <w:autoSpaceDE w:val="0"/>
              <w:autoSpaceDN w:val="0"/>
              <w:adjustRightInd w:val="0"/>
              <w:snapToGrid w:val="0"/>
              <w:ind w:left="0" w:firstLine="0" w:firstLineChars="0"/>
              <w:jc w:val="left"/>
              <w:rPr>
                <w:b/>
              </w:rPr>
            </w:pPr>
            <w:r>
              <w:rPr>
                <w:rFonts w:hint="eastAsia"/>
                <w:b/>
              </w:rPr>
              <w:t>产业政策符合性分析</w:t>
            </w:r>
          </w:p>
          <w:p w14:paraId="0C8E6F73">
            <w:pPr>
              <w:widowControl w:val="0"/>
              <w:autoSpaceDE w:val="0"/>
              <w:autoSpaceDN w:val="0"/>
              <w:snapToGrid w:val="0"/>
              <w:ind w:firstLine="480"/>
              <w:jc w:val="both"/>
            </w:pPr>
            <w:r>
              <w:rPr>
                <w:rFonts w:hint="eastAsia"/>
              </w:rPr>
              <w:t>本项目属于“N7723固体废物治理”，根据《产业结构调整指导目录（2024年本）》，</w:t>
            </w:r>
            <w:r>
              <w:t>本项目</w:t>
            </w:r>
            <w:r>
              <w:rPr>
                <w:rFonts w:hint="eastAsia"/>
              </w:rPr>
              <w:t>属于“</w:t>
            </w:r>
            <w:r>
              <w:t>四十二、环境保护与资源节约综合利用</w:t>
            </w:r>
            <w:r>
              <w:rPr>
                <w:rFonts w:hint="eastAsia"/>
              </w:rPr>
              <w:t>”中的“10．工业“三废”循环利用：“三废”综合利用与治理技术、装备和工程”</w:t>
            </w:r>
            <w:r>
              <w:rPr>
                <w:rStyle w:val="40"/>
                <w:rFonts w:hint="eastAsia"/>
              </w:rPr>
              <w:t>，</w:t>
            </w:r>
            <w:r>
              <w:t>为</w:t>
            </w:r>
            <w:r>
              <w:rPr>
                <w:rFonts w:hint="eastAsia"/>
              </w:rPr>
              <w:t>鼓励</w:t>
            </w:r>
            <w:r>
              <w:t>类。本项目不属于《市场准入负面清单（202</w:t>
            </w:r>
            <w:r>
              <w:rPr>
                <w:rFonts w:hint="eastAsia"/>
              </w:rPr>
              <w:t>5</w:t>
            </w:r>
            <w:r>
              <w:t>年版）》中的禁止准入类项目。因此，本项目的建设符合国家产业政策。</w:t>
            </w:r>
          </w:p>
          <w:p w14:paraId="4F565731">
            <w:pPr>
              <w:numPr>
                <w:ilvl w:val="0"/>
                <w:numId w:val="10"/>
              </w:numPr>
              <w:autoSpaceDE w:val="0"/>
              <w:autoSpaceDN w:val="0"/>
              <w:adjustRightInd w:val="0"/>
              <w:snapToGrid w:val="0"/>
              <w:ind w:left="0" w:firstLine="0" w:firstLineChars="0"/>
              <w:jc w:val="left"/>
              <w:rPr>
                <w:b/>
                <w:bCs/>
              </w:rPr>
            </w:pPr>
            <w:r>
              <w:rPr>
                <w:b/>
                <w:bCs/>
                <w:lang w:val="zh-CN"/>
              </w:rPr>
              <w:t>与</w:t>
            </w:r>
            <w:r>
              <w:rPr>
                <w:rFonts w:hint="eastAsia"/>
                <w:b/>
                <w:bCs/>
                <w:lang w:val="zh-CN"/>
              </w:rPr>
              <w:t>生态环境分区管控要求的</w:t>
            </w:r>
            <w:r>
              <w:rPr>
                <w:b/>
                <w:bCs/>
                <w:lang w:val="zh-CN"/>
              </w:rPr>
              <w:t>相符性</w:t>
            </w:r>
            <w:r>
              <w:rPr>
                <w:rFonts w:hint="eastAsia"/>
                <w:b/>
                <w:bCs/>
              </w:rPr>
              <w:t>分析</w:t>
            </w:r>
          </w:p>
          <w:p w14:paraId="3E5BC727">
            <w:pPr>
              <w:ind w:firstLine="480"/>
              <w:jc w:val="left"/>
            </w:pPr>
            <w:r>
              <w:t>根据</w:t>
            </w:r>
            <w:r>
              <w:rPr>
                <w:rFonts w:hint="eastAsia"/>
              </w:rPr>
              <w:t>《岳阳市生态环境局关于发布岳阳市生态环境分区管控动态更新成果（2023年版）的通知</w:t>
            </w:r>
            <w:r>
              <w:rPr>
                <w:rFonts w:hint="eastAsia"/>
                <w:color w:val="000000"/>
                <w:lang w:bidi="ar"/>
              </w:rPr>
              <w:t>》</w:t>
            </w:r>
            <w:r>
              <w:rPr>
                <w:rFonts w:hint="eastAsia"/>
              </w:rPr>
              <w:t>（岳环发〔2024〕14号）</w:t>
            </w:r>
            <w:r>
              <w:t>，本项目区环境管控单元</w:t>
            </w:r>
            <w:r>
              <w:rPr>
                <w:rFonts w:hint="eastAsia"/>
                <w:lang w:val="en-US" w:eastAsia="zh-CN"/>
              </w:rPr>
              <w:t>编码为</w:t>
            </w:r>
            <w:r>
              <w:rPr>
                <w:rFonts w:hint="eastAsia"/>
              </w:rPr>
              <w:t>ZH43060220003</w:t>
            </w:r>
            <w:r>
              <w:rPr>
                <w:rFonts w:hint="eastAsia"/>
                <w:lang w:val="en-US" w:eastAsia="zh-CN"/>
              </w:rPr>
              <w:t>和</w:t>
            </w:r>
            <w:r>
              <w:t>ZH4306</w:t>
            </w:r>
            <w:r>
              <w:rPr>
                <w:rFonts w:hint="eastAsia"/>
              </w:rPr>
              <w:t>0</w:t>
            </w:r>
            <w:r>
              <w:rPr>
                <w:rFonts w:hint="eastAsia"/>
                <w:lang w:val="en-US" w:eastAsia="zh-CN"/>
              </w:rPr>
              <w:t>320001</w:t>
            </w:r>
            <w:r>
              <w:t>，</w:t>
            </w:r>
            <w:r>
              <w:rPr>
                <w:rFonts w:hint="eastAsia"/>
              </w:rPr>
              <w:t>具体内容见下表：</w:t>
            </w:r>
          </w:p>
          <w:p w14:paraId="61F3F2BD">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right="0" w:rightChars="0" w:firstLine="482" w:firstLineChars="200"/>
              <w:jc w:val="center"/>
              <w:textAlignment w:val="auto"/>
              <w:rPr>
                <w:rFonts w:eastAsia="黑体"/>
              </w:rPr>
            </w:pPr>
            <w:r>
              <w:rPr>
                <w:rFonts w:hint="eastAsia"/>
                <w:b/>
                <w:bCs/>
              </w:rPr>
              <w:t>本项目与</w:t>
            </w:r>
            <w:r>
              <w:rPr>
                <w:rFonts w:hint="eastAsia"/>
                <w:b/>
                <w:bCs/>
                <w:lang w:val="zh-CN"/>
              </w:rPr>
              <w:t>《岳阳市生态环境局关于发布岳阳市生态环境分区管控动态更新成果（2023年版）的通知》</w:t>
            </w:r>
            <w:r>
              <w:rPr>
                <w:rFonts w:hint="eastAsia"/>
                <w:b/>
                <w:bCs/>
              </w:rPr>
              <w:t>相符性分析表</w:t>
            </w:r>
          </w:p>
          <w:tbl>
            <w:tblPr>
              <w:tblStyle w:val="31"/>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51"/>
              <w:gridCol w:w="855"/>
              <w:gridCol w:w="2894"/>
              <w:gridCol w:w="2448"/>
            </w:tblGrid>
            <w:tr w14:paraId="74ACD9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51" w:type="pct"/>
                  <w:tcBorders>
                    <w:tl2br w:val="nil"/>
                    <w:tr2bl w:val="nil"/>
                  </w:tcBorders>
                  <w:vAlign w:val="center"/>
                </w:tcPr>
                <w:p w14:paraId="66B4391D">
                  <w:pPr>
                    <w:pStyle w:val="48"/>
                    <w:ind w:left="0" w:leftChars="0" w:right="0" w:rightChars="0" w:firstLine="0" w:firstLineChars="0"/>
                    <w:jc w:val="center"/>
                    <w:rPr>
                      <w:b/>
                      <w:bCs/>
                    </w:rPr>
                  </w:pPr>
                  <w:r>
                    <w:rPr>
                      <w:rFonts w:hint="eastAsia"/>
                      <w:b/>
                      <w:bCs/>
                    </w:rPr>
                    <w:t>环境管控单元编码/名称</w:t>
                  </w:r>
                </w:p>
              </w:tc>
              <w:tc>
                <w:tcPr>
                  <w:tcW w:w="545" w:type="pct"/>
                  <w:tcBorders>
                    <w:tl2br w:val="nil"/>
                    <w:tr2bl w:val="nil"/>
                  </w:tcBorders>
                  <w:vAlign w:val="center"/>
                </w:tcPr>
                <w:p w14:paraId="2B00026D">
                  <w:pPr>
                    <w:pStyle w:val="48"/>
                    <w:ind w:left="0" w:leftChars="0" w:right="0" w:rightChars="0" w:firstLine="0" w:firstLineChars="0"/>
                    <w:jc w:val="center"/>
                    <w:rPr>
                      <w:b/>
                      <w:bCs/>
                    </w:rPr>
                  </w:pPr>
                  <w:r>
                    <w:rPr>
                      <w:b/>
                      <w:bCs/>
                    </w:rPr>
                    <w:t>单元分类</w:t>
                  </w:r>
                </w:p>
              </w:tc>
              <w:tc>
                <w:tcPr>
                  <w:tcW w:w="1843" w:type="pct"/>
                  <w:tcBorders>
                    <w:tl2br w:val="nil"/>
                    <w:tr2bl w:val="nil"/>
                  </w:tcBorders>
                  <w:vAlign w:val="center"/>
                </w:tcPr>
                <w:p w14:paraId="3A69D0DC">
                  <w:pPr>
                    <w:pStyle w:val="48"/>
                    <w:ind w:left="0" w:leftChars="0" w:right="0" w:rightChars="0" w:firstLine="0" w:firstLineChars="0"/>
                    <w:jc w:val="center"/>
                    <w:rPr>
                      <w:rFonts w:hint="default" w:eastAsia="宋体"/>
                      <w:b/>
                      <w:bCs/>
                      <w:lang w:val="en-US" w:eastAsia="zh-CN"/>
                    </w:rPr>
                  </w:pPr>
                  <w:r>
                    <w:rPr>
                      <w:rFonts w:hint="eastAsia"/>
                      <w:b/>
                      <w:bCs/>
                      <w:lang w:val="en-US" w:eastAsia="zh-CN"/>
                    </w:rPr>
                    <w:t>主体功能定位</w:t>
                  </w:r>
                </w:p>
              </w:tc>
              <w:tc>
                <w:tcPr>
                  <w:tcW w:w="1558" w:type="pct"/>
                  <w:tcBorders>
                    <w:tl2br w:val="nil"/>
                    <w:tr2bl w:val="nil"/>
                  </w:tcBorders>
                  <w:vAlign w:val="center"/>
                </w:tcPr>
                <w:p w14:paraId="087E69C8">
                  <w:pPr>
                    <w:pStyle w:val="48"/>
                    <w:jc w:val="left"/>
                    <w:rPr>
                      <w:b/>
                      <w:bCs/>
                    </w:rPr>
                  </w:pPr>
                  <w:r>
                    <w:rPr>
                      <w:rFonts w:hint="eastAsia"/>
                      <w:b/>
                      <w:bCs/>
                    </w:rPr>
                    <w:t>主要环境问题和重要敏感目标</w:t>
                  </w:r>
                </w:p>
              </w:tc>
            </w:tr>
            <w:tr w14:paraId="30A1D4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51" w:type="pct"/>
                  <w:tcBorders>
                    <w:tl2br w:val="nil"/>
                    <w:tr2bl w:val="nil"/>
                  </w:tcBorders>
                  <w:vAlign w:val="center"/>
                </w:tcPr>
                <w:p w14:paraId="26278848">
                  <w:pPr>
                    <w:pStyle w:val="48"/>
                    <w:jc w:val="left"/>
                    <w:rPr>
                      <w:rFonts w:hint="eastAsia" w:eastAsia="宋体"/>
                      <w:lang w:eastAsia="zh-CN"/>
                    </w:rPr>
                  </w:pPr>
                  <w:r>
                    <w:t>ZH4306</w:t>
                  </w:r>
                  <w:r>
                    <w:rPr>
                      <w:rFonts w:hint="eastAsia"/>
                    </w:rPr>
                    <w:t>02</w:t>
                  </w:r>
                  <w:r>
                    <w:rPr>
                      <w:rFonts w:hint="eastAsia"/>
                      <w:lang w:val="en-US" w:eastAsia="zh-CN"/>
                    </w:rPr>
                    <w:t>2</w:t>
                  </w:r>
                  <w:r>
                    <w:rPr>
                      <w:rFonts w:hint="eastAsia"/>
                    </w:rPr>
                    <w:t>000</w:t>
                  </w:r>
                  <w:r>
                    <w:rPr>
                      <w:rFonts w:hint="eastAsia"/>
                      <w:lang w:val="en-US" w:eastAsia="zh-CN"/>
                    </w:rPr>
                    <w:t>3</w:t>
                  </w:r>
                </w:p>
                <w:p w14:paraId="55A4021B">
                  <w:pPr>
                    <w:pStyle w:val="48"/>
                    <w:jc w:val="left"/>
                    <w:rPr>
                      <w:rFonts w:hint="default" w:eastAsia="宋体"/>
                      <w:lang w:val="en-US" w:eastAsia="zh-CN"/>
                    </w:rPr>
                  </w:pPr>
                  <w:r>
                    <w:rPr>
                      <w:rFonts w:hint="eastAsia"/>
                      <w:lang w:val="en-US" w:eastAsia="zh-CN"/>
                    </w:rPr>
                    <w:t>城陵矶街道/岳阳楼街道/梅溪街道/望岳路街道/洛王街道/西塘镇/康王乡</w:t>
                  </w:r>
                </w:p>
              </w:tc>
              <w:tc>
                <w:tcPr>
                  <w:tcW w:w="545" w:type="pct"/>
                  <w:tcBorders>
                    <w:tl2br w:val="nil"/>
                    <w:tr2bl w:val="nil"/>
                  </w:tcBorders>
                  <w:vAlign w:val="center"/>
                </w:tcPr>
                <w:p w14:paraId="0FF19862">
                  <w:pPr>
                    <w:pStyle w:val="48"/>
                    <w:jc w:val="left"/>
                    <w:rPr>
                      <w:rFonts w:hint="default" w:eastAsia="宋体"/>
                      <w:lang w:val="en-US" w:eastAsia="zh-CN"/>
                    </w:rPr>
                  </w:pPr>
                  <w:r>
                    <w:rPr>
                      <w:rFonts w:hint="eastAsia"/>
                      <w:lang w:val="en-US" w:eastAsia="zh-CN"/>
                    </w:rPr>
                    <w:t>重点管控单元</w:t>
                  </w:r>
                </w:p>
              </w:tc>
              <w:tc>
                <w:tcPr>
                  <w:tcW w:w="1843" w:type="pct"/>
                  <w:tcBorders>
                    <w:tl2br w:val="nil"/>
                    <w:tr2bl w:val="nil"/>
                  </w:tcBorders>
                  <w:vAlign w:val="center"/>
                </w:tcPr>
                <w:p w14:paraId="426FA185">
                  <w:pPr>
                    <w:pStyle w:val="48"/>
                    <w:jc w:val="left"/>
                    <w:rPr>
                      <w:rFonts w:hint="default"/>
                      <w:lang w:val="en-US"/>
                    </w:rPr>
                  </w:pPr>
                  <w:r>
                    <w:rPr>
                      <w:rFonts w:hint="eastAsia"/>
                      <w:b/>
                      <w:bCs/>
                      <w:lang w:val="en-US" w:eastAsia="zh-CN"/>
                    </w:rPr>
                    <w:t>城陵矶街道/岳阳楼街道</w:t>
                  </w:r>
                  <w:r>
                    <w:rPr>
                      <w:rFonts w:hint="eastAsia"/>
                      <w:b w:val="0"/>
                      <w:bCs w:val="0"/>
                      <w:lang w:val="en-US" w:eastAsia="zh-CN"/>
                    </w:rPr>
                    <w:t>：城市化地区/历史文化资源富集区</w:t>
                  </w:r>
                </w:p>
              </w:tc>
              <w:tc>
                <w:tcPr>
                  <w:tcW w:w="1558" w:type="pct"/>
                  <w:tcBorders>
                    <w:tl2br w:val="nil"/>
                    <w:tr2bl w:val="nil"/>
                  </w:tcBorders>
                  <w:vAlign w:val="center"/>
                </w:tcPr>
                <w:p w14:paraId="0886A62D">
                  <w:pPr>
                    <w:pStyle w:val="48"/>
                    <w:jc w:val="both"/>
                    <w:rPr>
                      <w:rFonts w:hint="default" w:eastAsia="宋体"/>
                      <w:lang w:val="en-US" w:eastAsia="zh-CN"/>
                    </w:rPr>
                  </w:pPr>
                  <w:r>
                    <w:rPr>
                      <w:rFonts w:hint="eastAsia"/>
                      <w:lang w:val="en-US" w:eastAsia="zh-CN"/>
                    </w:rPr>
                    <w:t>老城区雨污合流且截污不彻底等影响洞庭湖、东风湖、王家河等水环境质量；华能、岳阳林纸、洞氮、己内酰胺企业位于城区的上风向；城市化建设造成局部施工扬尘污染</w:t>
                  </w:r>
                </w:p>
              </w:tc>
            </w:tr>
            <w:tr w14:paraId="3115FA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51" w:type="pct"/>
                  <w:tcBorders>
                    <w:tl2br w:val="nil"/>
                    <w:tr2bl w:val="nil"/>
                  </w:tcBorders>
                  <w:vAlign w:val="center"/>
                </w:tcPr>
                <w:p w14:paraId="4B5F4FC2">
                  <w:pPr>
                    <w:pStyle w:val="48"/>
                    <w:jc w:val="left"/>
                  </w:pPr>
                  <w:r>
                    <w:t>主要属性</w:t>
                  </w:r>
                </w:p>
              </w:tc>
              <w:tc>
                <w:tcPr>
                  <w:tcW w:w="3948" w:type="pct"/>
                  <w:gridSpan w:val="3"/>
                  <w:tcBorders>
                    <w:tl2br w:val="nil"/>
                    <w:tr2bl w:val="nil"/>
                  </w:tcBorders>
                  <w:vAlign w:val="center"/>
                </w:tcPr>
                <w:p w14:paraId="2283B07A">
                  <w:pPr>
                    <w:pStyle w:val="48"/>
                    <w:jc w:val="both"/>
                    <w:rPr>
                      <w:rFonts w:hint="default" w:eastAsia="宋体"/>
                      <w:lang w:val="en-US" w:eastAsia="zh-CN"/>
                    </w:rPr>
                  </w:pPr>
                  <w:r>
                    <w:rPr>
                      <w:rFonts w:hint="eastAsia"/>
                      <w:b/>
                      <w:bCs/>
                      <w:lang w:val="en-US" w:eastAsia="zh-CN"/>
                    </w:rPr>
                    <w:t>城陵矶街道</w:t>
                  </w:r>
                  <w:r>
                    <w:rPr>
                      <w:rFonts w:hint="eastAsia"/>
                      <w:b/>
                      <w:bCs/>
                    </w:rPr>
                    <w:t>：</w:t>
                  </w:r>
                  <w:r>
                    <w:rPr>
                      <w:rFonts w:hint="eastAsia"/>
                    </w:rPr>
                    <w:t>红线/一般生态空间/</w:t>
                  </w:r>
                  <w:r>
                    <w:rPr>
                      <w:rFonts w:hint="eastAsia"/>
                      <w:lang w:val="en-US" w:eastAsia="zh-CN"/>
                    </w:rPr>
                    <w:t>自然保护区/</w:t>
                  </w:r>
                  <w:r>
                    <w:rPr>
                      <w:rFonts w:hint="eastAsia"/>
                    </w:rPr>
                    <w:t>生物多样性保护功能重要区</w:t>
                  </w:r>
                  <w:r>
                    <w:rPr>
                      <w:rFonts w:hint="eastAsia"/>
                      <w:lang w:val="en-US" w:eastAsia="zh-CN"/>
                    </w:rPr>
                    <w:t>/</w:t>
                  </w:r>
                  <w:r>
                    <w:rPr>
                      <w:rFonts w:hint="eastAsia"/>
                    </w:rPr>
                    <w:t>水环境工业园重点管控区/工业园区/大气环境优先保护区/大气环境高排放重点管控区/大气环境受体敏感重点管控区/</w:t>
                  </w:r>
                  <w:r>
                    <w:rPr>
                      <w:rFonts w:hint="eastAsia"/>
                      <w:lang w:val="en-US" w:eastAsia="zh-CN"/>
                    </w:rPr>
                    <w:t>湖南东洞庭湖国家级自然保护区/岳阳楼-洞庭湖风景名胜区/华能电厂/岳阳林纸/建设用地重点管控区</w:t>
                  </w:r>
                  <w:r>
                    <w:rPr>
                      <w:rFonts w:hint="eastAsia"/>
                    </w:rPr>
                    <w:t>/一般管控区/中高风险企业用地/重点行业企业重点区域</w:t>
                  </w:r>
                  <w:r>
                    <w:rPr>
                      <w:rFonts w:hint="eastAsia"/>
                      <w:lang w:val="en-US" w:eastAsia="zh-CN"/>
                    </w:rPr>
                    <w:t>/临港污水处理厂（汇水）/高污染燃料禁燃区</w:t>
                  </w:r>
                </w:p>
              </w:tc>
            </w:tr>
            <w:tr w14:paraId="17BDC8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51" w:type="pct"/>
                  <w:tcBorders>
                    <w:tl2br w:val="nil"/>
                    <w:tr2bl w:val="nil"/>
                  </w:tcBorders>
                  <w:vAlign w:val="center"/>
                </w:tcPr>
                <w:p w14:paraId="3337296F">
                  <w:pPr>
                    <w:pStyle w:val="48"/>
                    <w:ind w:left="0" w:leftChars="0" w:right="0" w:rightChars="0" w:firstLine="0" w:firstLineChars="0"/>
                    <w:jc w:val="center"/>
                    <w:rPr>
                      <w:b/>
                      <w:bCs/>
                    </w:rPr>
                  </w:pPr>
                  <w:r>
                    <w:rPr>
                      <w:b/>
                      <w:bCs/>
                    </w:rPr>
                    <w:t>管控维度</w:t>
                  </w:r>
                </w:p>
              </w:tc>
              <w:tc>
                <w:tcPr>
                  <w:tcW w:w="2389" w:type="pct"/>
                  <w:gridSpan w:val="2"/>
                  <w:tcBorders>
                    <w:tl2br w:val="nil"/>
                    <w:tr2bl w:val="nil"/>
                  </w:tcBorders>
                  <w:vAlign w:val="center"/>
                </w:tcPr>
                <w:p w14:paraId="663D5E9D">
                  <w:pPr>
                    <w:pStyle w:val="48"/>
                    <w:ind w:left="0" w:leftChars="0" w:right="0" w:rightChars="0" w:firstLine="0" w:firstLineChars="0"/>
                    <w:jc w:val="center"/>
                    <w:rPr>
                      <w:b/>
                      <w:bCs/>
                    </w:rPr>
                  </w:pPr>
                  <w:r>
                    <w:rPr>
                      <w:b/>
                      <w:bCs/>
                    </w:rPr>
                    <w:t>管控要求</w:t>
                  </w:r>
                </w:p>
              </w:tc>
              <w:tc>
                <w:tcPr>
                  <w:tcW w:w="1558" w:type="pct"/>
                  <w:tcBorders>
                    <w:tl2br w:val="nil"/>
                    <w:tr2bl w:val="nil"/>
                  </w:tcBorders>
                  <w:vAlign w:val="center"/>
                </w:tcPr>
                <w:p w14:paraId="5B639E53">
                  <w:pPr>
                    <w:pStyle w:val="48"/>
                    <w:ind w:left="0" w:leftChars="0" w:right="0" w:rightChars="0" w:firstLine="0" w:firstLineChars="0"/>
                    <w:jc w:val="center"/>
                    <w:rPr>
                      <w:b/>
                      <w:bCs/>
                    </w:rPr>
                  </w:pPr>
                  <w:r>
                    <w:rPr>
                      <w:b/>
                      <w:bCs/>
                    </w:rPr>
                    <w:t>符合性分析</w:t>
                  </w:r>
                </w:p>
              </w:tc>
            </w:tr>
            <w:tr w14:paraId="25E3CA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51" w:type="pct"/>
                  <w:tcBorders>
                    <w:tl2br w:val="nil"/>
                    <w:tr2bl w:val="nil"/>
                  </w:tcBorders>
                  <w:vAlign w:val="center"/>
                </w:tcPr>
                <w:p w14:paraId="136BED72">
                  <w:pPr>
                    <w:pStyle w:val="48"/>
                    <w:ind w:left="0" w:leftChars="0" w:right="0" w:rightChars="0" w:firstLine="0" w:firstLineChars="0"/>
                    <w:jc w:val="center"/>
                  </w:pPr>
                  <w:r>
                    <w:t>空间布局</w:t>
                  </w:r>
                  <w:r>
                    <w:rPr>
                      <w:rFonts w:hint="eastAsia"/>
                    </w:rPr>
                    <w:t>约束</w:t>
                  </w:r>
                </w:p>
              </w:tc>
              <w:tc>
                <w:tcPr>
                  <w:tcW w:w="2389" w:type="pct"/>
                  <w:gridSpan w:val="2"/>
                  <w:tcBorders>
                    <w:tl2br w:val="nil"/>
                    <w:tr2bl w:val="nil"/>
                  </w:tcBorders>
                  <w:vAlign w:val="center"/>
                </w:tcPr>
                <w:p w14:paraId="2E80DE12">
                  <w:pPr>
                    <w:pStyle w:val="48"/>
                    <w:jc w:val="both"/>
                    <w:rPr>
                      <w:rFonts w:hint="default" w:eastAsia="宋体"/>
                      <w:lang w:val="en-US" w:eastAsia="zh-CN"/>
                    </w:rPr>
                  </w:pPr>
                  <w:r>
                    <w:rPr>
                      <w:rFonts w:hint="eastAsia"/>
                    </w:rPr>
                    <w:t>（1.1）</w:t>
                  </w:r>
                  <w:r>
                    <w:rPr>
                      <w:rFonts w:hint="eastAsia"/>
                      <w:lang w:val="en-US" w:eastAsia="zh-CN"/>
                    </w:rPr>
                    <w:t>岳阳楼洞庭湖风景名胜区城陵矶景点：以恢复植被和风景建设为主，要保护和管理好有价值的风景资源。可以适当设置为风景区游览服务的配套设施，并做好详细规划，禁止破坏风景环境的其他工程建设与生产活动。</w:t>
                  </w:r>
                </w:p>
                <w:p w14:paraId="20D42019">
                  <w:pPr>
                    <w:pStyle w:val="48"/>
                    <w:jc w:val="both"/>
                    <w:rPr>
                      <w:rFonts w:hint="eastAsia"/>
                      <w:lang w:val="en-US" w:eastAsia="zh-CN"/>
                    </w:rPr>
                  </w:pPr>
                  <w:r>
                    <w:rPr>
                      <w:rFonts w:hint="eastAsia"/>
                    </w:rPr>
                    <w:t>（1.2）</w:t>
                  </w:r>
                  <w:r>
                    <w:rPr>
                      <w:rFonts w:hint="eastAsia"/>
                      <w:lang w:val="en-US" w:eastAsia="zh-CN"/>
                    </w:rPr>
                    <w:t>城陵矶街道/岳阳楼街道/梅溪街道/望岳路街道：严禁生活污水、工业废水直接排入湖和向湖内倾倒垃圾。</w:t>
                  </w:r>
                </w:p>
                <w:p w14:paraId="3A6F9197">
                  <w:pPr>
                    <w:pStyle w:val="48"/>
                    <w:jc w:val="both"/>
                    <w:rPr>
                      <w:rFonts w:hint="eastAsia"/>
                      <w:lang w:val="en-US" w:eastAsia="zh-CN"/>
                    </w:rPr>
                  </w:pPr>
                  <w:r>
                    <w:rPr>
                      <w:rFonts w:hint="eastAsia"/>
                      <w:lang w:val="en-US" w:eastAsia="zh-CN"/>
                    </w:rPr>
                    <w:t>（1.3）严格落实河长制、湖长制，实施好长江十年禁渔。</w:t>
                  </w:r>
                </w:p>
                <w:p w14:paraId="5026120C">
                  <w:pPr>
                    <w:pStyle w:val="48"/>
                    <w:jc w:val="both"/>
                    <w:rPr>
                      <w:rFonts w:hint="default"/>
                      <w:lang w:val="en-US" w:eastAsia="zh-CN"/>
                    </w:rPr>
                  </w:pPr>
                  <w:r>
                    <w:rPr>
                      <w:rFonts w:hint="eastAsia"/>
                      <w:lang w:val="en-US" w:eastAsia="zh-CN"/>
                    </w:rPr>
                    <w:t>（1.4）禁止投肥（粪）投饵养殖的范围为全区范围（不含经济技术开发区、南湖新区）内所有天然湖泊和小</w:t>
                  </w:r>
                  <w:r>
                    <w:rPr>
                      <w:rFonts w:hint="default" w:ascii="Times New Roman" w:hAnsi="Times New Roman" w:cs="Times New Roman"/>
                      <w:lang w:val="en-US" w:eastAsia="zh-CN"/>
                    </w:rPr>
                    <w:t>Ⅱ</w:t>
                  </w:r>
                  <w:r>
                    <w:rPr>
                      <w:rFonts w:hint="eastAsia" w:ascii="Times New Roman" w:hAnsi="Times New Roman" w:cs="Times New Roman"/>
                      <w:lang w:val="en-US" w:eastAsia="zh-CN"/>
                    </w:rPr>
                    <w:t>型以上的水库。严禁在全区天然湖泊内进行投肥（化肥、生物有机肥等）、投粪（生活垃圾、各类畜禽养殖废弃物、沼气池废液废渣等）、投饵等污染水体的行为，严禁进行违法围网、网箱和珍珠养殖。</w:t>
                  </w:r>
                </w:p>
              </w:tc>
              <w:tc>
                <w:tcPr>
                  <w:tcW w:w="1558" w:type="pct"/>
                  <w:tcBorders>
                    <w:tl2br w:val="nil"/>
                    <w:tr2bl w:val="nil"/>
                  </w:tcBorders>
                  <w:vAlign w:val="center"/>
                </w:tcPr>
                <w:p w14:paraId="04E02478">
                  <w:pPr>
                    <w:pStyle w:val="48"/>
                    <w:adjustRightInd/>
                    <w:ind w:firstLine="420" w:firstLineChars="200"/>
                    <w:jc w:val="both"/>
                    <w:textAlignment w:val="auto"/>
                    <w:rPr>
                      <w:rFonts w:hint="default" w:eastAsia="宋体"/>
                      <w:lang w:val="en-US" w:eastAsia="zh-CN"/>
                    </w:rPr>
                  </w:pPr>
                  <w:r>
                    <w:t>本</w:t>
                  </w:r>
                  <w:r>
                    <w:rPr>
                      <w:rFonts w:hint="eastAsia"/>
                    </w:rPr>
                    <w:t>项目</w:t>
                  </w:r>
                  <w:r>
                    <w:rPr>
                      <w:rFonts w:hint="eastAsia"/>
                      <w:lang w:val="en-US" w:eastAsia="zh-CN"/>
                    </w:rPr>
                    <w:t>为固体废物治理业，位于华能电厂现有用地范围内，不新增用地</w:t>
                  </w:r>
                </w:p>
              </w:tc>
            </w:tr>
            <w:tr w14:paraId="72189E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51" w:type="pct"/>
                  <w:tcBorders>
                    <w:tl2br w:val="nil"/>
                    <w:tr2bl w:val="nil"/>
                  </w:tcBorders>
                  <w:vAlign w:val="center"/>
                </w:tcPr>
                <w:p w14:paraId="2EE48E05">
                  <w:pPr>
                    <w:pStyle w:val="48"/>
                    <w:ind w:left="0" w:leftChars="0" w:right="0" w:rightChars="0" w:firstLine="0" w:firstLineChars="0"/>
                    <w:jc w:val="center"/>
                  </w:pPr>
                  <w:r>
                    <w:t>污染物排放管控</w:t>
                  </w:r>
                </w:p>
              </w:tc>
              <w:tc>
                <w:tcPr>
                  <w:tcW w:w="2389" w:type="pct"/>
                  <w:gridSpan w:val="2"/>
                  <w:tcBorders>
                    <w:tl2br w:val="nil"/>
                    <w:tr2bl w:val="nil"/>
                  </w:tcBorders>
                  <w:vAlign w:val="center"/>
                </w:tcPr>
                <w:p w14:paraId="112930DC">
                  <w:pPr>
                    <w:pStyle w:val="48"/>
                    <w:jc w:val="both"/>
                    <w:rPr>
                      <w:rFonts w:hint="eastAsia"/>
                      <w:lang w:val="en-US" w:eastAsia="zh-CN"/>
                    </w:rPr>
                  </w:pPr>
                  <w:r>
                    <w:rPr>
                      <w:rFonts w:hint="eastAsia"/>
                    </w:rPr>
                    <w:t>（2.</w:t>
                  </w:r>
                  <w:r>
                    <w:rPr>
                      <w:rFonts w:hint="eastAsia"/>
                      <w:lang w:val="en-US" w:eastAsia="zh-CN"/>
                    </w:rPr>
                    <w:t>1</w:t>
                  </w:r>
                  <w:r>
                    <w:rPr>
                      <w:rFonts w:hint="eastAsia"/>
                    </w:rPr>
                    <w:t>）</w:t>
                  </w:r>
                  <w:r>
                    <w:rPr>
                      <w:rFonts w:hint="eastAsia"/>
                      <w:b/>
                      <w:bCs/>
                      <w:lang w:val="en-US" w:eastAsia="zh-CN"/>
                    </w:rPr>
                    <w:t>废气</w:t>
                  </w:r>
                  <w:r>
                    <w:rPr>
                      <w:rFonts w:hint="eastAsia"/>
                      <w:lang w:val="en-US" w:eastAsia="zh-CN"/>
                    </w:rPr>
                    <w:t>：聚焦臭氧前体物VOCs和氮氧化物，加快推进VOCs原辅材料源头替代，实施清洁能源替代，强化石化、化工、工业涂装、包装印刷等重点行业及油品储运销VOCs深度治理。</w:t>
                  </w:r>
                </w:p>
                <w:p w14:paraId="4C83A507">
                  <w:pPr>
                    <w:pStyle w:val="48"/>
                    <w:jc w:val="both"/>
                    <w:rPr>
                      <w:rFonts w:hint="eastAsia"/>
                      <w:lang w:val="en-US" w:eastAsia="zh-CN"/>
                    </w:rPr>
                  </w:pPr>
                  <w:r>
                    <w:rPr>
                      <w:rFonts w:hint="eastAsia"/>
                      <w:lang w:val="en-US" w:eastAsia="zh-CN"/>
                    </w:rPr>
                    <w:t>（2.2）</w:t>
                  </w:r>
                  <w:r>
                    <w:rPr>
                      <w:rFonts w:hint="eastAsia"/>
                      <w:b/>
                      <w:bCs/>
                      <w:lang w:val="en-US" w:eastAsia="zh-CN"/>
                    </w:rPr>
                    <w:t>废水</w:t>
                  </w:r>
                  <w:r>
                    <w:rPr>
                      <w:rFonts w:hint="eastAsia"/>
                      <w:lang w:val="en-US" w:eastAsia="zh-CN"/>
                    </w:rPr>
                    <w:t>：加快城镇水环境治理设施建设，在城市及乡镇污水处理设施全覆盖的基础上，加速城市老旧管网改造，实施雨污分流，提高生活污水集中收集率；加强农村生活污水治理，加快建设农村污水处理设施，提升农村污水处理率；强化渔业养殖尾水治理，做到养殖尾水资源化利用或达标排放。</w:t>
                  </w:r>
                </w:p>
                <w:p w14:paraId="35A92337">
                  <w:pPr>
                    <w:pStyle w:val="48"/>
                    <w:jc w:val="both"/>
                    <w:rPr>
                      <w:rFonts w:hint="eastAsia"/>
                      <w:lang w:val="en-US" w:eastAsia="zh-CN"/>
                    </w:rPr>
                  </w:pPr>
                  <w:r>
                    <w:rPr>
                      <w:rFonts w:hint="eastAsia"/>
                      <w:lang w:val="en-US" w:eastAsia="zh-CN"/>
                    </w:rPr>
                    <w:t>（2.3）</w:t>
                  </w:r>
                  <w:r>
                    <w:rPr>
                      <w:rFonts w:hint="eastAsia"/>
                      <w:b/>
                      <w:bCs/>
                      <w:lang w:val="en-US" w:eastAsia="zh-CN"/>
                    </w:rPr>
                    <w:t>固体废物</w:t>
                  </w:r>
                  <w:r>
                    <w:rPr>
                      <w:rFonts w:hint="eastAsia"/>
                      <w:lang w:val="en-US" w:eastAsia="zh-CN"/>
                    </w:rPr>
                    <w:t>：推进农村生活垃圾源头分类收集、减量化。推进强化危险废物监管和利用处置能力改革，逐步建立“源头严防、过程严管、后果严惩”危险废物监管体系。</w:t>
                  </w:r>
                </w:p>
                <w:p w14:paraId="1B66E1C8">
                  <w:pPr>
                    <w:pStyle w:val="48"/>
                    <w:jc w:val="both"/>
                    <w:rPr>
                      <w:rFonts w:hint="default"/>
                      <w:lang w:val="en-US" w:eastAsia="zh-CN"/>
                    </w:rPr>
                  </w:pPr>
                  <w:r>
                    <w:rPr>
                      <w:rFonts w:hint="eastAsia"/>
                      <w:lang w:val="en-US" w:eastAsia="zh-CN"/>
                    </w:rPr>
                    <w:t>（2.4）</w:t>
                  </w:r>
                  <w:r>
                    <w:rPr>
                      <w:rFonts w:hint="eastAsia"/>
                      <w:b/>
                      <w:bCs/>
                      <w:lang w:val="en-US" w:eastAsia="zh-CN"/>
                    </w:rPr>
                    <w:t>农业面源</w:t>
                  </w:r>
                  <w:r>
                    <w:rPr>
                      <w:rFonts w:hint="eastAsia"/>
                      <w:lang w:val="en-US" w:eastAsia="zh-CN"/>
                    </w:rPr>
                    <w:t>：深入推进化肥农药减量增效。科学用药，提高农药利用率。推进农膜秸秆回收利用。推进以种养结合为重点的畜禽养殖废弃物资源利用。</w:t>
                  </w:r>
                </w:p>
              </w:tc>
              <w:tc>
                <w:tcPr>
                  <w:tcW w:w="1558" w:type="pct"/>
                  <w:tcBorders>
                    <w:tl2br w:val="nil"/>
                    <w:tr2bl w:val="nil"/>
                  </w:tcBorders>
                  <w:vAlign w:val="center"/>
                </w:tcPr>
                <w:p w14:paraId="74440FA2">
                  <w:pPr>
                    <w:pStyle w:val="48"/>
                    <w:adjustRightInd/>
                    <w:ind w:firstLine="420" w:firstLineChars="200"/>
                    <w:jc w:val="both"/>
                    <w:textAlignment w:val="auto"/>
                  </w:pPr>
                  <w:r>
                    <w:rPr>
                      <w:rFonts w:hint="eastAsia"/>
                      <w:highlight w:val="none"/>
                    </w:rPr>
                    <w:t>本项目为固体废物综合利用项目，</w:t>
                  </w:r>
                  <w:r>
                    <w:rPr>
                      <w:rFonts w:hint="eastAsia"/>
                      <w:highlight w:val="none"/>
                      <w:lang w:val="en-US" w:eastAsia="zh-CN"/>
                    </w:rPr>
                    <w:t>属于技术改造，无新增废水，本项目无VOC</w:t>
                  </w:r>
                  <w:r>
                    <w:rPr>
                      <w:rFonts w:hint="eastAsia"/>
                      <w:highlight w:val="none"/>
                      <w:vertAlign w:val="subscript"/>
                      <w:lang w:val="en-US" w:eastAsia="zh-CN"/>
                    </w:rPr>
                    <w:t>S</w:t>
                  </w:r>
                  <w:r>
                    <w:rPr>
                      <w:rFonts w:hint="eastAsia"/>
                      <w:highlight w:val="none"/>
                      <w:lang w:val="en-US" w:eastAsia="zh-CN"/>
                    </w:rPr>
                    <w:t>产生。</w:t>
                  </w:r>
                </w:p>
              </w:tc>
            </w:tr>
            <w:tr w14:paraId="391D53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51" w:type="pct"/>
                  <w:tcBorders>
                    <w:tl2br w:val="nil"/>
                    <w:tr2bl w:val="nil"/>
                  </w:tcBorders>
                  <w:vAlign w:val="center"/>
                </w:tcPr>
                <w:p w14:paraId="35736D34">
                  <w:pPr>
                    <w:pStyle w:val="48"/>
                    <w:ind w:left="0" w:leftChars="0" w:right="0" w:rightChars="0" w:firstLine="0" w:firstLineChars="0"/>
                    <w:jc w:val="center"/>
                  </w:pPr>
                  <w:r>
                    <w:t>环境风险防控</w:t>
                  </w:r>
                </w:p>
              </w:tc>
              <w:tc>
                <w:tcPr>
                  <w:tcW w:w="2389" w:type="pct"/>
                  <w:gridSpan w:val="2"/>
                  <w:tcBorders>
                    <w:tl2br w:val="nil"/>
                    <w:tr2bl w:val="nil"/>
                  </w:tcBorders>
                  <w:vAlign w:val="center"/>
                </w:tcPr>
                <w:p w14:paraId="283124B5">
                  <w:pPr>
                    <w:pStyle w:val="48"/>
                    <w:jc w:val="both"/>
                  </w:pPr>
                  <w:r>
                    <w:rPr>
                      <w:rFonts w:hint="eastAsia"/>
                    </w:rPr>
                    <w:t>（3.1）开展重点涉农街道（乡）受污染耕地土壤重金属成因排查试点，督促开展污染源头风险管控；</w:t>
                  </w:r>
                </w:p>
                <w:p w14:paraId="0059EBCE">
                  <w:pPr>
                    <w:pStyle w:val="48"/>
                    <w:jc w:val="both"/>
                  </w:pPr>
                  <w:r>
                    <w:rPr>
                      <w:rFonts w:hint="eastAsia"/>
                    </w:rPr>
                    <w:t>（3.2）有效管控建设用地土壤污染风险。严格土壤污染重点监管单位和沿江化工企业搬迁腾退用地土壤污染风险管控。以用途变更为“一住两公”的地块为重点，依法开展土壤污染状况调查和风险评估。对纳入建设用地土壤污染风险管控和修复名录内的地块，移出名录前，不得核发建设工程规划许可证。从严管控农药、化工等行业重度污染地块规划用途，确需开发利用的，鼓励用于拓展生态空间。对列入优先监管清单的地块，开展土壤污染调查和风险评估，按要求采取风险防控措施。</w:t>
                  </w:r>
                </w:p>
                <w:p w14:paraId="14B7EC38">
                  <w:pPr>
                    <w:pStyle w:val="48"/>
                    <w:jc w:val="both"/>
                  </w:pPr>
                  <w:r>
                    <w:rPr>
                      <w:rFonts w:hint="eastAsia"/>
                    </w:rPr>
                    <w:t>（3.3）推进农用地土壤污染防治和安全利用。开展受污染耕地土壤重金属成因排查试点，督促开展污染源头风险管控。确保受污染耕地安全利用率达到91%。</w:t>
                  </w:r>
                </w:p>
              </w:tc>
              <w:tc>
                <w:tcPr>
                  <w:tcW w:w="1558" w:type="pct"/>
                  <w:tcBorders>
                    <w:tl2br w:val="nil"/>
                    <w:tr2bl w:val="nil"/>
                  </w:tcBorders>
                  <w:vAlign w:val="center"/>
                </w:tcPr>
                <w:p w14:paraId="6EEDE487">
                  <w:pPr>
                    <w:widowControl w:val="0"/>
                    <w:spacing w:line="240" w:lineRule="auto"/>
                    <w:ind w:firstLine="420"/>
                    <w:jc w:val="both"/>
                    <w:rPr>
                      <w:sz w:val="21"/>
                      <w:szCs w:val="21"/>
                    </w:rPr>
                  </w:pPr>
                  <w:r>
                    <w:rPr>
                      <w:rFonts w:hint="eastAsia"/>
                      <w:sz w:val="21"/>
                      <w:szCs w:val="21"/>
                    </w:rPr>
                    <w:t>本项目</w:t>
                  </w:r>
                  <w:r>
                    <w:rPr>
                      <w:rFonts w:hint="eastAsia"/>
                      <w:sz w:val="21"/>
                      <w:szCs w:val="21"/>
                      <w:lang w:val="en-US" w:eastAsia="zh-CN"/>
                    </w:rPr>
                    <w:t>位于华能电厂现有用地范围内</w:t>
                  </w:r>
                  <w:r>
                    <w:rPr>
                      <w:rFonts w:hint="eastAsia"/>
                      <w:sz w:val="21"/>
                      <w:szCs w:val="21"/>
                    </w:rPr>
                    <w:t>，不属于纳入建设用地土壤污染风险管控和修复名录内的地块。</w:t>
                  </w:r>
                </w:p>
                <w:p w14:paraId="3765027D">
                  <w:pPr>
                    <w:widowControl w:val="0"/>
                    <w:spacing w:line="240" w:lineRule="auto"/>
                    <w:ind w:firstLine="420"/>
                    <w:jc w:val="both"/>
                    <w:rPr>
                      <w:sz w:val="21"/>
                      <w:szCs w:val="21"/>
                    </w:rPr>
                  </w:pPr>
                  <w:r>
                    <w:rPr>
                      <w:rFonts w:hint="eastAsia"/>
                      <w:sz w:val="21"/>
                      <w:szCs w:val="21"/>
                    </w:rPr>
                    <w:t>本项目将按要求进行防渗，防止污染土壤和地下水。</w:t>
                  </w:r>
                </w:p>
              </w:tc>
            </w:tr>
            <w:tr w14:paraId="76599B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51" w:type="pct"/>
                  <w:tcBorders>
                    <w:tl2br w:val="nil"/>
                    <w:tr2bl w:val="nil"/>
                  </w:tcBorders>
                  <w:vAlign w:val="center"/>
                </w:tcPr>
                <w:p w14:paraId="351CD46C">
                  <w:pPr>
                    <w:pStyle w:val="48"/>
                    <w:ind w:left="0" w:leftChars="0" w:right="0" w:rightChars="0" w:firstLine="0" w:firstLineChars="0"/>
                    <w:jc w:val="center"/>
                  </w:pPr>
                  <w:r>
                    <w:t>资源开发效率要求</w:t>
                  </w:r>
                </w:p>
              </w:tc>
              <w:tc>
                <w:tcPr>
                  <w:tcW w:w="2389" w:type="pct"/>
                  <w:gridSpan w:val="2"/>
                  <w:tcBorders>
                    <w:tl2br w:val="nil"/>
                    <w:tr2bl w:val="nil"/>
                  </w:tcBorders>
                  <w:vAlign w:val="center"/>
                </w:tcPr>
                <w:p w14:paraId="2E0E03C9">
                  <w:pPr>
                    <w:pStyle w:val="48"/>
                    <w:jc w:val="both"/>
                  </w:pPr>
                  <w:r>
                    <w:rPr>
                      <w:rFonts w:hint="eastAsia"/>
                    </w:rPr>
                    <w:t>（4.1）水资源：2025年，岳阳楼区用水总量6.04亿立方米，万元地区生产总值用水量比2020年下降13.36%，万元工业增加值用水量比2020年下降4.25%。</w:t>
                  </w:r>
                </w:p>
                <w:p w14:paraId="6AB3F39C">
                  <w:pPr>
                    <w:pStyle w:val="48"/>
                    <w:jc w:val="both"/>
                  </w:pPr>
                  <w:r>
                    <w:rPr>
                      <w:rFonts w:hint="eastAsia"/>
                    </w:rPr>
                    <w:t>（4.2）能源：能耗按照各区（岳阳楼区、经开区、新港区、南湖新区）总综合能源消费量除以各区GDP总和测算，“十四五”时期能耗强度降低基本目标16%，激励目标16.5%。</w:t>
                  </w:r>
                </w:p>
                <w:p w14:paraId="14958D5A">
                  <w:pPr>
                    <w:pStyle w:val="48"/>
                    <w:jc w:val="both"/>
                  </w:pPr>
                  <w:r>
                    <w:rPr>
                      <w:rFonts w:hint="eastAsia"/>
                    </w:rPr>
                    <w:t>（4.3）土地资源：岳阳楼区耕地保有量52.55平方千米，永久基本农田保护面积30.64平方千米，生态保护红线面积7.05平方千米，城镇开发边界146.96平方千米。</w:t>
                  </w:r>
                </w:p>
              </w:tc>
              <w:tc>
                <w:tcPr>
                  <w:tcW w:w="1558" w:type="pct"/>
                  <w:tcBorders>
                    <w:tl2br w:val="nil"/>
                    <w:tr2bl w:val="nil"/>
                  </w:tcBorders>
                  <w:vAlign w:val="center"/>
                </w:tcPr>
                <w:p w14:paraId="485C7BD4">
                  <w:pPr>
                    <w:spacing w:line="240" w:lineRule="auto"/>
                    <w:ind w:firstLine="420"/>
                    <w:jc w:val="left"/>
                    <w:rPr>
                      <w:sz w:val="21"/>
                      <w:szCs w:val="21"/>
                    </w:rPr>
                  </w:pPr>
                  <w:r>
                    <w:rPr>
                      <w:sz w:val="21"/>
                      <w:szCs w:val="21"/>
                    </w:rPr>
                    <w:t>本项目生产过程用到的能源主要为水、电，相对区域资源利用总量较少。</w:t>
                  </w:r>
                </w:p>
                <w:p w14:paraId="1F074E75">
                  <w:pPr>
                    <w:pStyle w:val="48"/>
                    <w:adjustRightInd/>
                    <w:ind w:firstLine="420" w:firstLineChars="200"/>
                    <w:jc w:val="both"/>
                    <w:textAlignment w:val="auto"/>
                    <w:rPr>
                      <w:szCs w:val="21"/>
                    </w:rPr>
                  </w:pPr>
                  <w:r>
                    <w:rPr>
                      <w:rFonts w:hint="eastAsia"/>
                      <w:sz w:val="21"/>
                      <w:szCs w:val="21"/>
                    </w:rPr>
                    <w:t>本项目</w:t>
                  </w:r>
                  <w:r>
                    <w:rPr>
                      <w:rFonts w:hint="eastAsia"/>
                      <w:sz w:val="21"/>
                      <w:szCs w:val="21"/>
                      <w:lang w:val="en-US" w:eastAsia="zh-CN"/>
                    </w:rPr>
                    <w:t>位于华能电厂现有用地范围内</w:t>
                  </w:r>
                  <w:r>
                    <w:rPr>
                      <w:rFonts w:hint="eastAsia"/>
                      <w:szCs w:val="21"/>
                    </w:rPr>
                    <w:t>，</w:t>
                  </w:r>
                  <w:r>
                    <w:rPr>
                      <w:rFonts w:hint="eastAsia"/>
                      <w:szCs w:val="21"/>
                      <w:lang w:val="en-US" w:eastAsia="zh-CN"/>
                    </w:rPr>
                    <w:t>不新增用地，</w:t>
                  </w:r>
                  <w:r>
                    <w:rPr>
                      <w:rFonts w:hint="eastAsia"/>
                      <w:szCs w:val="21"/>
                    </w:rPr>
                    <w:t>不在生态红线保护区内，未占用基本农田。</w:t>
                  </w:r>
                </w:p>
              </w:tc>
            </w:tr>
            <w:tr w14:paraId="0DC059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51" w:type="pct"/>
                  <w:tcBorders>
                    <w:tl2br w:val="nil"/>
                    <w:tr2bl w:val="nil"/>
                  </w:tcBorders>
                  <w:vAlign w:val="center"/>
                </w:tcPr>
                <w:p w14:paraId="295A1507">
                  <w:pPr>
                    <w:pStyle w:val="48"/>
                    <w:ind w:left="0" w:leftChars="0" w:right="0" w:rightChars="0" w:firstLine="0" w:firstLineChars="0"/>
                    <w:jc w:val="center"/>
                    <w:rPr>
                      <w:b/>
                      <w:bCs/>
                    </w:rPr>
                  </w:pPr>
                  <w:r>
                    <w:rPr>
                      <w:rFonts w:hint="eastAsia"/>
                      <w:b/>
                      <w:bCs/>
                    </w:rPr>
                    <w:t>环境管控单元编码/名称</w:t>
                  </w:r>
                </w:p>
              </w:tc>
              <w:tc>
                <w:tcPr>
                  <w:tcW w:w="545" w:type="pct"/>
                  <w:tcBorders>
                    <w:tl2br w:val="nil"/>
                    <w:tr2bl w:val="nil"/>
                  </w:tcBorders>
                  <w:vAlign w:val="center"/>
                </w:tcPr>
                <w:p w14:paraId="556E9904">
                  <w:pPr>
                    <w:pStyle w:val="48"/>
                    <w:ind w:left="0" w:leftChars="0" w:right="0" w:rightChars="0" w:firstLine="0" w:firstLineChars="0"/>
                    <w:jc w:val="center"/>
                    <w:rPr>
                      <w:b/>
                      <w:bCs/>
                    </w:rPr>
                  </w:pPr>
                  <w:r>
                    <w:rPr>
                      <w:b/>
                      <w:bCs/>
                    </w:rPr>
                    <w:t>单元分类</w:t>
                  </w:r>
                </w:p>
              </w:tc>
              <w:tc>
                <w:tcPr>
                  <w:tcW w:w="1843" w:type="pct"/>
                  <w:tcBorders>
                    <w:tl2br w:val="nil"/>
                    <w:tr2bl w:val="nil"/>
                  </w:tcBorders>
                  <w:vAlign w:val="center"/>
                </w:tcPr>
                <w:p w14:paraId="76C6BC68">
                  <w:pPr>
                    <w:pStyle w:val="48"/>
                    <w:ind w:left="0" w:leftChars="0" w:right="0" w:rightChars="0" w:firstLine="0" w:firstLineChars="0"/>
                    <w:jc w:val="center"/>
                    <w:rPr>
                      <w:rFonts w:hint="default" w:eastAsia="宋体"/>
                      <w:b/>
                      <w:bCs/>
                      <w:lang w:val="en-US" w:eastAsia="zh-CN"/>
                    </w:rPr>
                  </w:pPr>
                  <w:r>
                    <w:rPr>
                      <w:rFonts w:hint="eastAsia"/>
                      <w:b/>
                      <w:bCs/>
                      <w:lang w:val="en-US" w:eastAsia="zh-CN"/>
                    </w:rPr>
                    <w:t>主体功能定位</w:t>
                  </w:r>
                </w:p>
              </w:tc>
              <w:tc>
                <w:tcPr>
                  <w:tcW w:w="1558" w:type="pct"/>
                  <w:tcBorders>
                    <w:tl2br w:val="nil"/>
                    <w:tr2bl w:val="nil"/>
                  </w:tcBorders>
                  <w:vAlign w:val="center"/>
                </w:tcPr>
                <w:p w14:paraId="58AEBEA1">
                  <w:pPr>
                    <w:pStyle w:val="48"/>
                    <w:ind w:left="0" w:leftChars="0" w:right="0" w:rightChars="0" w:firstLine="0" w:firstLineChars="0"/>
                    <w:jc w:val="center"/>
                    <w:rPr>
                      <w:b/>
                      <w:bCs/>
                    </w:rPr>
                  </w:pPr>
                  <w:r>
                    <w:rPr>
                      <w:rFonts w:hint="eastAsia"/>
                      <w:b/>
                      <w:bCs/>
                    </w:rPr>
                    <w:t>主要环境问题和重要敏感目标</w:t>
                  </w:r>
                </w:p>
              </w:tc>
            </w:tr>
            <w:tr w14:paraId="5743EE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51" w:type="pct"/>
                  <w:tcBorders>
                    <w:tl2br w:val="nil"/>
                    <w:tr2bl w:val="nil"/>
                  </w:tcBorders>
                  <w:vAlign w:val="center"/>
                </w:tcPr>
                <w:p w14:paraId="0974E969">
                  <w:pPr>
                    <w:pStyle w:val="48"/>
                    <w:jc w:val="left"/>
                    <w:rPr>
                      <w:rFonts w:hint="default" w:eastAsia="宋体"/>
                      <w:lang w:val="en-US" w:eastAsia="zh-CN"/>
                    </w:rPr>
                  </w:pPr>
                  <w:r>
                    <w:t>ZH4306</w:t>
                  </w:r>
                  <w:r>
                    <w:rPr>
                      <w:rFonts w:hint="eastAsia"/>
                    </w:rPr>
                    <w:t>0</w:t>
                  </w:r>
                  <w:r>
                    <w:rPr>
                      <w:rFonts w:hint="eastAsia"/>
                      <w:lang w:val="en-US" w:eastAsia="zh-CN"/>
                    </w:rPr>
                    <w:t>320001</w:t>
                  </w:r>
                </w:p>
                <w:p w14:paraId="44DE4B3D">
                  <w:pPr>
                    <w:pStyle w:val="48"/>
                    <w:jc w:val="left"/>
                    <w:rPr>
                      <w:rFonts w:hint="default" w:eastAsia="宋体"/>
                      <w:lang w:val="en-US" w:eastAsia="zh-CN"/>
                    </w:rPr>
                  </w:pPr>
                  <w:r>
                    <w:rPr>
                      <w:rFonts w:hint="eastAsia"/>
                      <w:lang w:val="en-US" w:eastAsia="zh-CN"/>
                    </w:rPr>
                    <w:t>路口镇/松阳湖街道/云溪街道/长岭街道</w:t>
                  </w:r>
                </w:p>
              </w:tc>
              <w:tc>
                <w:tcPr>
                  <w:tcW w:w="545" w:type="pct"/>
                  <w:tcBorders>
                    <w:tl2br w:val="nil"/>
                    <w:tr2bl w:val="nil"/>
                  </w:tcBorders>
                  <w:vAlign w:val="center"/>
                </w:tcPr>
                <w:p w14:paraId="7F4C37D5">
                  <w:pPr>
                    <w:pStyle w:val="48"/>
                    <w:jc w:val="left"/>
                    <w:rPr>
                      <w:rFonts w:hint="default" w:eastAsia="宋体"/>
                      <w:lang w:val="en-US" w:eastAsia="zh-CN"/>
                    </w:rPr>
                  </w:pPr>
                  <w:r>
                    <w:rPr>
                      <w:rFonts w:hint="eastAsia"/>
                      <w:lang w:val="en-US" w:eastAsia="zh-CN"/>
                    </w:rPr>
                    <w:t>重点管控单元</w:t>
                  </w:r>
                </w:p>
              </w:tc>
              <w:tc>
                <w:tcPr>
                  <w:tcW w:w="1843" w:type="pct"/>
                  <w:tcBorders>
                    <w:tl2br w:val="nil"/>
                    <w:tr2bl w:val="nil"/>
                  </w:tcBorders>
                  <w:vAlign w:val="center"/>
                </w:tcPr>
                <w:p w14:paraId="319983E1">
                  <w:pPr>
                    <w:pStyle w:val="48"/>
                    <w:jc w:val="left"/>
                    <w:rPr>
                      <w:rFonts w:hint="default"/>
                      <w:lang w:val="en-US"/>
                    </w:rPr>
                  </w:pPr>
                  <w:r>
                    <w:rPr>
                      <w:rFonts w:hint="eastAsia"/>
                      <w:b/>
                      <w:bCs/>
                      <w:lang w:val="en-US" w:eastAsia="zh-CN"/>
                    </w:rPr>
                    <w:t>云溪街道/松阳湖街道：</w:t>
                  </w:r>
                  <w:r>
                    <w:rPr>
                      <w:rFonts w:hint="eastAsia"/>
                      <w:b w:val="0"/>
                      <w:bCs w:val="0"/>
                      <w:lang w:val="en-US" w:eastAsia="zh-CN"/>
                    </w:rPr>
                    <w:t>城市化地区</w:t>
                  </w:r>
                </w:p>
              </w:tc>
              <w:tc>
                <w:tcPr>
                  <w:tcW w:w="1558" w:type="pct"/>
                  <w:tcBorders>
                    <w:tl2br w:val="nil"/>
                    <w:tr2bl w:val="nil"/>
                  </w:tcBorders>
                  <w:vAlign w:val="center"/>
                </w:tcPr>
                <w:p w14:paraId="70A8C7B7">
                  <w:pPr>
                    <w:pStyle w:val="48"/>
                    <w:jc w:val="both"/>
                    <w:rPr>
                      <w:rFonts w:hint="default" w:eastAsia="宋体"/>
                      <w:lang w:val="en-US" w:eastAsia="zh-CN"/>
                    </w:rPr>
                  </w:pPr>
                  <w:r>
                    <w:rPr>
                      <w:rFonts w:hint="eastAsia"/>
                      <w:b/>
                      <w:bCs/>
                      <w:lang w:val="en-US" w:eastAsia="zh-CN"/>
                    </w:rPr>
                    <w:t>云溪街道/松杨湖街道</w:t>
                  </w:r>
                  <w:r>
                    <w:rPr>
                      <w:rFonts w:hint="eastAsia"/>
                      <w:lang w:val="en-US" w:eastAsia="zh-CN"/>
                    </w:rPr>
                    <w:t>：园区雨水管网不规范，存在雨污混排现象；历史存量污染多、松杨湖系统治理难度大、水质改善周期长</w:t>
                  </w:r>
                </w:p>
              </w:tc>
            </w:tr>
            <w:tr w14:paraId="1C97E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51" w:type="pct"/>
                  <w:tcBorders>
                    <w:tl2br w:val="nil"/>
                    <w:tr2bl w:val="nil"/>
                  </w:tcBorders>
                  <w:vAlign w:val="center"/>
                </w:tcPr>
                <w:p w14:paraId="6401D21A">
                  <w:pPr>
                    <w:pStyle w:val="48"/>
                    <w:jc w:val="left"/>
                  </w:pPr>
                  <w:r>
                    <w:t>主要属性</w:t>
                  </w:r>
                </w:p>
              </w:tc>
              <w:tc>
                <w:tcPr>
                  <w:tcW w:w="3948" w:type="pct"/>
                  <w:gridSpan w:val="3"/>
                  <w:tcBorders>
                    <w:tl2br w:val="nil"/>
                    <w:tr2bl w:val="nil"/>
                  </w:tcBorders>
                  <w:vAlign w:val="center"/>
                </w:tcPr>
                <w:p w14:paraId="47AFDA4B">
                  <w:pPr>
                    <w:pStyle w:val="48"/>
                    <w:jc w:val="both"/>
                    <w:rPr>
                      <w:rFonts w:hint="default" w:eastAsia="宋体"/>
                      <w:lang w:val="en-US" w:eastAsia="zh-CN"/>
                    </w:rPr>
                  </w:pPr>
                  <w:r>
                    <w:rPr>
                      <w:rFonts w:hint="eastAsia"/>
                      <w:b/>
                      <w:bCs/>
                      <w:lang w:val="en-US" w:eastAsia="zh-CN"/>
                    </w:rPr>
                    <w:t>松杨湖街道</w:t>
                  </w:r>
                  <w:r>
                    <w:rPr>
                      <w:rFonts w:hint="eastAsia"/>
                      <w:b/>
                      <w:bCs/>
                    </w:rPr>
                    <w:t>：</w:t>
                  </w:r>
                  <w:r>
                    <w:rPr>
                      <w:rFonts w:hint="eastAsia"/>
                    </w:rPr>
                    <w:t>松杨湖街道</w:t>
                  </w:r>
                  <w:r>
                    <w:rPr>
                      <w:rFonts w:hint="eastAsia"/>
                      <w:lang w:eastAsia="zh-CN"/>
                    </w:rPr>
                    <w:t>：</w:t>
                  </w:r>
                  <w:r>
                    <w:rPr>
                      <w:rFonts w:hint="eastAsia"/>
                    </w:rPr>
                    <w:t>红线/一般生态空间/生物多样性保护功能重要区/自然保护区/风景名胜区/水环境优先保护区/水环境工业园重点管控区水产种质</w:t>
                  </w:r>
                  <w:r>
                    <w:rPr>
                      <w:rFonts w:hint="eastAsia"/>
                      <w:lang w:eastAsia="zh-CN"/>
                    </w:rPr>
                    <w:t>（</w:t>
                  </w:r>
                  <w:r>
                    <w:rPr>
                      <w:rFonts w:hint="eastAsia"/>
                    </w:rPr>
                    <w:t>国家级</w:t>
                  </w:r>
                  <w:r>
                    <w:rPr>
                      <w:rFonts w:hint="eastAsia"/>
                      <w:lang w:eastAsia="zh-CN"/>
                    </w:rPr>
                    <w:t>）</w:t>
                  </w:r>
                  <w:r>
                    <w:rPr>
                      <w:rFonts w:hint="eastAsia"/>
                    </w:rPr>
                    <w:t>/工业园区、污水处理厂、超标断面/洞庭湖口铜鱼短颌鲚国家级水产种质资源保护区/芭蕉湖超标断面、岳阳城陵矶综合保税区、岳阳临港高新技术产业开发区、临港水质净化厂大气环境优先保护区/大气环境高排放重点管控区/大气环境受体敏感重点管控区/大气环境布局敏感重点管控区/湖南东洞庭湖国家级自然保护区/岳阳楼-洞庭湖风景名胜区/城陵矶临港产业新区</w:t>
                  </w:r>
                  <w:r>
                    <w:rPr>
                      <w:rFonts w:hint="eastAsia"/>
                      <w:lang w:val="en-US" w:eastAsia="zh-CN"/>
                    </w:rPr>
                    <w:t>/</w:t>
                  </w:r>
                  <w:r>
                    <w:rPr>
                      <w:rFonts w:hint="eastAsia"/>
                    </w:rPr>
                    <w:t>湖南岳阳绿色化工产业园</w:t>
                  </w:r>
                  <w:r>
                    <w:rPr>
                      <w:rFonts w:hint="eastAsia"/>
                      <w:lang w:eastAsia="zh-CN"/>
                    </w:rPr>
                    <w:t>（</w:t>
                  </w:r>
                  <w:r>
                    <w:rPr>
                      <w:rFonts w:hint="eastAsia"/>
                    </w:rPr>
                    <w:t>云溪片区</w:t>
                  </w:r>
                  <w:r>
                    <w:rPr>
                      <w:rFonts w:hint="eastAsia"/>
                      <w:lang w:eastAsia="zh-CN"/>
                    </w:rPr>
                    <w:t>）</w:t>
                  </w:r>
                  <w:r>
                    <w:rPr>
                      <w:rFonts w:hint="eastAsia"/>
                    </w:rPr>
                    <w:t>/华能电厂/岳阳城陵矶综合保税区/岳阳林纸/岳阳临港高新技术产业开发区/岳阳绿色化工高新技术产业开发区/建设用地重点管控区/一般管控区/中高风险企业用地/重点行业企业重点区域</w:t>
                  </w:r>
                </w:p>
              </w:tc>
            </w:tr>
            <w:tr w14:paraId="1E3FBE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51" w:type="pct"/>
                  <w:tcBorders>
                    <w:tl2br w:val="nil"/>
                    <w:tr2bl w:val="nil"/>
                  </w:tcBorders>
                  <w:vAlign w:val="center"/>
                </w:tcPr>
                <w:p w14:paraId="3EEECDE3">
                  <w:pPr>
                    <w:pStyle w:val="48"/>
                    <w:ind w:left="0" w:leftChars="0" w:right="0" w:rightChars="0" w:firstLine="0" w:firstLineChars="0"/>
                    <w:jc w:val="center"/>
                    <w:rPr>
                      <w:b/>
                      <w:bCs/>
                    </w:rPr>
                  </w:pPr>
                  <w:r>
                    <w:rPr>
                      <w:b/>
                      <w:bCs/>
                    </w:rPr>
                    <w:t>管控维度</w:t>
                  </w:r>
                </w:p>
              </w:tc>
              <w:tc>
                <w:tcPr>
                  <w:tcW w:w="2389" w:type="pct"/>
                  <w:gridSpan w:val="2"/>
                  <w:tcBorders>
                    <w:tl2br w:val="nil"/>
                    <w:tr2bl w:val="nil"/>
                  </w:tcBorders>
                  <w:vAlign w:val="center"/>
                </w:tcPr>
                <w:p w14:paraId="1E22053B">
                  <w:pPr>
                    <w:pStyle w:val="48"/>
                    <w:ind w:left="0" w:leftChars="0" w:right="0" w:rightChars="0" w:firstLine="0" w:firstLineChars="0"/>
                    <w:jc w:val="center"/>
                    <w:rPr>
                      <w:b/>
                      <w:bCs/>
                    </w:rPr>
                  </w:pPr>
                  <w:r>
                    <w:rPr>
                      <w:b/>
                      <w:bCs/>
                    </w:rPr>
                    <w:t>管控要求</w:t>
                  </w:r>
                </w:p>
              </w:tc>
              <w:tc>
                <w:tcPr>
                  <w:tcW w:w="1558" w:type="pct"/>
                  <w:tcBorders>
                    <w:tl2br w:val="nil"/>
                    <w:tr2bl w:val="nil"/>
                  </w:tcBorders>
                  <w:vAlign w:val="center"/>
                </w:tcPr>
                <w:p w14:paraId="6D64B63F">
                  <w:pPr>
                    <w:pStyle w:val="48"/>
                    <w:ind w:left="0" w:leftChars="0" w:right="0" w:rightChars="0" w:firstLine="0" w:firstLineChars="0"/>
                    <w:jc w:val="center"/>
                    <w:rPr>
                      <w:b/>
                      <w:bCs/>
                    </w:rPr>
                  </w:pPr>
                  <w:r>
                    <w:rPr>
                      <w:b/>
                      <w:bCs/>
                    </w:rPr>
                    <w:t>符合性分析</w:t>
                  </w:r>
                </w:p>
              </w:tc>
            </w:tr>
            <w:tr w14:paraId="7B02CD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51" w:type="pct"/>
                  <w:tcBorders>
                    <w:tl2br w:val="nil"/>
                    <w:tr2bl w:val="nil"/>
                  </w:tcBorders>
                  <w:vAlign w:val="center"/>
                </w:tcPr>
                <w:p w14:paraId="39B07979">
                  <w:pPr>
                    <w:pStyle w:val="48"/>
                    <w:ind w:left="0" w:leftChars="0" w:right="0" w:rightChars="0" w:firstLine="0" w:firstLineChars="0"/>
                    <w:jc w:val="center"/>
                  </w:pPr>
                  <w:r>
                    <w:t>空间布局</w:t>
                  </w:r>
                  <w:r>
                    <w:rPr>
                      <w:rFonts w:hint="eastAsia"/>
                    </w:rPr>
                    <w:t>约束</w:t>
                  </w:r>
                </w:p>
              </w:tc>
              <w:tc>
                <w:tcPr>
                  <w:tcW w:w="2389" w:type="pct"/>
                  <w:gridSpan w:val="2"/>
                  <w:tcBorders>
                    <w:tl2br w:val="nil"/>
                    <w:tr2bl w:val="nil"/>
                  </w:tcBorders>
                  <w:vAlign w:val="center"/>
                </w:tcPr>
                <w:p w14:paraId="2D9A7C70">
                  <w:pPr>
                    <w:pStyle w:val="48"/>
                    <w:jc w:val="both"/>
                    <w:rPr>
                      <w:rFonts w:hint="default" w:eastAsia="宋体"/>
                      <w:lang w:val="en-US" w:eastAsia="zh-CN"/>
                    </w:rPr>
                  </w:pPr>
                  <w:r>
                    <w:rPr>
                      <w:rFonts w:hint="eastAsia"/>
                    </w:rPr>
                    <w:t>（1.1）</w:t>
                  </w:r>
                  <w:r>
                    <w:rPr>
                      <w:rFonts w:hint="eastAsia"/>
                      <w:lang w:val="en-US" w:eastAsia="zh-CN"/>
                    </w:rPr>
                    <w:t>促进产业绿色转型升级，坚决遏制高耗能、高排放、低水平项目盲目发展，开展传统产业集群升级改造。</w:t>
                  </w:r>
                </w:p>
                <w:p w14:paraId="79A32CD1">
                  <w:pPr>
                    <w:pStyle w:val="48"/>
                    <w:jc w:val="both"/>
                    <w:rPr>
                      <w:rFonts w:hint="eastAsia"/>
                      <w:lang w:val="en-US" w:eastAsia="zh-CN"/>
                    </w:rPr>
                  </w:pPr>
                  <w:r>
                    <w:rPr>
                      <w:rFonts w:hint="eastAsia"/>
                    </w:rPr>
                    <w:t>（1.2）</w:t>
                  </w:r>
                  <w:r>
                    <w:rPr>
                      <w:rFonts w:hint="eastAsia"/>
                      <w:lang w:val="en-US" w:eastAsia="zh-CN"/>
                    </w:rPr>
                    <w:t>新、改、扩建涉重项目严格遵循重金属排放“减量替代”或“等量替代”原则，实现重点行业五类重金属年度减排目标。</w:t>
                  </w:r>
                </w:p>
                <w:p w14:paraId="4FC703DA">
                  <w:pPr>
                    <w:pStyle w:val="48"/>
                    <w:jc w:val="both"/>
                    <w:rPr>
                      <w:rFonts w:hint="eastAsia"/>
                      <w:lang w:val="en-US" w:eastAsia="zh-CN"/>
                    </w:rPr>
                  </w:pPr>
                  <w:r>
                    <w:rPr>
                      <w:rFonts w:hint="eastAsia"/>
                      <w:lang w:val="en-US" w:eastAsia="zh-CN"/>
                    </w:rPr>
                    <w:t>（1.3）禁止生产、销售和使用含磷洗涤用品。</w:t>
                  </w:r>
                </w:p>
                <w:p w14:paraId="73B4D3D6">
                  <w:pPr>
                    <w:pStyle w:val="48"/>
                    <w:jc w:val="both"/>
                    <w:rPr>
                      <w:rFonts w:hint="eastAsia"/>
                      <w:lang w:val="en-US" w:eastAsia="zh-CN"/>
                    </w:rPr>
                  </w:pPr>
                  <w:r>
                    <w:rPr>
                      <w:rFonts w:hint="eastAsia"/>
                      <w:lang w:val="en-US" w:eastAsia="zh-CN"/>
                    </w:rPr>
                    <w:t>（1.4）严格落实《岳阳市东洞庭湖国家级自然保护区条例》，在保护区范围内禁止从事砍伐、放牧、采药、开垦、烧荒、开矿、采石、挖沙等活动：在核心区、</w:t>
                  </w:r>
                </w:p>
                <w:p w14:paraId="175C5648">
                  <w:pPr>
                    <w:pStyle w:val="48"/>
                    <w:jc w:val="both"/>
                    <w:rPr>
                      <w:rFonts w:hint="default"/>
                      <w:lang w:val="en-US" w:eastAsia="zh-CN"/>
                    </w:rPr>
                  </w:pPr>
                  <w:r>
                    <w:rPr>
                      <w:rFonts w:hint="eastAsia"/>
                      <w:lang w:val="en-US" w:eastAsia="zh-CN"/>
                    </w:rPr>
                    <w:t>缓冲区禁止开展旅游和其他生产经营活动，禁止引进、放生外来物种；实验区内不得建设污染环境、破坏资源或者景观的生产设施，建设其他项目以及实验区内已建成的设施，其污染物排放不得超过国家或者地方规定的污染物排放标准或者重点污染物排放总量控制指标。</w:t>
                  </w:r>
                </w:p>
              </w:tc>
              <w:tc>
                <w:tcPr>
                  <w:tcW w:w="1558" w:type="pct"/>
                  <w:tcBorders>
                    <w:tl2br w:val="nil"/>
                    <w:tr2bl w:val="nil"/>
                  </w:tcBorders>
                  <w:vAlign w:val="center"/>
                </w:tcPr>
                <w:p w14:paraId="7AD3A7B6">
                  <w:pPr>
                    <w:pStyle w:val="48"/>
                    <w:adjustRightInd/>
                    <w:ind w:firstLine="420" w:firstLineChars="200"/>
                    <w:jc w:val="both"/>
                    <w:textAlignment w:val="auto"/>
                    <w:rPr>
                      <w:rFonts w:hint="default" w:eastAsia="宋体"/>
                      <w:lang w:val="en-US" w:eastAsia="zh-CN"/>
                    </w:rPr>
                  </w:pPr>
                  <w:r>
                    <w:t>本</w:t>
                  </w:r>
                  <w:r>
                    <w:rPr>
                      <w:rFonts w:hint="eastAsia"/>
                    </w:rPr>
                    <w:t>项目</w:t>
                  </w:r>
                  <w:r>
                    <w:rPr>
                      <w:rFonts w:hint="eastAsia"/>
                      <w:lang w:val="en-US" w:eastAsia="zh-CN"/>
                    </w:rPr>
                    <w:t>为固体废物治理业，位于华能电厂现有用地范围内，不新增用地</w:t>
                  </w:r>
                </w:p>
              </w:tc>
            </w:tr>
            <w:tr w14:paraId="10F984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51" w:type="pct"/>
                  <w:tcBorders>
                    <w:tl2br w:val="nil"/>
                    <w:tr2bl w:val="nil"/>
                  </w:tcBorders>
                  <w:vAlign w:val="center"/>
                </w:tcPr>
                <w:p w14:paraId="66C0343D">
                  <w:pPr>
                    <w:pStyle w:val="48"/>
                    <w:ind w:left="0" w:leftChars="0" w:right="0" w:rightChars="0" w:firstLine="0" w:firstLineChars="0"/>
                    <w:jc w:val="center"/>
                  </w:pPr>
                  <w:r>
                    <w:t>污染物排放管控</w:t>
                  </w:r>
                </w:p>
              </w:tc>
              <w:tc>
                <w:tcPr>
                  <w:tcW w:w="2389" w:type="pct"/>
                  <w:gridSpan w:val="2"/>
                  <w:tcBorders>
                    <w:tl2br w:val="nil"/>
                    <w:tr2bl w:val="nil"/>
                  </w:tcBorders>
                  <w:vAlign w:val="center"/>
                </w:tcPr>
                <w:p w14:paraId="64F70D62">
                  <w:pPr>
                    <w:pStyle w:val="48"/>
                    <w:jc w:val="both"/>
                    <w:rPr>
                      <w:rFonts w:hint="eastAsia"/>
                      <w:lang w:val="en-US" w:eastAsia="zh-CN"/>
                    </w:rPr>
                  </w:pPr>
                  <w:r>
                    <w:rPr>
                      <w:rFonts w:hint="eastAsia"/>
                    </w:rPr>
                    <w:t>（2.</w:t>
                  </w:r>
                  <w:r>
                    <w:rPr>
                      <w:rFonts w:hint="eastAsia"/>
                      <w:lang w:val="en-US" w:eastAsia="zh-CN"/>
                    </w:rPr>
                    <w:t>1</w:t>
                  </w:r>
                  <w:r>
                    <w:rPr>
                      <w:rFonts w:hint="eastAsia"/>
                    </w:rPr>
                    <w:t>）</w:t>
                  </w:r>
                  <w:r>
                    <w:rPr>
                      <w:rFonts w:hint="eastAsia"/>
                      <w:b/>
                      <w:bCs/>
                      <w:lang w:val="en-US" w:eastAsia="zh-CN"/>
                    </w:rPr>
                    <w:t>废水</w:t>
                  </w:r>
                  <w:r>
                    <w:rPr>
                      <w:rFonts w:hint="eastAsia"/>
                      <w:lang w:val="en-US" w:eastAsia="zh-CN"/>
                    </w:rPr>
                    <w:t>：</w:t>
                  </w:r>
                </w:p>
                <w:p w14:paraId="2F100428">
                  <w:pPr>
                    <w:pStyle w:val="48"/>
                    <w:jc w:val="both"/>
                    <w:rPr>
                      <w:rFonts w:hint="eastAsia"/>
                      <w:lang w:val="en-US" w:eastAsia="zh-CN"/>
                    </w:rPr>
                  </w:pPr>
                  <w:r>
                    <w:rPr>
                      <w:rFonts w:hint="eastAsia"/>
                      <w:lang w:val="en-US" w:eastAsia="zh-CN"/>
                    </w:rPr>
                    <w:t>（2.2.1）按照“河（湖）一策”的要求，深入推进云溪河、松杨湖、撇洪河等重点河湖的系统治理。</w:t>
                  </w:r>
                </w:p>
                <w:p w14:paraId="346C7143">
                  <w:pPr>
                    <w:pStyle w:val="48"/>
                    <w:jc w:val="both"/>
                    <w:rPr>
                      <w:rFonts w:hint="eastAsia"/>
                      <w:lang w:val="en-US" w:eastAsia="zh-CN"/>
                    </w:rPr>
                  </w:pPr>
                  <w:r>
                    <w:rPr>
                      <w:rFonts w:hint="eastAsia"/>
                      <w:lang w:val="en-US" w:eastAsia="zh-CN"/>
                    </w:rPr>
                    <w:t>（2.1.2）深入推进入河排污口整治，按照“一口一策”原则研究制定整治方案并推动实施。持续开展河湖岸线生态修护，巩固小水电清理整改成果，认真实施“十年禁渔”，有效恢复水生生物多样性。</w:t>
                  </w:r>
                </w:p>
                <w:p w14:paraId="23C70096">
                  <w:pPr>
                    <w:pStyle w:val="48"/>
                    <w:jc w:val="both"/>
                    <w:rPr>
                      <w:rFonts w:hint="eastAsia"/>
                      <w:lang w:val="en-US" w:eastAsia="zh-CN"/>
                    </w:rPr>
                  </w:pPr>
                  <w:r>
                    <w:rPr>
                      <w:rFonts w:hint="eastAsia"/>
                      <w:lang w:val="en-US" w:eastAsia="zh-CN"/>
                    </w:rPr>
                    <w:t>（2.1.3）推进实施《洞庭湖总碳污染控制与削减攻坚行动计划（2022-2025年）》，继续实施一批畜禽粪污治理、水产养殖尾水治理、入河湖排污口管控、城乡生活污染治理、重点内湖（内河）整治等重点工程项目。</w:t>
                  </w:r>
                </w:p>
                <w:p w14:paraId="0F75F684">
                  <w:pPr>
                    <w:pStyle w:val="48"/>
                    <w:jc w:val="both"/>
                    <w:rPr>
                      <w:rFonts w:hint="eastAsia"/>
                      <w:lang w:val="en-US" w:eastAsia="zh-CN"/>
                    </w:rPr>
                  </w:pPr>
                  <w:r>
                    <w:rPr>
                      <w:rFonts w:hint="eastAsia"/>
                      <w:lang w:val="en-US" w:eastAsia="zh-CN"/>
                    </w:rPr>
                    <w:t>（2.1.4）持续推进集中式水源地基础信息调查和保护区勘界定标，完成全区集中式水源保护区国土空间规划编制。</w:t>
                  </w:r>
                </w:p>
                <w:p w14:paraId="53C1C7DA">
                  <w:pPr>
                    <w:pStyle w:val="48"/>
                    <w:jc w:val="both"/>
                    <w:rPr>
                      <w:rFonts w:hint="eastAsia"/>
                      <w:lang w:val="en-US" w:eastAsia="zh-CN"/>
                    </w:rPr>
                  </w:pPr>
                  <w:r>
                    <w:rPr>
                      <w:rFonts w:hint="eastAsia"/>
                      <w:lang w:val="en-US" w:eastAsia="zh-CN"/>
                    </w:rPr>
                    <w:t>（2.1.5）推进自来水厂提标改造，确保出厂水质达标。</w:t>
                  </w:r>
                </w:p>
                <w:p w14:paraId="17D1CEB8">
                  <w:pPr>
                    <w:pStyle w:val="48"/>
                    <w:jc w:val="both"/>
                    <w:rPr>
                      <w:rFonts w:hint="eastAsia"/>
                      <w:lang w:val="en-US" w:eastAsia="zh-CN"/>
                    </w:rPr>
                  </w:pPr>
                  <w:r>
                    <w:rPr>
                      <w:rFonts w:hint="eastAsia"/>
                      <w:lang w:val="en-US" w:eastAsia="zh-CN"/>
                    </w:rPr>
                    <w:t>（2.2）</w:t>
                  </w:r>
                  <w:r>
                    <w:rPr>
                      <w:rFonts w:hint="eastAsia"/>
                      <w:b/>
                      <w:bCs/>
                      <w:lang w:val="en-US" w:eastAsia="zh-CN"/>
                    </w:rPr>
                    <w:t>废气</w:t>
                  </w:r>
                  <w:r>
                    <w:rPr>
                      <w:rFonts w:hint="eastAsia"/>
                      <w:lang w:val="en-US" w:eastAsia="zh-CN"/>
                    </w:rPr>
                    <w:t>：</w:t>
                  </w:r>
                </w:p>
                <w:p w14:paraId="18F883B5">
                  <w:pPr>
                    <w:pStyle w:val="48"/>
                    <w:jc w:val="both"/>
                    <w:rPr>
                      <w:rFonts w:hint="eastAsia"/>
                      <w:lang w:val="en-US" w:eastAsia="zh-CN"/>
                    </w:rPr>
                  </w:pPr>
                  <w:r>
                    <w:rPr>
                      <w:rFonts w:hint="eastAsia"/>
                      <w:lang w:val="en-US" w:eastAsia="zh-CN"/>
                    </w:rPr>
                    <w:t>（2.2.1）坚持源头防控、系统治理，以石化、化工、建材、工业涂装等为重点行业，以柴油货车、露天焚烧秸秆、餐饮油烟、城市扬尘等为重点领域，以细颗粒物（PM2.5）等为重点因子，以特护期（当年10月16日至次年3月15日）为重点时段，在全区开展“守护蓝天”行动。</w:t>
                  </w:r>
                </w:p>
                <w:p w14:paraId="2305B81A">
                  <w:pPr>
                    <w:pStyle w:val="48"/>
                    <w:jc w:val="both"/>
                    <w:rPr>
                      <w:rFonts w:hint="eastAsia"/>
                      <w:lang w:val="en-US" w:eastAsia="zh-CN"/>
                    </w:rPr>
                  </w:pPr>
                  <w:r>
                    <w:rPr>
                      <w:rFonts w:hint="eastAsia"/>
                      <w:lang w:val="en-US" w:eastAsia="zh-CN"/>
                    </w:rPr>
                    <w:t>（2.2.2）加快推进含 VOCs 原辅材料源头替代，实施清洁能源替代，强化石化、化工、工业涂装、包装印刷等重点行业及油品储运销VOCs深度治理，加大锅炉、炉窑、移动源氮氧化物减排力度。</w:t>
                  </w:r>
                </w:p>
                <w:p w14:paraId="6841E236">
                  <w:pPr>
                    <w:pStyle w:val="48"/>
                    <w:jc w:val="both"/>
                    <w:rPr>
                      <w:rFonts w:hint="eastAsia"/>
                      <w:lang w:val="en-US" w:eastAsia="zh-CN"/>
                    </w:rPr>
                  </w:pPr>
                  <w:r>
                    <w:rPr>
                      <w:rFonts w:hint="eastAsia"/>
                      <w:lang w:val="en-US" w:eastAsia="zh-CN"/>
                    </w:rPr>
                    <w:t>（2.3）</w:t>
                  </w:r>
                  <w:r>
                    <w:rPr>
                      <w:rFonts w:hint="eastAsia"/>
                      <w:b/>
                      <w:bCs/>
                      <w:lang w:val="en-US" w:eastAsia="zh-CN"/>
                    </w:rPr>
                    <w:t>固体废物</w:t>
                  </w:r>
                  <w:r>
                    <w:rPr>
                      <w:rFonts w:hint="eastAsia"/>
                      <w:lang w:val="en-US" w:eastAsia="zh-CN"/>
                    </w:rPr>
                    <w:t>：推进强化危险废物监管和利用处置能力改革，逐步建立“源头严防、过程严管、后果严惩”危险废物监管体系。</w:t>
                  </w:r>
                </w:p>
                <w:p w14:paraId="6B4B1700">
                  <w:pPr>
                    <w:pStyle w:val="48"/>
                    <w:jc w:val="both"/>
                    <w:rPr>
                      <w:rFonts w:hint="default"/>
                      <w:lang w:val="en-US" w:eastAsia="zh-CN"/>
                    </w:rPr>
                  </w:pPr>
                  <w:r>
                    <w:rPr>
                      <w:rFonts w:hint="eastAsia"/>
                      <w:lang w:val="en-US" w:eastAsia="zh-CN"/>
                    </w:rPr>
                    <w:t>（2.4）</w:t>
                  </w:r>
                  <w:r>
                    <w:rPr>
                      <w:rFonts w:hint="eastAsia"/>
                      <w:b/>
                      <w:bCs/>
                      <w:lang w:val="en-US" w:eastAsia="zh-CN"/>
                    </w:rPr>
                    <w:t>农业面源</w:t>
                  </w:r>
                  <w:r>
                    <w:rPr>
                      <w:rFonts w:hint="eastAsia"/>
                      <w:lang w:val="en-US" w:eastAsia="zh-CN"/>
                    </w:rPr>
                    <w:t>：深入推进化肥农药减量增效。科学用药，提高农药利用率。推进农膜秸秆回收利用。推进以种养结合为重点的畜禽养殖废弃物资源利用。推进养殖尾水节水减排。</w:t>
                  </w:r>
                </w:p>
              </w:tc>
              <w:tc>
                <w:tcPr>
                  <w:tcW w:w="1558" w:type="pct"/>
                  <w:tcBorders>
                    <w:tl2br w:val="nil"/>
                    <w:tr2bl w:val="nil"/>
                  </w:tcBorders>
                  <w:vAlign w:val="center"/>
                </w:tcPr>
                <w:p w14:paraId="4EF6D352">
                  <w:pPr>
                    <w:pStyle w:val="48"/>
                    <w:adjustRightInd/>
                    <w:ind w:firstLine="420" w:firstLineChars="200"/>
                    <w:jc w:val="both"/>
                    <w:textAlignment w:val="auto"/>
                  </w:pPr>
                  <w:r>
                    <w:rPr>
                      <w:rFonts w:hint="eastAsia"/>
                      <w:highlight w:val="none"/>
                    </w:rPr>
                    <w:t>本项目为固体废物综合利用项目，</w:t>
                  </w:r>
                  <w:r>
                    <w:rPr>
                      <w:rFonts w:hint="eastAsia"/>
                      <w:highlight w:val="none"/>
                      <w:lang w:val="en-US" w:eastAsia="zh-CN"/>
                    </w:rPr>
                    <w:t>属于技术改造，无新增废水，本项目无VOC</w:t>
                  </w:r>
                  <w:r>
                    <w:rPr>
                      <w:rFonts w:hint="eastAsia"/>
                      <w:highlight w:val="none"/>
                      <w:vertAlign w:val="subscript"/>
                      <w:lang w:val="en-US" w:eastAsia="zh-CN"/>
                    </w:rPr>
                    <w:t>S</w:t>
                  </w:r>
                  <w:r>
                    <w:rPr>
                      <w:rFonts w:hint="eastAsia"/>
                      <w:highlight w:val="none"/>
                      <w:lang w:val="en-US" w:eastAsia="zh-CN"/>
                    </w:rPr>
                    <w:t>产生。</w:t>
                  </w:r>
                </w:p>
              </w:tc>
            </w:tr>
            <w:tr w14:paraId="7BBAC8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51" w:type="pct"/>
                  <w:tcBorders>
                    <w:tl2br w:val="nil"/>
                    <w:tr2bl w:val="nil"/>
                  </w:tcBorders>
                  <w:vAlign w:val="center"/>
                </w:tcPr>
                <w:p w14:paraId="412A6817">
                  <w:pPr>
                    <w:pStyle w:val="48"/>
                    <w:ind w:left="0" w:leftChars="0" w:right="0" w:rightChars="0" w:firstLine="0" w:firstLineChars="0"/>
                    <w:jc w:val="center"/>
                  </w:pPr>
                  <w:r>
                    <w:t>环境风险防控</w:t>
                  </w:r>
                </w:p>
              </w:tc>
              <w:tc>
                <w:tcPr>
                  <w:tcW w:w="2389" w:type="pct"/>
                  <w:gridSpan w:val="2"/>
                  <w:tcBorders>
                    <w:tl2br w:val="nil"/>
                    <w:tr2bl w:val="nil"/>
                  </w:tcBorders>
                  <w:vAlign w:val="center"/>
                </w:tcPr>
                <w:p w14:paraId="6633ACB5">
                  <w:pPr>
                    <w:pStyle w:val="48"/>
                    <w:jc w:val="both"/>
                  </w:pPr>
                  <w:r>
                    <w:rPr>
                      <w:rFonts w:hint="eastAsia"/>
                    </w:rPr>
                    <w:t>（3.1）全面提升监测能力，统筹水环境质量、生态流量、水生态状况、水环境风险监测监控，建立完善洞庭湖水质水量水生态动态监测预警体系和信息平台。</w:t>
                  </w:r>
                </w:p>
                <w:p w14:paraId="07F3730D">
                  <w:pPr>
                    <w:pStyle w:val="48"/>
                    <w:jc w:val="both"/>
                  </w:pPr>
                  <w:r>
                    <w:rPr>
                      <w:rFonts w:hint="eastAsia"/>
                    </w:rPr>
                    <w:t>（3.2）有效管控建设用地土壤污染风险。严格土壤污染重点监管单位和沿江化工企业搬迁腾退用地土壤污染风险管控。以用途变更为“一住两公”的地块为重点，依法开展土壤污染状况调查和风险评估。对纳入建设用地土壤污染风险管控和修复名录内的地块，移出名录前，不得核发建设工程规划许可证。从严管控农药、化工等行业重度污染地块规划用途，确需开发利用的，鼓励用于拓展生态空间。对列入优先监管清单的地块，开展土壤污染调查和风险评估，按要求采取风险防控措施。</w:t>
                  </w:r>
                </w:p>
                <w:p w14:paraId="091127DD">
                  <w:pPr>
                    <w:pStyle w:val="48"/>
                    <w:jc w:val="both"/>
                  </w:pPr>
                  <w:r>
                    <w:rPr>
                      <w:rFonts w:hint="eastAsia"/>
                    </w:rPr>
                    <w:t>（3.3）推进农用地土壤污染防治和安全利用。开展受污染耕地土壤重金属成因排查试点，督促开展污染源头风险管控。</w:t>
                  </w:r>
                </w:p>
              </w:tc>
              <w:tc>
                <w:tcPr>
                  <w:tcW w:w="1558" w:type="pct"/>
                  <w:tcBorders>
                    <w:tl2br w:val="nil"/>
                    <w:tr2bl w:val="nil"/>
                  </w:tcBorders>
                  <w:vAlign w:val="center"/>
                </w:tcPr>
                <w:p w14:paraId="0C566CBD">
                  <w:pPr>
                    <w:widowControl w:val="0"/>
                    <w:spacing w:line="240" w:lineRule="auto"/>
                    <w:ind w:firstLine="420"/>
                    <w:jc w:val="both"/>
                    <w:rPr>
                      <w:sz w:val="21"/>
                      <w:szCs w:val="21"/>
                    </w:rPr>
                  </w:pPr>
                  <w:r>
                    <w:rPr>
                      <w:rFonts w:hint="eastAsia"/>
                      <w:sz w:val="21"/>
                      <w:szCs w:val="21"/>
                    </w:rPr>
                    <w:t>本项目</w:t>
                  </w:r>
                  <w:r>
                    <w:rPr>
                      <w:rFonts w:hint="eastAsia"/>
                      <w:sz w:val="21"/>
                      <w:szCs w:val="21"/>
                      <w:lang w:val="en-US" w:eastAsia="zh-CN"/>
                    </w:rPr>
                    <w:t>位于华能电厂现有用地范围内</w:t>
                  </w:r>
                  <w:r>
                    <w:rPr>
                      <w:rFonts w:hint="eastAsia"/>
                      <w:sz w:val="21"/>
                      <w:szCs w:val="21"/>
                    </w:rPr>
                    <w:t>，不属于纳入建设用地土壤污染风险管控和修复名录内的地块。</w:t>
                  </w:r>
                </w:p>
                <w:p w14:paraId="3A8D79C9">
                  <w:pPr>
                    <w:widowControl w:val="0"/>
                    <w:spacing w:line="240" w:lineRule="auto"/>
                    <w:ind w:firstLine="420"/>
                    <w:jc w:val="both"/>
                    <w:rPr>
                      <w:sz w:val="21"/>
                      <w:szCs w:val="21"/>
                    </w:rPr>
                  </w:pPr>
                  <w:r>
                    <w:rPr>
                      <w:rFonts w:hint="eastAsia"/>
                      <w:sz w:val="21"/>
                      <w:szCs w:val="21"/>
                    </w:rPr>
                    <w:t>本项目将按要求进行防渗，防止污染土壤和地下水。</w:t>
                  </w:r>
                </w:p>
              </w:tc>
            </w:tr>
            <w:tr w14:paraId="4E14F4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51" w:type="pct"/>
                  <w:tcBorders>
                    <w:tl2br w:val="nil"/>
                    <w:tr2bl w:val="nil"/>
                  </w:tcBorders>
                  <w:vAlign w:val="center"/>
                </w:tcPr>
                <w:p w14:paraId="3F3563F5">
                  <w:pPr>
                    <w:pStyle w:val="48"/>
                    <w:ind w:left="0" w:leftChars="0" w:right="0" w:rightChars="0" w:firstLine="0" w:firstLineChars="0"/>
                    <w:jc w:val="center"/>
                  </w:pPr>
                  <w:r>
                    <w:t>资源开发效率要求</w:t>
                  </w:r>
                </w:p>
              </w:tc>
              <w:tc>
                <w:tcPr>
                  <w:tcW w:w="2389" w:type="pct"/>
                  <w:gridSpan w:val="2"/>
                  <w:tcBorders>
                    <w:tl2br w:val="nil"/>
                    <w:tr2bl w:val="nil"/>
                  </w:tcBorders>
                  <w:vAlign w:val="center"/>
                </w:tcPr>
                <w:p w14:paraId="208D84C1">
                  <w:pPr>
                    <w:pStyle w:val="48"/>
                    <w:jc w:val="both"/>
                    <w:rPr>
                      <w:rFonts w:hint="eastAsia" w:eastAsia="宋体"/>
                      <w:lang w:val="en-US" w:eastAsia="zh-CN"/>
                    </w:rPr>
                  </w:pPr>
                  <w:r>
                    <w:rPr>
                      <w:rFonts w:hint="eastAsia"/>
                    </w:rPr>
                    <w:t>（4.1）水资源：2025年，</w:t>
                  </w:r>
                  <w:r>
                    <w:rPr>
                      <w:rFonts w:hint="eastAsia"/>
                      <w:lang w:val="en-US" w:eastAsia="zh-CN"/>
                    </w:rPr>
                    <w:t>云溪区</w:t>
                  </w:r>
                  <w:r>
                    <w:rPr>
                      <w:rFonts w:hint="eastAsia"/>
                    </w:rPr>
                    <w:t>用水总量</w:t>
                  </w:r>
                  <w:r>
                    <w:rPr>
                      <w:rFonts w:hint="eastAsia"/>
                      <w:lang w:val="en-US" w:eastAsia="zh-CN"/>
                    </w:rPr>
                    <w:t>2.30</w:t>
                  </w:r>
                  <w:r>
                    <w:rPr>
                      <w:rFonts w:hint="eastAsia"/>
                    </w:rPr>
                    <w:t>亿立方米，万元地区生产总值用水量比2020年下降</w:t>
                  </w:r>
                  <w:r>
                    <w:rPr>
                      <w:rFonts w:hint="eastAsia"/>
                      <w:lang w:val="en-US" w:eastAsia="zh-CN"/>
                    </w:rPr>
                    <w:t>2.12</w:t>
                  </w:r>
                  <w:r>
                    <w:rPr>
                      <w:rFonts w:hint="eastAsia"/>
                    </w:rPr>
                    <w:t>%</w:t>
                  </w:r>
                  <w:r>
                    <w:rPr>
                      <w:rFonts w:hint="eastAsia"/>
                      <w:lang w:eastAsia="zh-CN"/>
                    </w:rPr>
                    <w:t>。</w:t>
                  </w:r>
                </w:p>
                <w:p w14:paraId="435BF62F">
                  <w:pPr>
                    <w:pStyle w:val="48"/>
                    <w:jc w:val="both"/>
                    <w:rPr>
                      <w:rFonts w:hint="default" w:eastAsia="宋体"/>
                      <w:lang w:val="en-US" w:eastAsia="zh-CN"/>
                    </w:rPr>
                  </w:pPr>
                  <w:r>
                    <w:rPr>
                      <w:rFonts w:hint="eastAsia"/>
                    </w:rPr>
                    <w:t>（4.2）能源：</w:t>
                  </w:r>
                  <w:r>
                    <w:rPr>
                      <w:rFonts w:hint="eastAsia"/>
                      <w:lang w:val="en-US" w:eastAsia="zh-CN"/>
                    </w:rPr>
                    <w:t>云溪区“十四五”时期能耗强度降低基本目标16.5%，激励目标17%。</w:t>
                  </w:r>
                </w:p>
                <w:p w14:paraId="5D95CD63">
                  <w:pPr>
                    <w:pStyle w:val="48"/>
                    <w:jc w:val="both"/>
                  </w:pPr>
                  <w:r>
                    <w:rPr>
                      <w:rFonts w:hint="eastAsia"/>
                    </w:rPr>
                    <w:t>（4.3）土地资源：</w:t>
                  </w:r>
                  <w:r>
                    <w:rPr>
                      <w:rFonts w:hint="eastAsia"/>
                      <w:lang w:val="en-US" w:eastAsia="zh-CN"/>
                    </w:rPr>
                    <w:t>云溪区</w:t>
                  </w:r>
                  <w:r>
                    <w:rPr>
                      <w:rFonts w:hint="eastAsia"/>
                    </w:rPr>
                    <w:t>耕地保有量</w:t>
                  </w:r>
                  <w:r>
                    <w:rPr>
                      <w:rFonts w:hint="eastAsia"/>
                      <w:lang w:val="en-US" w:eastAsia="zh-CN"/>
                    </w:rPr>
                    <w:t>63.07</w:t>
                  </w:r>
                  <w:r>
                    <w:rPr>
                      <w:rFonts w:hint="eastAsia"/>
                    </w:rPr>
                    <w:t>平方千米，永久基本农田保护面积</w:t>
                  </w:r>
                  <w:r>
                    <w:rPr>
                      <w:rFonts w:hint="eastAsia"/>
                      <w:lang w:val="en-US" w:eastAsia="zh-CN"/>
                    </w:rPr>
                    <w:t>44.68</w:t>
                  </w:r>
                  <w:r>
                    <w:rPr>
                      <w:rFonts w:hint="eastAsia"/>
                    </w:rPr>
                    <w:t>平方千米，生态保护红线面积</w:t>
                  </w:r>
                  <w:r>
                    <w:rPr>
                      <w:rFonts w:hint="eastAsia"/>
                      <w:lang w:val="en-US" w:eastAsia="zh-CN"/>
                    </w:rPr>
                    <w:t>30.22</w:t>
                  </w:r>
                  <w:r>
                    <w:rPr>
                      <w:rFonts w:hint="eastAsia"/>
                    </w:rPr>
                    <w:t>平方千米，城镇开发边界</w:t>
                  </w:r>
                  <w:r>
                    <w:rPr>
                      <w:rFonts w:hint="eastAsia"/>
                      <w:lang w:val="en-US" w:eastAsia="zh-CN"/>
                    </w:rPr>
                    <w:t>86.61</w:t>
                  </w:r>
                  <w:r>
                    <w:rPr>
                      <w:rFonts w:hint="eastAsia"/>
                    </w:rPr>
                    <w:t>平方千米。</w:t>
                  </w:r>
                </w:p>
              </w:tc>
              <w:tc>
                <w:tcPr>
                  <w:tcW w:w="1558" w:type="pct"/>
                  <w:tcBorders>
                    <w:tl2br w:val="nil"/>
                    <w:tr2bl w:val="nil"/>
                  </w:tcBorders>
                  <w:vAlign w:val="center"/>
                </w:tcPr>
                <w:p w14:paraId="671CA2A4">
                  <w:pPr>
                    <w:spacing w:line="240" w:lineRule="auto"/>
                    <w:ind w:firstLine="420"/>
                    <w:jc w:val="left"/>
                    <w:rPr>
                      <w:sz w:val="21"/>
                      <w:szCs w:val="21"/>
                    </w:rPr>
                  </w:pPr>
                  <w:r>
                    <w:rPr>
                      <w:sz w:val="21"/>
                      <w:szCs w:val="21"/>
                    </w:rPr>
                    <w:t>本项目生产过程用到的能源主要为水、电，相对区域资源利用总量较少。</w:t>
                  </w:r>
                </w:p>
                <w:p w14:paraId="256367E8">
                  <w:pPr>
                    <w:pStyle w:val="48"/>
                    <w:adjustRightInd/>
                    <w:ind w:firstLine="420" w:firstLineChars="200"/>
                    <w:jc w:val="both"/>
                    <w:textAlignment w:val="auto"/>
                    <w:rPr>
                      <w:szCs w:val="21"/>
                    </w:rPr>
                  </w:pPr>
                  <w:r>
                    <w:rPr>
                      <w:rFonts w:hint="eastAsia"/>
                      <w:sz w:val="21"/>
                      <w:szCs w:val="21"/>
                    </w:rPr>
                    <w:t>本项目</w:t>
                  </w:r>
                  <w:r>
                    <w:rPr>
                      <w:rFonts w:hint="eastAsia"/>
                      <w:sz w:val="21"/>
                      <w:szCs w:val="21"/>
                      <w:lang w:val="en-US" w:eastAsia="zh-CN"/>
                    </w:rPr>
                    <w:t>位于华能电厂现有用地范围内</w:t>
                  </w:r>
                  <w:r>
                    <w:rPr>
                      <w:rFonts w:hint="eastAsia"/>
                      <w:szCs w:val="21"/>
                    </w:rPr>
                    <w:t>，</w:t>
                  </w:r>
                  <w:r>
                    <w:rPr>
                      <w:rFonts w:hint="eastAsia"/>
                      <w:szCs w:val="21"/>
                      <w:lang w:val="en-US" w:eastAsia="zh-CN"/>
                    </w:rPr>
                    <w:t>不新增用地，</w:t>
                  </w:r>
                  <w:r>
                    <w:rPr>
                      <w:rFonts w:hint="eastAsia"/>
                      <w:szCs w:val="21"/>
                    </w:rPr>
                    <w:t>不在</w:t>
                  </w:r>
                  <w:r>
                    <w:rPr>
                      <w:rFonts w:hint="eastAsia"/>
                      <w:szCs w:val="21"/>
                      <w:lang w:eastAsia="zh-CN"/>
                    </w:rPr>
                    <w:t>生态保护红线</w:t>
                  </w:r>
                  <w:r>
                    <w:rPr>
                      <w:rFonts w:hint="eastAsia"/>
                      <w:szCs w:val="21"/>
                    </w:rPr>
                    <w:t>内，未占用基本农田。</w:t>
                  </w:r>
                </w:p>
              </w:tc>
            </w:tr>
          </w:tbl>
          <w:p w14:paraId="66A3ABF2">
            <w:pPr>
              <w:spacing w:before="120" w:beforeLines="50"/>
              <w:ind w:firstLine="480"/>
              <w:jc w:val="left"/>
              <w:rPr>
                <w:b/>
                <w:bCs/>
              </w:rPr>
            </w:pPr>
            <w:r>
              <w:t>根据上表可知，本项目建设能满足</w:t>
            </w:r>
            <w:r>
              <w:rPr>
                <w:rFonts w:hint="eastAsia"/>
              </w:rPr>
              <w:t>《岳阳市生态环境分区管控动态更新成果（2023年版）》</w:t>
            </w:r>
            <w:r>
              <w:t>相关要求。</w:t>
            </w:r>
          </w:p>
          <w:p w14:paraId="4F074642">
            <w:pPr>
              <w:numPr>
                <w:ilvl w:val="0"/>
                <w:numId w:val="10"/>
              </w:numPr>
              <w:autoSpaceDE w:val="0"/>
              <w:autoSpaceDN w:val="0"/>
              <w:adjustRightInd w:val="0"/>
              <w:snapToGrid w:val="0"/>
              <w:ind w:left="0" w:firstLine="0" w:firstLineChars="0"/>
              <w:jc w:val="left"/>
              <w:rPr>
                <w:b/>
                <w:bCs/>
                <w:highlight w:val="none"/>
              </w:rPr>
            </w:pPr>
            <w:bookmarkStart w:id="59" w:name="_Toc8037"/>
            <w:bookmarkStart w:id="60" w:name="_Toc337"/>
            <w:bookmarkStart w:id="61" w:name="_Toc16024"/>
            <w:r>
              <w:rPr>
                <w:rFonts w:hint="eastAsia"/>
                <w:b/>
                <w:bCs/>
                <w:highlight w:val="none"/>
                <w:lang w:val="en-US" w:eastAsia="zh-CN"/>
              </w:rPr>
              <w:t>与项目研判分析结果报告的符合性分析</w:t>
            </w:r>
          </w:p>
          <w:p w14:paraId="391E26E8">
            <w:pPr>
              <w:keepNext w:val="0"/>
              <w:keepLines w:val="0"/>
              <w:pageBreakBefore w:val="0"/>
              <w:widowControl/>
              <w:numPr>
                <w:ilvl w:val="0"/>
                <w:numId w:val="0"/>
              </w:numPr>
              <w:kinsoku/>
              <w:wordWrap/>
              <w:overflowPunct/>
              <w:topLinePunct w:val="0"/>
              <w:autoSpaceDE w:val="0"/>
              <w:autoSpaceDN w:val="0"/>
              <w:bidi w:val="0"/>
              <w:adjustRightInd w:val="0"/>
              <w:snapToGrid w:val="0"/>
              <w:ind w:leftChars="0" w:firstLine="480" w:firstLineChars="200"/>
              <w:jc w:val="both"/>
              <w:textAlignment w:val="auto"/>
              <w:rPr>
                <w:rFonts w:hint="default" w:ascii="Times New Roman" w:hAnsi="Times New Roman" w:eastAsia="宋体" w:cs="Times New Roman"/>
                <w:i w:val="0"/>
                <w:iCs w:val="0"/>
                <w:caps w:val="0"/>
                <w:color w:val="0F1115"/>
                <w:spacing w:val="0"/>
                <w:sz w:val="24"/>
                <w:szCs w:val="24"/>
                <w:shd w:val="clear" w:fill="FFFFFF"/>
              </w:rPr>
            </w:pPr>
            <w:r>
              <w:rPr>
                <w:rFonts w:hint="default" w:ascii="Times New Roman" w:hAnsi="Times New Roman" w:eastAsia="宋体" w:cs="Times New Roman"/>
                <w:b w:val="0"/>
                <w:bCs w:val="0"/>
                <w:i w:val="0"/>
                <w:iCs w:val="0"/>
                <w:caps w:val="0"/>
                <w:color w:val="0F1115"/>
                <w:spacing w:val="0"/>
                <w:sz w:val="24"/>
                <w:szCs w:val="24"/>
                <w:shd w:val="clear" w:fill="FFFFFF"/>
              </w:rPr>
              <w:t>研判报告对华能湖南岳阳发电有限责任公司90万吨/年粉煤灰分级综合利用项目进行了生态环境分区管控符合性研判。项目涉及1个管控单元（云溪区/路口镇/松杨湖街道/云溪街道/长岭街道管控单元，ZH43060320001），研判结论为：发现问题项0个，注意项4个，符合项0个，无关项15个。</w:t>
            </w:r>
            <w:r>
              <w:rPr>
                <w:rFonts w:hint="default" w:ascii="Times New Roman" w:hAnsi="Times New Roman" w:eastAsia="宋体" w:cs="Times New Roman"/>
                <w:i w:val="0"/>
                <w:iCs w:val="0"/>
                <w:caps w:val="0"/>
                <w:color w:val="0F1115"/>
                <w:spacing w:val="0"/>
                <w:sz w:val="24"/>
                <w:szCs w:val="24"/>
                <w:shd w:val="clear" w:fill="FFFFFF"/>
              </w:rPr>
              <w:t>根据湖南省生态环境分区管控数据应用系统出具的《项目研判分析结果报告》</w:t>
            </w:r>
            <w:r>
              <w:rPr>
                <w:rFonts w:hint="eastAsia" w:ascii="Times New Roman" w:hAnsi="Times New Roman" w:eastAsia="宋体" w:cs="Times New Roman"/>
                <w:i w:val="0"/>
                <w:iCs w:val="0"/>
                <w:caps w:val="0"/>
                <w:color w:val="0F1115"/>
                <w:spacing w:val="0"/>
                <w:sz w:val="24"/>
                <w:szCs w:val="24"/>
                <w:shd w:val="clear" w:fill="FFFFFF"/>
                <w:lang w:eastAsia="zh-CN"/>
              </w:rPr>
              <w:t>，</w:t>
            </w:r>
            <w:r>
              <w:rPr>
                <w:rFonts w:hint="default" w:ascii="Times New Roman" w:hAnsi="Times New Roman" w:eastAsia="宋体" w:cs="Times New Roman"/>
                <w:i w:val="0"/>
                <w:iCs w:val="0"/>
                <w:caps w:val="0"/>
                <w:color w:val="0F1115"/>
                <w:spacing w:val="0"/>
                <w:sz w:val="24"/>
                <w:szCs w:val="24"/>
                <w:shd w:val="clear" w:fill="FFFFFF"/>
              </w:rPr>
              <w:t>研判报告结论与本环评报告相关内容的符合性分析如下：</w:t>
            </w:r>
          </w:p>
          <w:p w14:paraId="764955D6">
            <w:pPr>
              <w:keepNext w:val="0"/>
              <w:keepLines w:val="0"/>
              <w:pageBreakBefore w:val="0"/>
              <w:widowControl/>
              <w:numPr>
                <w:ilvl w:val="0"/>
                <w:numId w:val="0"/>
              </w:numPr>
              <w:kinsoku/>
              <w:wordWrap/>
              <w:overflowPunct/>
              <w:topLinePunct w:val="0"/>
              <w:autoSpaceDE w:val="0"/>
              <w:autoSpaceDN w:val="0"/>
              <w:bidi w:val="0"/>
              <w:adjustRightInd w:val="0"/>
              <w:snapToGrid w:val="0"/>
              <w:ind w:leftChars="0" w:firstLine="480" w:firstLineChars="200"/>
              <w:jc w:val="both"/>
              <w:textAlignment w:val="auto"/>
              <w:rPr>
                <w:rFonts w:hint="default" w:ascii="Times New Roman" w:hAnsi="Times New Roman" w:eastAsia="宋体" w:cs="Times New Roman"/>
                <w:i w:val="0"/>
                <w:iCs w:val="0"/>
                <w:caps w:val="0"/>
                <w:color w:val="0F1115"/>
                <w:spacing w:val="0"/>
                <w:sz w:val="24"/>
                <w:szCs w:val="24"/>
                <w:shd w:val="clear" w:fill="FFFFFF"/>
              </w:rPr>
            </w:pPr>
          </w:p>
          <w:p w14:paraId="59828C4F">
            <w:pPr>
              <w:widowControl w:val="0"/>
              <w:numPr>
                <w:ilvl w:val="0"/>
                <w:numId w:val="9"/>
              </w:numPr>
              <w:autoSpaceDE/>
              <w:autoSpaceDN/>
              <w:adjustRightInd/>
              <w:snapToGrid/>
              <w:spacing w:line="240" w:lineRule="auto"/>
              <w:ind w:left="0" w:firstLine="482" w:firstLineChars="200"/>
              <w:jc w:val="center"/>
              <w:rPr>
                <w:rFonts w:hint="default"/>
                <w:b/>
                <w:bCs/>
                <w:lang w:val="en-US" w:eastAsia="zh-CN"/>
              </w:rPr>
            </w:pPr>
            <w:r>
              <w:rPr>
                <w:rFonts w:hint="eastAsia"/>
                <w:b/>
                <w:bCs/>
                <w:lang w:val="en-US" w:eastAsia="zh-CN"/>
              </w:rPr>
              <w:t>与项目研判分析结果报告符合性分析一览表</w:t>
            </w:r>
          </w:p>
          <w:tbl>
            <w:tblPr>
              <w:tblStyle w:val="32"/>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4000"/>
              <w:gridCol w:w="1919"/>
              <w:gridCol w:w="1018"/>
            </w:tblGrid>
            <w:tr w14:paraId="2E5845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tcBorders>
                    <w:tl2br w:val="nil"/>
                    <w:tr2bl w:val="nil"/>
                  </w:tcBorders>
                  <w:vAlign w:val="center"/>
                </w:tcPr>
                <w:p w14:paraId="5D811DA0">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文件</w:t>
                  </w:r>
                </w:p>
              </w:tc>
              <w:tc>
                <w:tcPr>
                  <w:tcW w:w="4000" w:type="dxa"/>
                  <w:tcBorders>
                    <w:tl2br w:val="nil"/>
                    <w:tr2bl w:val="nil"/>
                  </w:tcBorders>
                  <w:vAlign w:val="center"/>
                </w:tcPr>
                <w:p w14:paraId="29F65DC9">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内容或要求</w:t>
                  </w:r>
                </w:p>
              </w:tc>
              <w:tc>
                <w:tcPr>
                  <w:tcW w:w="1919" w:type="dxa"/>
                  <w:tcBorders>
                    <w:tl2br w:val="nil"/>
                    <w:tr2bl w:val="nil"/>
                  </w:tcBorders>
                  <w:vAlign w:val="center"/>
                </w:tcPr>
                <w:p w14:paraId="384C3BF2">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本项目情况</w:t>
                  </w:r>
                </w:p>
              </w:tc>
              <w:tc>
                <w:tcPr>
                  <w:tcW w:w="1018" w:type="dxa"/>
                  <w:tcBorders>
                    <w:tl2br w:val="nil"/>
                    <w:tr2bl w:val="nil"/>
                  </w:tcBorders>
                  <w:vAlign w:val="center"/>
                </w:tcPr>
                <w:p w14:paraId="0DDEBF54">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相符性</w:t>
                  </w:r>
                </w:p>
              </w:tc>
            </w:tr>
            <w:tr w14:paraId="4D0BF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restart"/>
                  <w:tcBorders>
                    <w:tl2br w:val="nil"/>
                    <w:tr2bl w:val="nil"/>
                  </w:tcBorders>
                  <w:vAlign w:val="center"/>
                </w:tcPr>
                <w:p w14:paraId="2780157F">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sz w:val="21"/>
                      <w:szCs w:val="21"/>
                      <w:lang w:eastAsia="zh-CN"/>
                    </w:rPr>
                    <w:t>《</w:t>
                  </w:r>
                  <w:r>
                    <w:rPr>
                      <w:rFonts w:hint="eastAsia"/>
                      <w:sz w:val="21"/>
                      <w:szCs w:val="21"/>
                      <w:lang w:val="en-US" w:eastAsia="zh-CN"/>
                    </w:rPr>
                    <w:t>华能湖南岳阳发电有限责任公司90万吨/年粉煤灰分级综合利用项目项目研判分析结果报告</w:t>
                  </w:r>
                  <w:r>
                    <w:rPr>
                      <w:rFonts w:hint="eastAsia"/>
                      <w:sz w:val="21"/>
                      <w:szCs w:val="21"/>
                      <w:lang w:eastAsia="zh-CN"/>
                    </w:rPr>
                    <w:t>》</w:t>
                  </w:r>
                </w:p>
              </w:tc>
              <w:tc>
                <w:tcPr>
                  <w:tcW w:w="4000" w:type="dxa"/>
                  <w:tcBorders>
                    <w:tl2br w:val="nil"/>
                    <w:tr2bl w:val="nil"/>
                  </w:tcBorders>
                  <w:vAlign w:val="center"/>
                </w:tcPr>
                <w:p w14:paraId="2E58583E">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Chars="0" w:right="0" w:rightChars="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（二）污染物排放管控</w:t>
                  </w:r>
                </w:p>
                <w:p w14:paraId="34631BB9">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Chars="0" w:right="0" w:rightChars="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（2.1）废水</w:t>
                  </w:r>
                </w:p>
                <w:p w14:paraId="25B0B972">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Chars="0" w:right="0" w:rightChars="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（2.1.1）按照一河（湖）一策的要求，深入推进云溪河、松杨湖、撇洪河等重点呵护的系统治理</w:t>
                  </w:r>
                </w:p>
                <w:p w14:paraId="0094950E">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Chars="0" w:right="0" w:rightChars="0"/>
                    <w:jc w:val="both"/>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（2.1.2）深入推进入河排污口整治，按照一口一策原则研究制定整治方案并推动实施。持续开展河湖岸线生态修护，巩固小水电清理整改成果，认证实施十年禁渔，有效恢复水生生物多样性。</w:t>
                  </w:r>
                </w:p>
              </w:tc>
              <w:tc>
                <w:tcPr>
                  <w:tcW w:w="1919" w:type="dxa"/>
                  <w:tcBorders>
                    <w:tl2br w:val="nil"/>
                    <w:tr2bl w:val="nil"/>
                  </w:tcBorders>
                  <w:vAlign w:val="center"/>
                </w:tcPr>
                <w:p w14:paraId="5FA69CD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420" w:firstLineChars="200"/>
                    <w:jc w:val="both"/>
                    <w:textAlignment w:val="auto"/>
                    <w:rPr>
                      <w:rFonts w:hint="default" w:ascii="Times New Roman" w:hAnsi="Times New Roman" w:eastAsia="宋体" w:cs="Times New Roman"/>
                      <w:i w:val="0"/>
                      <w:iCs w:val="0"/>
                      <w:caps w:val="0"/>
                      <w:color w:val="0F1115"/>
                      <w:spacing w:val="0"/>
                      <w:sz w:val="21"/>
                      <w:szCs w:val="21"/>
                      <w:shd w:val="clear" w:fill="FFFFFF"/>
                      <w:lang w:eastAsia="zh-CN"/>
                    </w:rPr>
                  </w:pPr>
                  <w:r>
                    <w:rPr>
                      <w:rFonts w:hint="default" w:ascii="Times New Roman" w:hAnsi="Times New Roman" w:eastAsia="宋体" w:cs="Times New Roman"/>
                      <w:i w:val="0"/>
                      <w:iCs w:val="0"/>
                      <w:caps w:val="0"/>
                      <w:color w:val="0F1115"/>
                      <w:spacing w:val="0"/>
                      <w:sz w:val="21"/>
                      <w:szCs w:val="21"/>
                      <w:shd w:val="clear" w:fill="FFFFFF"/>
                    </w:rPr>
                    <w:t>本项目无废水外排。地面冲洗废水和车辆冲洗废水经沉淀池收集后回用；石膏旋流器产生的溢流液返回吸收塔复用；项目不新增废水排放口，不向云溪河、松杨湖等水体排放废水，符合河湖系统治理的管控要求</w:t>
                  </w:r>
                  <w:r>
                    <w:rPr>
                      <w:rFonts w:hint="default" w:ascii="Times New Roman" w:hAnsi="Times New Roman" w:eastAsia="宋体" w:cs="Times New Roman"/>
                      <w:i w:val="0"/>
                      <w:iCs w:val="0"/>
                      <w:caps w:val="0"/>
                      <w:color w:val="0F1115"/>
                      <w:spacing w:val="0"/>
                      <w:sz w:val="21"/>
                      <w:szCs w:val="21"/>
                      <w:shd w:val="clear" w:fill="FFFFFF"/>
                      <w:lang w:eastAsia="zh-CN"/>
                    </w:rPr>
                    <w:t>。</w:t>
                  </w:r>
                </w:p>
                <w:p w14:paraId="77DA5E9D">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420" w:firstLineChars="200"/>
                    <w:jc w:val="both"/>
                    <w:textAlignment w:val="auto"/>
                    <w:rPr>
                      <w:rFonts w:hint="eastAsia" w:ascii="Segoe UI" w:hAnsi="Segoe UI" w:eastAsia="宋体" w:cs="Segoe UI"/>
                      <w:i w:val="0"/>
                      <w:iCs w:val="0"/>
                      <w:caps w:val="0"/>
                      <w:color w:val="0F1115"/>
                      <w:spacing w:val="0"/>
                      <w:sz w:val="22"/>
                      <w:szCs w:val="22"/>
                      <w:shd w:val="clear" w:fill="FFFFFF"/>
                      <w:lang w:val="en-US" w:eastAsia="zh-CN"/>
                    </w:rPr>
                  </w:pPr>
                  <w:r>
                    <w:rPr>
                      <w:rFonts w:hint="default" w:ascii="Times New Roman" w:hAnsi="Times New Roman" w:eastAsia="宋体" w:cs="Times New Roman"/>
                      <w:i w:val="0"/>
                      <w:iCs w:val="0"/>
                      <w:caps w:val="0"/>
                      <w:color w:val="0F1115"/>
                      <w:spacing w:val="0"/>
                      <w:sz w:val="21"/>
                      <w:szCs w:val="21"/>
                      <w:shd w:val="clear" w:fill="FFFFFF"/>
                    </w:rPr>
                    <w:t>本项目为技改项目，不新增废水排放口。厂区雨水排放依托现有雨水排放口（一期、三期雨水排入长江，二期雨水排入芭蕉湖）。本项目不涉及入河排污口的新建或改扩建，符合入河排污口整治相关要求</w:t>
                  </w:r>
                  <w:r>
                    <w:rPr>
                      <w:rFonts w:hint="default" w:ascii="Times New Roman" w:hAnsi="Times New Roman" w:eastAsia="宋体" w:cs="Times New Roman"/>
                      <w:i w:val="0"/>
                      <w:iCs w:val="0"/>
                      <w:caps w:val="0"/>
                      <w:color w:val="0F1115"/>
                      <w:spacing w:val="0"/>
                      <w:sz w:val="21"/>
                      <w:szCs w:val="21"/>
                      <w:shd w:val="clear" w:fill="FFFFFF"/>
                      <w:lang w:eastAsia="zh-CN"/>
                    </w:rPr>
                    <w:t>。</w:t>
                  </w:r>
                </w:p>
              </w:tc>
              <w:tc>
                <w:tcPr>
                  <w:tcW w:w="1018" w:type="dxa"/>
                  <w:tcBorders>
                    <w:tl2br w:val="nil"/>
                    <w:tr2bl w:val="nil"/>
                  </w:tcBorders>
                  <w:vAlign w:val="center"/>
                </w:tcPr>
                <w:p w14:paraId="0DD3930F">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符合</w:t>
                  </w:r>
                </w:p>
              </w:tc>
            </w:tr>
            <w:tr w14:paraId="24448B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27420195">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4000" w:type="dxa"/>
                  <w:tcBorders>
                    <w:tl2br w:val="nil"/>
                    <w:tr2bl w:val="nil"/>
                  </w:tcBorders>
                  <w:vAlign w:val="center"/>
                </w:tcPr>
                <w:p w14:paraId="547A35CA">
                  <w:pPr>
                    <w:keepNext w:val="0"/>
                    <w:keepLines w:val="0"/>
                    <w:pageBreakBefore w:val="0"/>
                    <w:widowControl/>
                    <w:numPr>
                      <w:ilvl w:val="0"/>
                      <w:numId w:val="11"/>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资源开发效率要求</w:t>
                  </w:r>
                </w:p>
                <w:p w14:paraId="27665D05">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Chars="0" w:right="0" w:rightChars="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（4.2）能源：云溪区十四五时期能耗强度降低基本目标16.5%，激励目标17%。</w:t>
                  </w:r>
                </w:p>
                <w:p w14:paraId="6C0ACC78">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Chars="0" w:right="0" w:rightChars="0"/>
                    <w:jc w:val="both"/>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4.3）土地资源：云溪区耕地保有量63.07平方千米，永久基本农田保护面积44.68平方千米，生态保护红线面积30.22平方千米，城镇开发边界86.61平方千米。高新区执行规划和规划环评及其审查意见的相关要求；涉及到高新区调规的应依法开展规划环评。</w:t>
                  </w:r>
                </w:p>
              </w:tc>
              <w:tc>
                <w:tcPr>
                  <w:tcW w:w="1919" w:type="dxa"/>
                  <w:tcBorders>
                    <w:tl2br w:val="nil"/>
                    <w:tr2bl w:val="nil"/>
                  </w:tcBorders>
                  <w:vAlign w:val="center"/>
                </w:tcPr>
                <w:p w14:paraId="533ECF1D">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default" w:ascii="Times New Roman" w:hAnsi="Times New Roman" w:eastAsia="宋体" w:cs="Times New Roman"/>
                      <w:i w:val="0"/>
                      <w:iCs w:val="0"/>
                      <w:caps w:val="0"/>
                      <w:color w:val="0F1115"/>
                      <w:spacing w:val="0"/>
                      <w:sz w:val="21"/>
                      <w:szCs w:val="21"/>
                      <w:shd w:val="clear" w:fill="FFFFFF"/>
                      <w:lang w:eastAsia="zh-CN"/>
                    </w:rPr>
                  </w:pPr>
                  <w:r>
                    <w:rPr>
                      <w:rFonts w:hint="default" w:ascii="Times New Roman" w:hAnsi="Times New Roman" w:eastAsia="宋体" w:cs="Times New Roman"/>
                      <w:i w:val="0"/>
                      <w:iCs w:val="0"/>
                      <w:caps w:val="0"/>
                      <w:color w:val="0F1115"/>
                      <w:spacing w:val="0"/>
                      <w:sz w:val="21"/>
                      <w:szCs w:val="21"/>
                      <w:shd w:val="clear" w:fill="FFFFFF"/>
                    </w:rPr>
                    <w:t>本项目主要能耗为电力（220万kW·h/a），由电厂厂区供电，不涉及煤炭等高污染燃料消耗。项目年用电量占区域能源消费总量比例极小，符合云溪区能耗强度降低目标的相关要求</w:t>
                  </w:r>
                  <w:r>
                    <w:rPr>
                      <w:rFonts w:hint="default" w:ascii="Times New Roman" w:hAnsi="Times New Roman" w:eastAsia="宋体" w:cs="Times New Roman"/>
                      <w:i w:val="0"/>
                      <w:iCs w:val="0"/>
                      <w:caps w:val="0"/>
                      <w:color w:val="0F1115"/>
                      <w:spacing w:val="0"/>
                      <w:sz w:val="21"/>
                      <w:szCs w:val="21"/>
                      <w:shd w:val="clear" w:fill="FFFFFF"/>
                      <w:lang w:eastAsia="zh-CN"/>
                    </w:rPr>
                    <w:t>。</w:t>
                  </w:r>
                </w:p>
                <w:p w14:paraId="123C8B70">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eastAsia" w:ascii="Segoe UI" w:hAnsi="Segoe UI" w:eastAsia="宋体" w:cs="Segoe UI"/>
                      <w:i w:val="0"/>
                      <w:iCs w:val="0"/>
                      <w:caps w:val="0"/>
                      <w:color w:val="0F1115"/>
                      <w:spacing w:val="0"/>
                      <w:sz w:val="22"/>
                      <w:szCs w:val="22"/>
                      <w:shd w:val="clear" w:fill="FFFFFF"/>
                      <w:lang w:val="en-US" w:eastAsia="zh-CN"/>
                    </w:rPr>
                  </w:pPr>
                  <w:r>
                    <w:rPr>
                      <w:rFonts w:hint="default" w:ascii="Times New Roman" w:hAnsi="Times New Roman" w:eastAsia="宋体" w:cs="Times New Roman"/>
                      <w:i w:val="0"/>
                      <w:iCs w:val="0"/>
                      <w:caps w:val="0"/>
                      <w:color w:val="0F1115"/>
                      <w:spacing w:val="0"/>
                      <w:sz w:val="21"/>
                      <w:szCs w:val="21"/>
                      <w:shd w:val="clear" w:fill="FFFFFF"/>
                    </w:rPr>
                    <w:t>本项目位于华能湖南岳阳发电有限责任公司现有厂区内，不新增用地，不占用耕地、永久基本农田和生态保护红线。项目选址位于现有工业用地范围内，符合土地资源管控要求</w:t>
                  </w:r>
                </w:p>
              </w:tc>
              <w:tc>
                <w:tcPr>
                  <w:tcW w:w="1018" w:type="dxa"/>
                  <w:tcBorders>
                    <w:tl2br w:val="nil"/>
                    <w:tr2bl w:val="nil"/>
                  </w:tcBorders>
                  <w:vAlign w:val="center"/>
                </w:tcPr>
                <w:p w14:paraId="3EF71A61">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符合</w:t>
                  </w:r>
                </w:p>
              </w:tc>
            </w:tr>
          </w:tbl>
          <w:p w14:paraId="6CE24DFE">
            <w:pPr>
              <w:keepNext w:val="0"/>
              <w:keepLines w:val="0"/>
              <w:pageBreakBefore w:val="0"/>
              <w:widowControl/>
              <w:numPr>
                <w:ilvl w:val="0"/>
                <w:numId w:val="0"/>
              </w:numPr>
              <w:kinsoku/>
              <w:wordWrap/>
              <w:overflowPunct/>
              <w:topLinePunct w:val="0"/>
              <w:autoSpaceDE w:val="0"/>
              <w:autoSpaceDN w:val="0"/>
              <w:bidi w:val="0"/>
              <w:adjustRightInd w:val="0"/>
              <w:snapToGrid w:val="0"/>
              <w:spacing w:before="164" w:beforeLines="50"/>
              <w:ind w:leftChars="0" w:firstLine="480" w:firstLineChars="200"/>
              <w:jc w:val="left"/>
              <w:textAlignment w:val="auto"/>
              <w:rPr>
                <w:rFonts w:hint="default" w:ascii="Times New Roman" w:hAnsi="Times New Roman" w:eastAsia="宋体" w:cs="Times New Roman"/>
                <w:b w:val="0"/>
                <w:bCs w:val="0"/>
                <w:i w:val="0"/>
                <w:iCs w:val="0"/>
                <w:caps w:val="0"/>
                <w:color w:val="0F1115"/>
                <w:spacing w:val="0"/>
                <w:sz w:val="24"/>
                <w:szCs w:val="24"/>
                <w:shd w:val="clear" w:fill="FFFFFF"/>
              </w:rPr>
            </w:pPr>
            <w:r>
              <w:rPr>
                <w:rFonts w:hint="default" w:ascii="Times New Roman" w:hAnsi="Times New Roman" w:eastAsia="宋体" w:cs="Times New Roman"/>
                <w:b w:val="0"/>
                <w:bCs w:val="0"/>
                <w:i w:val="0"/>
                <w:iCs w:val="0"/>
                <w:caps w:val="0"/>
                <w:color w:val="0F1115"/>
                <w:spacing w:val="0"/>
                <w:sz w:val="24"/>
                <w:szCs w:val="24"/>
                <w:shd w:val="clear" w:fill="FFFFFF"/>
              </w:rPr>
              <w:t>综上，本环评报告与项目研判分析结果报告无实质冲突，研判报告提出的注意项均已在本报告中进行了充分核实与论证。</w:t>
            </w:r>
          </w:p>
          <w:p w14:paraId="7C50197F">
            <w:pPr>
              <w:numPr>
                <w:ilvl w:val="0"/>
                <w:numId w:val="10"/>
              </w:numPr>
              <w:autoSpaceDE w:val="0"/>
              <w:autoSpaceDN w:val="0"/>
              <w:adjustRightInd w:val="0"/>
              <w:snapToGrid w:val="0"/>
              <w:ind w:left="0" w:firstLine="0" w:firstLineChars="0"/>
              <w:jc w:val="left"/>
              <w:rPr>
                <w:b/>
                <w:bCs/>
                <w:highlight w:val="none"/>
              </w:rPr>
            </w:pPr>
            <w:r>
              <w:rPr>
                <w:rFonts w:hint="eastAsia"/>
                <w:b/>
                <w:bCs/>
                <w:highlight w:val="none"/>
                <w:lang w:val="en-US" w:eastAsia="zh-CN"/>
              </w:rPr>
              <w:t>与《湖南省空气质量持续改善行动计划实施方案》的符合性分析</w:t>
            </w:r>
          </w:p>
          <w:p w14:paraId="76F33BD7">
            <w:pPr>
              <w:numPr>
                <w:ilvl w:val="-1"/>
                <w:numId w:val="0"/>
              </w:numPr>
              <w:autoSpaceDE/>
              <w:autoSpaceDN/>
              <w:adjustRightInd w:val="0"/>
              <w:snapToGrid w:val="0"/>
              <w:ind w:left="0" w:firstLine="480" w:firstLineChars="200"/>
              <w:jc w:val="left"/>
              <w:rPr>
                <w:rFonts w:hint="eastAsia"/>
              </w:rPr>
            </w:pPr>
            <w:r>
              <w:rPr>
                <w:rFonts w:hint="eastAsia"/>
              </w:rPr>
              <w:t>本项目与《湖南省空气质量持续改善行动计划实施方案》相关要求的符合性分析见下表。</w:t>
            </w:r>
          </w:p>
          <w:p w14:paraId="3AB6E0CE">
            <w:pPr>
              <w:widowControl w:val="0"/>
              <w:numPr>
                <w:ilvl w:val="0"/>
                <w:numId w:val="9"/>
              </w:numPr>
              <w:autoSpaceDE/>
              <w:autoSpaceDN/>
              <w:adjustRightInd/>
              <w:snapToGrid/>
              <w:spacing w:line="240" w:lineRule="auto"/>
              <w:ind w:left="0" w:firstLine="482" w:firstLineChars="200"/>
              <w:jc w:val="center"/>
              <w:rPr>
                <w:rFonts w:hint="eastAsia"/>
                <w:b/>
                <w:bCs/>
              </w:rPr>
            </w:pPr>
            <w:r>
              <w:rPr>
                <w:rFonts w:hint="eastAsia"/>
                <w:b/>
                <w:bCs/>
                <w:lang w:val="en-US" w:eastAsia="zh-CN"/>
              </w:rPr>
              <w:t>与</w:t>
            </w:r>
            <w:r>
              <w:rPr>
                <w:rFonts w:hint="eastAsia"/>
                <w:b/>
                <w:bCs/>
                <w:highlight w:val="none"/>
                <w:lang w:val="en-US" w:eastAsia="zh-CN"/>
              </w:rPr>
              <w:t>《湖南省空气质量持续改善行动计划实施方案》的符合性分析表</w:t>
            </w:r>
          </w:p>
          <w:tbl>
            <w:tblPr>
              <w:tblStyle w:val="32"/>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4000"/>
              <w:gridCol w:w="1919"/>
              <w:gridCol w:w="1018"/>
            </w:tblGrid>
            <w:tr w14:paraId="56CEF5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tcBorders>
                    <w:tl2br w:val="nil"/>
                    <w:tr2bl w:val="nil"/>
                  </w:tcBorders>
                  <w:vAlign w:val="center"/>
                </w:tcPr>
                <w:p w14:paraId="6EB2EFAB">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文件</w:t>
                  </w:r>
                </w:p>
              </w:tc>
              <w:tc>
                <w:tcPr>
                  <w:tcW w:w="4000" w:type="dxa"/>
                  <w:tcBorders>
                    <w:tl2br w:val="nil"/>
                    <w:tr2bl w:val="nil"/>
                  </w:tcBorders>
                  <w:vAlign w:val="center"/>
                </w:tcPr>
                <w:p w14:paraId="3BA88E05">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内容或要求</w:t>
                  </w:r>
                </w:p>
              </w:tc>
              <w:tc>
                <w:tcPr>
                  <w:tcW w:w="1919" w:type="dxa"/>
                  <w:tcBorders>
                    <w:tl2br w:val="nil"/>
                    <w:tr2bl w:val="nil"/>
                  </w:tcBorders>
                  <w:vAlign w:val="center"/>
                </w:tcPr>
                <w:p w14:paraId="5E7AB2C4">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本项目情况</w:t>
                  </w:r>
                </w:p>
              </w:tc>
              <w:tc>
                <w:tcPr>
                  <w:tcW w:w="1018" w:type="dxa"/>
                  <w:tcBorders>
                    <w:tl2br w:val="nil"/>
                    <w:tr2bl w:val="nil"/>
                  </w:tcBorders>
                  <w:vAlign w:val="center"/>
                </w:tcPr>
                <w:p w14:paraId="4D688B3B">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相符性</w:t>
                  </w:r>
                </w:p>
              </w:tc>
            </w:tr>
            <w:tr w14:paraId="2DCAE0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restart"/>
                  <w:tcBorders>
                    <w:tl2br w:val="nil"/>
                    <w:tr2bl w:val="nil"/>
                  </w:tcBorders>
                  <w:vAlign w:val="center"/>
                </w:tcPr>
                <w:p w14:paraId="5244002A">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sz w:val="21"/>
                      <w:szCs w:val="21"/>
                      <w:lang w:eastAsia="zh-CN"/>
                    </w:rPr>
                    <w:t>《</w:t>
                  </w:r>
                  <w:r>
                    <w:rPr>
                      <w:rFonts w:hint="eastAsia"/>
                      <w:sz w:val="21"/>
                      <w:szCs w:val="21"/>
                    </w:rPr>
                    <w:t>湖南省空气质量持续改善行动计划实施方案</w:t>
                  </w:r>
                  <w:r>
                    <w:rPr>
                      <w:rFonts w:hint="eastAsia"/>
                      <w:sz w:val="21"/>
                      <w:szCs w:val="21"/>
                      <w:lang w:eastAsia="zh-CN"/>
                    </w:rPr>
                    <w:t>》</w:t>
                  </w:r>
                </w:p>
              </w:tc>
              <w:tc>
                <w:tcPr>
                  <w:tcW w:w="4000" w:type="dxa"/>
                  <w:tcBorders>
                    <w:tl2br w:val="nil"/>
                    <w:tr2bl w:val="nil"/>
                  </w:tcBorders>
                  <w:vAlign w:val="center"/>
                </w:tcPr>
                <w:p w14:paraId="230C1C10">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bCs/>
                      <w:sz w:val="21"/>
                      <w:szCs w:val="21"/>
                      <w:highlight w:val="none"/>
                      <w:u w:val="none"/>
                      <w:vertAlign w:val="baseline"/>
                      <w:lang w:val="en-US" w:eastAsia="zh-CN"/>
                    </w:rPr>
                    <w:t xml:space="preserve">一、总体要求 </w:t>
                  </w:r>
                  <w:r>
                    <w:rPr>
                      <w:rFonts w:hint="eastAsia"/>
                      <w:b w:val="0"/>
                      <w:bCs w:val="0"/>
                      <w:sz w:val="21"/>
                      <w:szCs w:val="21"/>
                      <w:highlight w:val="none"/>
                      <w:u w:val="none"/>
                      <w:vertAlign w:val="baseline"/>
                      <w:lang w:val="en-US" w:eastAsia="zh-CN"/>
                    </w:rPr>
                    <w:t>坚持以习近平新时代中国特色社会主义思想为指导，全面贯彻党的二十大和二十届三中全会精神，以降低细颗粒物（PM2.5）浓度为主线，以氮氧化物和挥发性有机物（VOCs）减排为抓手，强化源头防控，突出系统治污，完成国家下达的空气质量指标和主要污染物总量减排任务，推动空气质量持续改善，到2025年，11个以上市州PM2.5浓度达标，全省PM2.5浓度力争控制在32微克/立方米内。</w:t>
                  </w:r>
                </w:p>
              </w:tc>
              <w:tc>
                <w:tcPr>
                  <w:tcW w:w="1919" w:type="dxa"/>
                  <w:tcBorders>
                    <w:tl2br w:val="nil"/>
                    <w:tr2bl w:val="nil"/>
                  </w:tcBorders>
                  <w:vAlign w:val="center"/>
                </w:tcPr>
                <w:p w14:paraId="4344B880">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420" w:firstLineChars="20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本项目为固体废物治理项目，运营期主要废气污染物为颗粒物（粉尘），不涉及氮氧化物和VOCs排放。项目废气经仓顶脉冲布袋除尘器、侧抽模块化除尘器处理后达标排放，装车废气经散装机布袋除尘器处理后达标排放，符合“强化源头防控、突出系统治污”的总体要求。</w:t>
                  </w:r>
                </w:p>
              </w:tc>
              <w:tc>
                <w:tcPr>
                  <w:tcW w:w="1018" w:type="dxa"/>
                  <w:tcBorders>
                    <w:tl2br w:val="nil"/>
                    <w:tr2bl w:val="nil"/>
                  </w:tcBorders>
                  <w:vAlign w:val="center"/>
                </w:tcPr>
                <w:p w14:paraId="1979EF0E">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符合</w:t>
                  </w:r>
                </w:p>
              </w:tc>
            </w:tr>
            <w:tr w14:paraId="31C3D1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3F8EA5E0">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p>
              </w:tc>
              <w:tc>
                <w:tcPr>
                  <w:tcW w:w="5919" w:type="dxa"/>
                  <w:gridSpan w:val="2"/>
                  <w:tcBorders>
                    <w:tl2br w:val="nil"/>
                    <w:tr2bl w:val="nil"/>
                  </w:tcBorders>
                  <w:vAlign w:val="center"/>
                </w:tcPr>
                <w:p w14:paraId="4E4A1833">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default"/>
                      <w:b w:val="0"/>
                      <w:bCs w:val="0"/>
                      <w:sz w:val="21"/>
                      <w:szCs w:val="21"/>
                      <w:highlight w:val="none"/>
                      <w:u w:val="none"/>
                      <w:vertAlign w:val="baseline"/>
                      <w:lang w:val="en-US" w:eastAsia="zh-CN"/>
                    </w:rPr>
                  </w:pPr>
                  <w:r>
                    <w:rPr>
                      <w:rFonts w:hint="eastAsia"/>
                      <w:b/>
                      <w:bCs/>
                      <w:sz w:val="21"/>
                      <w:szCs w:val="21"/>
                      <w:highlight w:val="none"/>
                      <w:u w:val="none"/>
                      <w:vertAlign w:val="baseline"/>
                      <w:lang w:val="en-US" w:eastAsia="zh-CN"/>
                    </w:rPr>
                    <w:t>二、推动产业结构优化升级</w:t>
                  </w:r>
                </w:p>
              </w:tc>
              <w:tc>
                <w:tcPr>
                  <w:tcW w:w="1018" w:type="dxa"/>
                  <w:vMerge w:val="restart"/>
                  <w:tcBorders>
                    <w:tl2br w:val="nil"/>
                    <w:tr2bl w:val="nil"/>
                  </w:tcBorders>
                  <w:vAlign w:val="center"/>
                </w:tcPr>
                <w:p w14:paraId="32252D86">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符合</w:t>
                  </w:r>
                </w:p>
              </w:tc>
            </w:tr>
            <w:tr w14:paraId="2C488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7EB293E1">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4000" w:type="dxa"/>
                  <w:tcBorders>
                    <w:tl2br w:val="nil"/>
                    <w:tr2bl w:val="nil"/>
                  </w:tcBorders>
                  <w:vAlign w:val="center"/>
                </w:tcPr>
                <w:p w14:paraId="296E7567">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default"/>
                      <w:b w:val="0"/>
                      <w:bCs w:val="0"/>
                      <w:sz w:val="21"/>
                      <w:szCs w:val="21"/>
                      <w:highlight w:val="none"/>
                      <w:u w:val="none"/>
                      <w:vertAlign w:val="baseline"/>
                      <w:lang w:val="en-US" w:eastAsia="zh-CN"/>
                    </w:rPr>
                  </w:pPr>
                  <w:r>
                    <w:rPr>
                      <w:rFonts w:hint="eastAsia"/>
                      <w:b/>
                      <w:bCs/>
                      <w:sz w:val="21"/>
                      <w:szCs w:val="21"/>
                      <w:highlight w:val="none"/>
                      <w:u w:val="none"/>
                      <w:vertAlign w:val="baseline"/>
                      <w:lang w:val="en-US" w:eastAsia="zh-CN"/>
                    </w:rPr>
                    <w:t>（一）加强“两高”项目管理。</w:t>
                  </w:r>
                  <w:r>
                    <w:rPr>
                      <w:rFonts w:hint="eastAsia"/>
                      <w:b w:val="0"/>
                      <w:bCs w:val="0"/>
                      <w:sz w:val="21"/>
                      <w:szCs w:val="21"/>
                      <w:highlight w:val="none"/>
                      <w:u w:val="none"/>
                      <w:vertAlign w:val="baseline"/>
                      <w:lang w:val="en-US" w:eastAsia="zh-CN"/>
                    </w:rPr>
                    <w:t>新改扩建项目严格落实国家和省级产业规划、产业政策、生态环境分区管控方案、规划环评、项目环评、节能审查、产能置换、重点污染物重量控制、污染物排放区域削减、碳排放达峰目标等相关要求，原则上达到国内清洁生产先进水平、采用清洁运输方式，主要产品能达到标杆水平。涉及产能置换，能耗替代、煤耗替代和污染物总量空置的项目，被置换产能及其配套设施关停，能耗、煤耗、新增污染物总量削减替代措施落实后，新建项目方可投产。严禁新增钢铁产能，建立多元化废钢资源保障体系，持续提升钢铁工业的废钢使用量。</w:t>
                  </w:r>
                </w:p>
              </w:tc>
              <w:tc>
                <w:tcPr>
                  <w:tcW w:w="1919" w:type="dxa"/>
                  <w:tcBorders>
                    <w:tl2br w:val="nil"/>
                    <w:tr2bl w:val="nil"/>
                  </w:tcBorders>
                  <w:vAlign w:val="center"/>
                </w:tcPr>
                <w:p w14:paraId="22A6E9E2">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本项目属于“N7723固体废物治理”，根据《产业结构调整指导目录（2024年本）》属于鼓励类项目。根据湖南省发改委《关于印发〈湖南省“两高”项目管理目录〉的通知》（湘发改环资〔2021〕968号），本项目不属于“两高”项目。项目已落实生态环境分区管控要求，与《岳阳市生态环境分区管控动态更新成果（2023年版）》相符。</w:t>
                  </w:r>
                </w:p>
              </w:tc>
              <w:tc>
                <w:tcPr>
                  <w:tcW w:w="1018" w:type="dxa"/>
                  <w:vMerge w:val="continue"/>
                  <w:tcBorders>
                    <w:tl2br w:val="nil"/>
                    <w:tr2bl w:val="nil"/>
                  </w:tcBorders>
                  <w:vAlign w:val="center"/>
                </w:tcPr>
                <w:p w14:paraId="0E5F3D9C">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val="0"/>
                      <w:bCs w:val="0"/>
                      <w:sz w:val="21"/>
                      <w:szCs w:val="21"/>
                      <w:highlight w:val="none"/>
                      <w:u w:val="none"/>
                      <w:vertAlign w:val="baseline"/>
                      <w:lang w:val="en-US" w:eastAsia="zh-CN"/>
                    </w:rPr>
                  </w:pPr>
                </w:p>
              </w:tc>
            </w:tr>
            <w:tr w14:paraId="18FC17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22CFD9DF">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4000" w:type="dxa"/>
                  <w:tcBorders>
                    <w:tl2br w:val="nil"/>
                    <w:tr2bl w:val="nil"/>
                  </w:tcBorders>
                  <w:vAlign w:val="center"/>
                </w:tcPr>
                <w:p w14:paraId="13DA2DC8">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default"/>
                      <w:b w:val="0"/>
                      <w:bCs w:val="0"/>
                      <w:sz w:val="21"/>
                      <w:szCs w:val="21"/>
                      <w:highlight w:val="none"/>
                      <w:u w:val="none"/>
                      <w:vertAlign w:val="baseline"/>
                      <w:lang w:val="en-US" w:eastAsia="zh-CN"/>
                    </w:rPr>
                  </w:pPr>
                  <w:r>
                    <w:rPr>
                      <w:rFonts w:hint="eastAsia"/>
                      <w:b/>
                      <w:bCs/>
                      <w:sz w:val="21"/>
                      <w:szCs w:val="21"/>
                      <w:highlight w:val="none"/>
                      <w:u w:val="none"/>
                      <w:vertAlign w:val="baseline"/>
                      <w:lang w:val="en-US" w:eastAsia="zh-CN"/>
                    </w:rPr>
                    <w:t>（二）加快退出重点行业落后产能。</w:t>
                  </w:r>
                  <w:r>
                    <w:rPr>
                      <w:rFonts w:hint="eastAsia"/>
                      <w:b w:val="0"/>
                      <w:bCs w:val="0"/>
                      <w:sz w:val="21"/>
                      <w:szCs w:val="21"/>
                      <w:highlight w:val="none"/>
                      <w:u w:val="none"/>
                      <w:vertAlign w:val="baseline"/>
                      <w:lang w:val="en-US" w:eastAsia="zh-CN"/>
                    </w:rPr>
                    <w:t>严格执行《产业结构调整指导目录》，制定实施利用能耗、环保、质量、安全、技术等标准推动落后产能退出年度工作方案，加大重点行业落后产能淘汰力度，推动大规模设备更新，开展小型生物质锅炉清理整合。到2025年，全省砖瓦窑企业全部完成综合整治，基本完成2蒸吨/小时及以下生物质锅炉淘汰。</w:t>
                  </w:r>
                </w:p>
              </w:tc>
              <w:tc>
                <w:tcPr>
                  <w:tcW w:w="1919" w:type="dxa"/>
                  <w:tcBorders>
                    <w:tl2br w:val="nil"/>
                    <w:tr2bl w:val="nil"/>
                  </w:tcBorders>
                  <w:vAlign w:val="center"/>
                </w:tcPr>
                <w:p w14:paraId="22F42A7C">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本项目属于《产业结构调整指导目录（2024年本）》中“四十二、环境保护与资源节约综合利用”下的“10．工业‘三废’循环利用”，为鼓励类项目。项目未使用淘汰落后的生产工艺装备，未生产淘汰落后的产品，符合该条要求。</w:t>
                  </w:r>
                </w:p>
              </w:tc>
              <w:tc>
                <w:tcPr>
                  <w:tcW w:w="1018" w:type="dxa"/>
                  <w:tcBorders>
                    <w:tl2br w:val="nil"/>
                    <w:tr2bl w:val="nil"/>
                  </w:tcBorders>
                  <w:vAlign w:val="center"/>
                </w:tcPr>
                <w:p w14:paraId="6BDF936D">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符合</w:t>
                  </w:r>
                </w:p>
              </w:tc>
            </w:tr>
            <w:tr w14:paraId="76B000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5D7A4495">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4000" w:type="dxa"/>
                  <w:tcBorders>
                    <w:tl2br w:val="nil"/>
                    <w:tr2bl w:val="nil"/>
                  </w:tcBorders>
                  <w:vAlign w:val="center"/>
                </w:tcPr>
                <w:p w14:paraId="51977824">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eastAsia"/>
                      <w:b w:val="0"/>
                      <w:bCs w:val="0"/>
                      <w:sz w:val="21"/>
                      <w:szCs w:val="21"/>
                      <w:highlight w:val="none"/>
                      <w:u w:val="none"/>
                      <w:vertAlign w:val="baseline"/>
                      <w:lang w:val="en-US" w:eastAsia="zh-CN"/>
                    </w:rPr>
                  </w:pPr>
                  <w:r>
                    <w:rPr>
                      <w:rFonts w:hint="eastAsia"/>
                      <w:b/>
                      <w:bCs/>
                      <w:sz w:val="21"/>
                      <w:szCs w:val="21"/>
                      <w:highlight w:val="none"/>
                      <w:u w:val="none"/>
                      <w:vertAlign w:val="baseline"/>
                      <w:lang w:val="en-US" w:eastAsia="zh-CN"/>
                    </w:rPr>
                    <w:t>（四）推动低VOCs含量原辅材料和产品源头替代。</w:t>
                  </w:r>
                  <w:r>
                    <w:rPr>
                      <w:rFonts w:hint="eastAsia"/>
                      <w:b w:val="0"/>
                      <w:bCs w:val="0"/>
                      <w:sz w:val="21"/>
                      <w:szCs w:val="21"/>
                      <w:highlight w:val="none"/>
                      <w:u w:val="none"/>
                      <w:vertAlign w:val="baseline"/>
                      <w:lang w:val="en-US" w:eastAsia="zh-CN"/>
                    </w:rPr>
                    <w:t>严格执行VOCs含量限值标准，严格控制生产和使用高VOCs含量原辅材料建设项目。以工业涂装、包装印刷、家具制造和电子行业等为重点，指导企业制定低（无）VOCs含量原辅材料替代计划，大力推动“应替尽替”。室外构筑物防护和城市道路交通标志推广使用低（无）VOCs含量涂料。</w:t>
                  </w:r>
                </w:p>
              </w:tc>
              <w:tc>
                <w:tcPr>
                  <w:tcW w:w="1919" w:type="dxa"/>
                  <w:tcBorders>
                    <w:tl2br w:val="nil"/>
                    <w:tr2bl w:val="nil"/>
                  </w:tcBorders>
                  <w:vAlign w:val="center"/>
                </w:tcPr>
                <w:p w14:paraId="765312E0">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本项目为固体废物治理项目，不涉及VOCs排放。项目原辅材料为粉煤灰，不使用含VOCs的原辅材料</w:t>
                  </w:r>
                </w:p>
              </w:tc>
              <w:tc>
                <w:tcPr>
                  <w:tcW w:w="1018" w:type="dxa"/>
                  <w:tcBorders>
                    <w:tl2br w:val="nil"/>
                    <w:tr2bl w:val="nil"/>
                  </w:tcBorders>
                  <w:vAlign w:val="center"/>
                </w:tcPr>
                <w:p w14:paraId="7CBCBB14">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符合</w:t>
                  </w:r>
                </w:p>
              </w:tc>
            </w:tr>
            <w:tr w14:paraId="32ADF3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578C5AC7">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5919" w:type="dxa"/>
                  <w:gridSpan w:val="2"/>
                  <w:tcBorders>
                    <w:tl2br w:val="nil"/>
                    <w:tr2bl w:val="nil"/>
                  </w:tcBorders>
                  <w:vAlign w:val="center"/>
                </w:tcPr>
                <w:p w14:paraId="3290F887">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eastAsia"/>
                      <w:b w:val="0"/>
                      <w:bCs w:val="0"/>
                      <w:sz w:val="21"/>
                      <w:szCs w:val="21"/>
                      <w:highlight w:val="none"/>
                      <w:u w:val="none"/>
                      <w:vertAlign w:val="baseline"/>
                      <w:lang w:val="en-US" w:eastAsia="zh-CN"/>
                    </w:rPr>
                  </w:pPr>
                  <w:r>
                    <w:rPr>
                      <w:rFonts w:hint="eastAsia"/>
                      <w:b/>
                      <w:bCs/>
                      <w:sz w:val="21"/>
                      <w:szCs w:val="21"/>
                      <w:highlight w:val="none"/>
                      <w:u w:val="none"/>
                      <w:vertAlign w:val="baseline"/>
                      <w:lang w:val="en-US" w:eastAsia="zh-CN"/>
                    </w:rPr>
                    <w:t>三、推进能源绿色低碳转型</w:t>
                  </w:r>
                </w:p>
              </w:tc>
              <w:tc>
                <w:tcPr>
                  <w:tcW w:w="1018" w:type="dxa"/>
                  <w:vMerge w:val="restart"/>
                  <w:tcBorders>
                    <w:tl2br w:val="nil"/>
                    <w:tr2bl w:val="nil"/>
                  </w:tcBorders>
                  <w:vAlign w:val="center"/>
                </w:tcPr>
                <w:p w14:paraId="02797D36">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符合</w:t>
                  </w:r>
                </w:p>
              </w:tc>
            </w:tr>
            <w:tr w14:paraId="3A74B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2312B7DA">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4000" w:type="dxa"/>
                  <w:tcBorders>
                    <w:tl2br w:val="nil"/>
                    <w:tr2bl w:val="nil"/>
                  </w:tcBorders>
                  <w:vAlign w:val="center"/>
                </w:tcPr>
                <w:p w14:paraId="48742A83">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eastAsia"/>
                      <w:b w:val="0"/>
                      <w:bCs w:val="0"/>
                      <w:sz w:val="21"/>
                      <w:szCs w:val="21"/>
                      <w:highlight w:val="none"/>
                      <w:u w:val="none"/>
                      <w:vertAlign w:val="baseline"/>
                      <w:lang w:val="en-US" w:eastAsia="zh-CN"/>
                    </w:rPr>
                  </w:pPr>
                  <w:r>
                    <w:rPr>
                      <w:rFonts w:hint="eastAsia"/>
                      <w:b/>
                      <w:bCs/>
                      <w:sz w:val="21"/>
                      <w:szCs w:val="21"/>
                      <w:highlight w:val="none"/>
                      <w:u w:val="none"/>
                      <w:vertAlign w:val="baseline"/>
                      <w:lang w:val="en-US" w:eastAsia="zh-CN"/>
                    </w:rPr>
                    <w:t>（五）大力发展清洁低碳能源。</w:t>
                  </w:r>
                  <w:r>
                    <w:rPr>
                      <w:rFonts w:hint="eastAsia"/>
                      <w:b w:val="0"/>
                      <w:bCs w:val="0"/>
                      <w:sz w:val="21"/>
                      <w:szCs w:val="21"/>
                      <w:highlight w:val="none"/>
                      <w:u w:val="none"/>
                      <w:vertAlign w:val="baseline"/>
                      <w:lang w:val="en-US" w:eastAsia="zh-CN"/>
                    </w:rPr>
                    <w:t>加快推进“宁电入湘”和“气化湖南”工程，高水平建设“一枢纽五领先”新型电力系统，积极开拓天然气工业消费和居民商服用户市场，推进浅层地热能建筑规模化应用。到2025年，非化石能源消费占比达到25%，电能占终端能源消费比重达到24%。</w:t>
                  </w:r>
                </w:p>
              </w:tc>
              <w:tc>
                <w:tcPr>
                  <w:tcW w:w="1919" w:type="dxa"/>
                  <w:tcBorders>
                    <w:tl2br w:val="nil"/>
                    <w:tr2bl w:val="nil"/>
                  </w:tcBorders>
                  <w:vAlign w:val="center"/>
                </w:tcPr>
                <w:p w14:paraId="4302C580">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项目主要能源消耗为电力和新鲜水，不使用煤炭等高污染燃料。项目用电来源于电厂厂区供电，不属于高耗能项目，符合能源绿色低碳转型的导向要求。</w:t>
                  </w:r>
                </w:p>
              </w:tc>
              <w:tc>
                <w:tcPr>
                  <w:tcW w:w="1018" w:type="dxa"/>
                  <w:vMerge w:val="continue"/>
                  <w:tcBorders>
                    <w:tl2br w:val="nil"/>
                    <w:tr2bl w:val="nil"/>
                  </w:tcBorders>
                  <w:vAlign w:val="center"/>
                </w:tcPr>
                <w:p w14:paraId="13D16F85">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p>
              </w:tc>
            </w:tr>
            <w:tr w14:paraId="0FDFA8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045AE52B">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5919" w:type="dxa"/>
                  <w:gridSpan w:val="2"/>
                  <w:tcBorders>
                    <w:tl2br w:val="nil"/>
                    <w:tr2bl w:val="nil"/>
                  </w:tcBorders>
                  <w:vAlign w:val="center"/>
                </w:tcPr>
                <w:p w14:paraId="2603D629">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default"/>
                      <w:b w:val="0"/>
                      <w:bCs w:val="0"/>
                      <w:sz w:val="21"/>
                      <w:szCs w:val="21"/>
                      <w:highlight w:val="none"/>
                      <w:u w:val="none"/>
                      <w:vertAlign w:val="baseline"/>
                      <w:lang w:val="en-US" w:eastAsia="zh-CN"/>
                    </w:rPr>
                  </w:pPr>
                  <w:r>
                    <w:rPr>
                      <w:rFonts w:hint="eastAsia"/>
                      <w:b/>
                      <w:bCs/>
                      <w:sz w:val="21"/>
                      <w:szCs w:val="21"/>
                      <w:highlight w:val="none"/>
                      <w:u w:val="none"/>
                      <w:vertAlign w:val="baseline"/>
                      <w:lang w:val="en-US" w:eastAsia="zh-CN"/>
                    </w:rPr>
                    <w:t>四、推动大宗固体废物综合利用绿色发展</w:t>
                  </w:r>
                </w:p>
              </w:tc>
              <w:tc>
                <w:tcPr>
                  <w:tcW w:w="1018" w:type="dxa"/>
                  <w:vMerge w:val="restart"/>
                  <w:tcBorders>
                    <w:tl2br w:val="nil"/>
                    <w:tr2bl w:val="nil"/>
                  </w:tcBorders>
                  <w:vAlign w:val="center"/>
                </w:tcPr>
                <w:p w14:paraId="2095D88D">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符合</w:t>
                  </w:r>
                </w:p>
              </w:tc>
            </w:tr>
            <w:tr w14:paraId="7F324D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149E8455">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4000" w:type="dxa"/>
                  <w:tcBorders>
                    <w:tl2br w:val="nil"/>
                    <w:tr2bl w:val="nil"/>
                  </w:tcBorders>
                  <w:vAlign w:val="center"/>
                </w:tcPr>
                <w:p w14:paraId="263595EF">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default"/>
                      <w:b w:val="0"/>
                      <w:bCs w:val="0"/>
                      <w:sz w:val="21"/>
                      <w:szCs w:val="21"/>
                      <w:highlight w:val="none"/>
                      <w:u w:val="none"/>
                      <w:vertAlign w:val="baseline"/>
                      <w:lang w:val="en-US" w:eastAsia="zh-CN"/>
                    </w:rPr>
                  </w:pPr>
                  <w:r>
                    <w:rPr>
                      <w:rFonts w:hint="eastAsia"/>
                      <w:b/>
                      <w:bCs/>
                      <w:sz w:val="21"/>
                      <w:szCs w:val="21"/>
                      <w:highlight w:val="none"/>
                      <w:u w:val="none"/>
                      <w:vertAlign w:val="baseline"/>
                      <w:lang w:val="en-US" w:eastAsia="zh-CN"/>
                    </w:rPr>
                    <w:t>（九）推动大宗货物运输“公转铁、公转水”。</w:t>
                  </w:r>
                  <w:r>
                    <w:rPr>
                      <w:rFonts w:hint="eastAsia"/>
                      <w:b w:val="0"/>
                      <w:bCs w:val="0"/>
                      <w:sz w:val="21"/>
                      <w:szCs w:val="21"/>
                      <w:highlight w:val="none"/>
                      <w:u w:val="none"/>
                      <w:vertAlign w:val="baseline"/>
                      <w:lang w:val="en-US" w:eastAsia="zh-CN"/>
                    </w:rPr>
                    <w:t>扎实推进铜官港、虞公港等铁路专用线和湘江长沙至城陵矶、澧资白沙至甘溪港、松虎安乡至望家垴等航道工程建设，加强公铁水高效衔接。引导道路货运企业向多式联运经营人转型，持续开展城市绿色货运配送示范。将清洁运输作为涉大宗货物运输重点行业新改扩建项目审核和监管重点。到2025年，铁路、水路货运量比2020年分别增长10%和12%左右。</w:t>
                  </w:r>
                </w:p>
              </w:tc>
              <w:tc>
                <w:tcPr>
                  <w:tcW w:w="1919" w:type="dxa"/>
                  <w:tcBorders>
                    <w:tl2br w:val="nil"/>
                    <w:tr2bl w:val="nil"/>
                  </w:tcBorders>
                  <w:vAlign w:val="center"/>
                </w:tcPr>
                <w:p w14:paraId="74CE044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420" w:firstLineChars="20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本项目物料运输采用专用密闭罐车运输，罐车气力输送系统配套使用散装机布袋除尘器收集处理粉尘。项目物料外运采用专用运输设备和车辆，加强运输过程管理。运输扬尘通过密闭罐车运输、厂区洒水抑尘等措施控制。本项目在运输环节采取了有效的扬尘控制措施，符合绿色运输的要求。</w:t>
                  </w:r>
                </w:p>
              </w:tc>
              <w:tc>
                <w:tcPr>
                  <w:tcW w:w="1018" w:type="dxa"/>
                  <w:vMerge w:val="continue"/>
                  <w:tcBorders>
                    <w:tl2br w:val="nil"/>
                    <w:tr2bl w:val="nil"/>
                  </w:tcBorders>
                  <w:vAlign w:val="center"/>
                </w:tcPr>
                <w:p w14:paraId="314D1E71">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val="0"/>
                      <w:bCs w:val="0"/>
                      <w:sz w:val="21"/>
                      <w:szCs w:val="21"/>
                      <w:highlight w:val="none"/>
                      <w:u w:val="none"/>
                      <w:vertAlign w:val="baseline"/>
                      <w:lang w:val="en-US" w:eastAsia="zh-CN"/>
                    </w:rPr>
                  </w:pPr>
                </w:p>
              </w:tc>
            </w:tr>
          </w:tbl>
          <w:p w14:paraId="7873FEFC">
            <w:pPr>
              <w:numPr>
                <w:ilvl w:val="-1"/>
                <w:numId w:val="0"/>
              </w:numPr>
              <w:autoSpaceDE/>
              <w:autoSpaceDN/>
              <w:adjustRightInd/>
              <w:snapToGrid/>
              <w:spacing w:before="120" w:beforeLines="50"/>
              <w:ind w:left="0" w:firstLine="480" w:firstLineChars="0"/>
              <w:jc w:val="left"/>
              <w:rPr>
                <w:b/>
                <w:bCs/>
                <w:highlight w:val="yellow"/>
              </w:rPr>
            </w:pPr>
            <w:r>
              <w:rPr>
                <w:rFonts w:hint="eastAsia"/>
              </w:rPr>
              <w:t>由上表可知，本项目符合《湖南省空气质量持续改善行动计划实施方案》相关要求。</w:t>
            </w:r>
          </w:p>
          <w:p w14:paraId="6B27BF61">
            <w:pPr>
              <w:numPr>
                <w:ilvl w:val="0"/>
                <w:numId w:val="10"/>
              </w:numPr>
              <w:autoSpaceDE w:val="0"/>
              <w:autoSpaceDN w:val="0"/>
              <w:adjustRightInd w:val="0"/>
              <w:snapToGrid w:val="0"/>
              <w:ind w:left="0" w:firstLine="0" w:firstLineChars="0"/>
              <w:jc w:val="left"/>
              <w:rPr>
                <w:rFonts w:hint="eastAsia" w:ascii="宋体" w:hAnsi="宋体" w:eastAsia="宋体" w:cs="宋体"/>
                <w:b/>
                <w:bCs/>
                <w:highlight w:val="none"/>
                <w:u w:val="none"/>
              </w:rPr>
            </w:pPr>
            <w:r>
              <w:rPr>
                <w:rFonts w:hint="eastAsia" w:ascii="宋体" w:hAnsi="宋体" w:eastAsia="宋体" w:cs="宋体"/>
                <w:b/>
                <w:bCs/>
                <w:highlight w:val="none"/>
                <w:u w:val="none"/>
                <w:lang w:val="en-US" w:eastAsia="zh-CN"/>
              </w:rPr>
              <w:t>与《湖南省大气污染防治攻坚三年行动实施方案</w:t>
            </w:r>
            <w:r>
              <w:rPr>
                <w:rFonts w:hint="default" w:ascii="Times New Roman" w:hAnsi="Times New Roman" w:eastAsia="宋体" w:cs="Times New Roman"/>
                <w:b/>
                <w:bCs/>
                <w:highlight w:val="none"/>
                <w:u w:val="none"/>
                <w:lang w:val="en-US" w:eastAsia="zh-CN"/>
              </w:rPr>
              <w:t>（2026-2028年）</w:t>
            </w:r>
            <w:r>
              <w:rPr>
                <w:rFonts w:hint="eastAsia" w:ascii="宋体" w:hAnsi="宋体" w:eastAsia="宋体" w:cs="宋体"/>
                <w:b/>
                <w:bCs/>
                <w:highlight w:val="none"/>
                <w:u w:val="none"/>
                <w:lang w:val="en-US" w:eastAsia="zh-CN"/>
              </w:rPr>
              <w:t>》的符合性分析</w:t>
            </w:r>
          </w:p>
          <w:p w14:paraId="7C7B43C2">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right="0" w:rightChars="0" w:firstLine="482" w:firstLineChars="200"/>
              <w:jc w:val="center"/>
              <w:textAlignment w:val="auto"/>
              <w:rPr>
                <w:rFonts w:hint="default" w:ascii="Times New Roman" w:hAnsi="Times New Roman" w:eastAsia="宋体" w:cs="Times New Roman"/>
                <w:b/>
                <w:bCs/>
                <w:u w:val="none"/>
              </w:rPr>
            </w:pPr>
            <w:r>
              <w:rPr>
                <w:rFonts w:hint="default" w:ascii="Times New Roman" w:hAnsi="Times New Roman" w:eastAsia="宋体" w:cs="Times New Roman"/>
                <w:b/>
                <w:bCs/>
                <w:u w:val="none"/>
              </w:rPr>
              <w:t>与《湖南省大气污染防治攻坚三年行动实施方案（2026-2028年）》的符合性分析</w:t>
            </w:r>
            <w:r>
              <w:rPr>
                <w:rFonts w:hint="default" w:ascii="Times New Roman" w:hAnsi="Times New Roman" w:eastAsia="宋体" w:cs="Times New Roman"/>
                <w:b/>
                <w:bCs/>
                <w:u w:val="none"/>
                <w:lang w:val="en-US" w:eastAsia="zh-CN"/>
              </w:rPr>
              <w:t>一览表</w:t>
            </w:r>
          </w:p>
          <w:tbl>
            <w:tblPr>
              <w:tblStyle w:val="32"/>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56"/>
              <w:gridCol w:w="3806"/>
              <w:gridCol w:w="2906"/>
              <w:gridCol w:w="583"/>
            </w:tblGrid>
            <w:tr w14:paraId="7339C3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4" w:type="pct"/>
                  <w:tcBorders>
                    <w:tl2br w:val="nil"/>
                    <w:tr2bl w:val="nil"/>
                  </w:tcBorders>
                  <w:vAlign w:val="center"/>
                </w:tcPr>
                <w:p w14:paraId="57C2F144">
                  <w:pPr>
                    <w:pStyle w:val="48"/>
                    <w:widowControl/>
                    <w:jc w:val="center"/>
                    <w:rPr>
                      <w:b/>
                      <w:bCs/>
                      <w:kern w:val="2"/>
                      <w:u w:val="single"/>
                    </w:rPr>
                  </w:pPr>
                  <w:r>
                    <w:rPr>
                      <w:rFonts w:hint="eastAsia" w:cstheme="minorBidi"/>
                      <w:b/>
                      <w:bCs/>
                      <w:kern w:val="2"/>
                      <w:u w:val="single"/>
                    </w:rPr>
                    <w:t>序号</w:t>
                  </w:r>
                </w:p>
              </w:tc>
              <w:tc>
                <w:tcPr>
                  <w:tcW w:w="2423" w:type="pct"/>
                  <w:tcBorders>
                    <w:tl2br w:val="nil"/>
                    <w:tr2bl w:val="nil"/>
                  </w:tcBorders>
                  <w:vAlign w:val="center"/>
                </w:tcPr>
                <w:p w14:paraId="102B5ADB">
                  <w:pPr>
                    <w:pStyle w:val="48"/>
                    <w:widowControl/>
                    <w:ind w:left="0" w:leftChars="0" w:right="0" w:rightChars="0" w:firstLine="0" w:firstLineChars="0"/>
                    <w:jc w:val="center"/>
                    <w:rPr>
                      <w:rFonts w:hint="eastAsia" w:eastAsia="宋体"/>
                      <w:b/>
                      <w:bCs/>
                      <w:kern w:val="2"/>
                      <w:u w:val="single"/>
                      <w:lang w:val="en-US" w:eastAsia="zh-CN"/>
                    </w:rPr>
                  </w:pPr>
                  <w:r>
                    <w:rPr>
                      <w:rFonts w:hint="eastAsia"/>
                      <w:b/>
                      <w:bCs/>
                      <w:kern w:val="2"/>
                      <w:u w:val="single"/>
                      <w:lang w:val="en-US" w:eastAsia="zh-CN"/>
                    </w:rPr>
                    <w:t>方案要求</w:t>
                  </w:r>
                </w:p>
              </w:tc>
              <w:tc>
                <w:tcPr>
                  <w:tcW w:w="1850" w:type="pct"/>
                  <w:tcBorders>
                    <w:tl2br w:val="nil"/>
                    <w:tr2bl w:val="nil"/>
                  </w:tcBorders>
                  <w:vAlign w:val="center"/>
                </w:tcPr>
                <w:p w14:paraId="0B51CDE8">
                  <w:pPr>
                    <w:pStyle w:val="48"/>
                    <w:widowControl/>
                    <w:jc w:val="center"/>
                    <w:rPr>
                      <w:b/>
                      <w:bCs/>
                      <w:kern w:val="2"/>
                      <w:u w:val="single"/>
                    </w:rPr>
                  </w:pPr>
                  <w:r>
                    <w:rPr>
                      <w:rFonts w:hint="eastAsia" w:cstheme="minorBidi"/>
                      <w:b/>
                      <w:bCs/>
                      <w:kern w:val="2"/>
                      <w:u w:val="single"/>
                    </w:rPr>
                    <w:t>项目情况</w:t>
                  </w:r>
                </w:p>
              </w:tc>
              <w:tc>
                <w:tcPr>
                  <w:tcW w:w="371" w:type="pct"/>
                  <w:tcBorders>
                    <w:tl2br w:val="nil"/>
                    <w:tr2bl w:val="nil"/>
                  </w:tcBorders>
                  <w:vAlign w:val="center"/>
                </w:tcPr>
                <w:p w14:paraId="1AF889A4">
                  <w:pPr>
                    <w:pStyle w:val="48"/>
                    <w:widowControl/>
                    <w:jc w:val="center"/>
                    <w:rPr>
                      <w:b/>
                      <w:bCs/>
                      <w:kern w:val="2"/>
                      <w:u w:val="single"/>
                    </w:rPr>
                  </w:pPr>
                  <w:r>
                    <w:rPr>
                      <w:rFonts w:hint="eastAsia"/>
                      <w:b/>
                      <w:bCs/>
                      <w:kern w:val="2"/>
                      <w:u w:val="single"/>
                    </w:rPr>
                    <w:t>符合性</w:t>
                  </w:r>
                </w:p>
              </w:tc>
            </w:tr>
            <w:tr w14:paraId="694855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4" w:type="pct"/>
                  <w:tcBorders>
                    <w:tl2br w:val="nil"/>
                    <w:tr2bl w:val="nil"/>
                  </w:tcBorders>
                  <w:vAlign w:val="center"/>
                </w:tcPr>
                <w:p w14:paraId="41DB76C0">
                  <w:pPr>
                    <w:pStyle w:val="48"/>
                    <w:widowControl w:val="0"/>
                    <w:jc w:val="center"/>
                    <w:rPr>
                      <w:kern w:val="2"/>
                      <w:u w:val="single"/>
                    </w:rPr>
                  </w:pPr>
                  <w:r>
                    <w:rPr>
                      <w:rFonts w:hint="eastAsia"/>
                      <w:kern w:val="2"/>
                      <w:u w:val="single"/>
                    </w:rPr>
                    <w:t>1</w:t>
                  </w:r>
                </w:p>
              </w:tc>
              <w:tc>
                <w:tcPr>
                  <w:tcW w:w="2423" w:type="pct"/>
                  <w:tcBorders>
                    <w:tl2br w:val="nil"/>
                    <w:tr2bl w:val="nil"/>
                  </w:tcBorders>
                  <w:vAlign w:val="center"/>
                </w:tcPr>
                <w:p w14:paraId="3263A990">
                  <w:pPr>
                    <w:pStyle w:val="48"/>
                    <w:widowControl w:val="0"/>
                    <w:numPr>
                      <w:ilvl w:val="0"/>
                      <w:numId w:val="12"/>
                    </w:numPr>
                    <w:jc w:val="both"/>
                    <w:rPr>
                      <w:rFonts w:hint="eastAsia"/>
                      <w:kern w:val="2"/>
                      <w:u w:val="single"/>
                      <w:lang w:val="en-US" w:eastAsia="zh-CN"/>
                    </w:rPr>
                  </w:pPr>
                  <w:r>
                    <w:rPr>
                      <w:rFonts w:hint="eastAsia"/>
                      <w:kern w:val="2"/>
                      <w:u w:val="single"/>
                      <w:lang w:val="en-US" w:eastAsia="zh-CN"/>
                    </w:rPr>
                    <w:t>严格项目准入</w:t>
                  </w:r>
                </w:p>
                <w:p w14:paraId="094B7A2D">
                  <w:pPr>
                    <w:pStyle w:val="48"/>
                    <w:widowControl w:val="0"/>
                    <w:numPr>
                      <w:ilvl w:val="0"/>
                      <w:numId w:val="13"/>
                    </w:numPr>
                    <w:jc w:val="both"/>
                    <w:rPr>
                      <w:u w:val="single"/>
                    </w:rPr>
                  </w:pPr>
                  <w:r>
                    <w:rPr>
                      <w:u w:val="single"/>
                    </w:rPr>
                    <w:t>严守准入门槛，严禁不符合国家产业政策的项目盲目发展和低水平转入。加强对湘北“上风口”大气污染物排放项目的准入管控。严禁新增钢铁、焦化、水泥熟料、平板玻璃、电解铝、氧化铝、煤化工产能，严控新增炼油、磷铵、铜冶炼、铅锌冶炼产能。推进新改扩建“两高”项目能效达到标杆水平，环保绩效达到A级水平；其他新建项目原则上达到B级及以上绩效水平；涉及含挥发性有机物（VOCs）原辅材料的新改扩建项目，技术可行的应使用低（无）VOCs含量产品。</w:t>
                  </w:r>
                </w:p>
                <w:p w14:paraId="43D66C91">
                  <w:pPr>
                    <w:pStyle w:val="48"/>
                    <w:widowControl w:val="0"/>
                    <w:numPr>
                      <w:ilvl w:val="0"/>
                      <w:numId w:val="13"/>
                    </w:numPr>
                    <w:jc w:val="both"/>
                    <w:rPr>
                      <w:rFonts w:hint="default"/>
                      <w:u w:val="single"/>
                      <w:lang w:val="en-US" w:eastAsia="zh-CN"/>
                    </w:rPr>
                  </w:pPr>
                  <w:r>
                    <w:rPr>
                      <w:u w:val="single"/>
                    </w:rPr>
                    <w:t>严格落实污染物区域削减替代要求。对不能稳定达到空气质量二级标准的城市，其重点行业新改扩建项目实施主要污染物排放量倍量削减替代，所需替代量在本市范围内统筹。</w:t>
                  </w:r>
                </w:p>
              </w:tc>
              <w:tc>
                <w:tcPr>
                  <w:tcW w:w="1850" w:type="pct"/>
                  <w:tcBorders>
                    <w:tl2br w:val="nil"/>
                    <w:tr2bl w:val="nil"/>
                  </w:tcBorders>
                  <w:vAlign w:val="center"/>
                </w:tcPr>
                <w:p w14:paraId="128B6D3C">
                  <w:pPr>
                    <w:pStyle w:val="9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Times New Roman" w:hAnsi="Times New Roman" w:eastAsia="宋体" w:cs="Times New Roman"/>
                      <w:b w:val="0"/>
                      <w:bCs w:val="0"/>
                      <w:i w:val="0"/>
                      <w:iCs w:val="0"/>
                      <w:caps w:val="0"/>
                      <w:color w:val="0F1115"/>
                      <w:spacing w:val="0"/>
                      <w:sz w:val="21"/>
                      <w:szCs w:val="21"/>
                      <w:u w:val="single"/>
                      <w:shd w:val="clear" w:fill="FFFFFF"/>
                      <w:lang w:eastAsia="zh-CN"/>
                    </w:rPr>
                  </w:pPr>
                  <w:r>
                    <w:rPr>
                      <w:rFonts w:hint="default" w:ascii="Times New Roman" w:hAnsi="Times New Roman" w:eastAsia="宋体" w:cs="Times New Roman"/>
                      <w:b w:val="0"/>
                      <w:bCs w:val="0"/>
                      <w:i w:val="0"/>
                      <w:iCs w:val="0"/>
                      <w:caps w:val="0"/>
                      <w:color w:val="0F1115"/>
                      <w:spacing w:val="0"/>
                      <w:sz w:val="21"/>
                      <w:szCs w:val="21"/>
                      <w:u w:val="single"/>
                      <w:shd w:val="clear" w:fill="FFFFFF"/>
                    </w:rPr>
                    <w:t>本项目属于“N7723固体废物治理”，根据《产业结构调整指导目录（2024年本）》为鼓励类项目，不属于严禁新增的钢铁、焦化、水泥熟料等产能范畴。项目位于华能电厂现有厂区内，不新增用地，不涉及“两高”项目新增</w:t>
                  </w:r>
                  <w:r>
                    <w:rPr>
                      <w:rFonts w:hint="eastAsia" w:ascii="Times New Roman" w:hAnsi="Times New Roman" w:eastAsia="宋体" w:cs="Times New Roman"/>
                      <w:b w:val="0"/>
                      <w:bCs w:val="0"/>
                      <w:i w:val="0"/>
                      <w:iCs w:val="0"/>
                      <w:caps w:val="0"/>
                      <w:color w:val="0F1115"/>
                      <w:spacing w:val="0"/>
                      <w:sz w:val="21"/>
                      <w:szCs w:val="21"/>
                      <w:u w:val="single"/>
                      <w:shd w:val="clear" w:fill="FFFFFF"/>
                      <w:lang w:eastAsia="zh-CN"/>
                    </w:rPr>
                    <w:t>；</w:t>
                  </w:r>
                </w:p>
                <w:p w14:paraId="27CD490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u w:val="single"/>
                      <w:lang w:eastAsia="zh-CN"/>
                    </w:rPr>
                  </w:pPr>
                  <w:r>
                    <w:rPr>
                      <w:rFonts w:hint="eastAsia"/>
                      <w:sz w:val="21"/>
                      <w:szCs w:val="21"/>
                      <w:u w:val="single"/>
                      <w:lang w:eastAsia="zh-CN"/>
                    </w:rPr>
                    <w:t>本项目为技术改造项目，粉煤灰处理总量不增加，不新增颗粒物排放（筒仓呼吸粉尘和罐车装车粉尘均为现有工程固有排放），无需申请总量控制指标，不涉及倍量削减替代。</w:t>
                  </w:r>
                </w:p>
              </w:tc>
              <w:tc>
                <w:tcPr>
                  <w:tcW w:w="371" w:type="pct"/>
                  <w:tcBorders>
                    <w:tl2br w:val="nil"/>
                    <w:tr2bl w:val="nil"/>
                  </w:tcBorders>
                  <w:vAlign w:val="center"/>
                </w:tcPr>
                <w:p w14:paraId="318A5389">
                  <w:pPr>
                    <w:pStyle w:val="48"/>
                    <w:widowControl w:val="0"/>
                    <w:jc w:val="center"/>
                    <w:rPr>
                      <w:kern w:val="2"/>
                      <w:u w:val="single"/>
                    </w:rPr>
                  </w:pPr>
                  <w:r>
                    <w:rPr>
                      <w:rFonts w:hint="eastAsia"/>
                      <w:kern w:val="2"/>
                      <w:u w:val="single"/>
                    </w:rPr>
                    <w:t>符合</w:t>
                  </w:r>
                </w:p>
              </w:tc>
            </w:tr>
            <w:tr w14:paraId="74558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4" w:type="pct"/>
                  <w:tcBorders>
                    <w:tl2br w:val="nil"/>
                    <w:tr2bl w:val="nil"/>
                  </w:tcBorders>
                  <w:vAlign w:val="center"/>
                </w:tcPr>
                <w:p w14:paraId="491CFD05">
                  <w:pPr>
                    <w:pStyle w:val="48"/>
                    <w:widowControl w:val="0"/>
                    <w:jc w:val="center"/>
                    <w:rPr>
                      <w:kern w:val="2"/>
                      <w:u w:val="single"/>
                    </w:rPr>
                  </w:pPr>
                  <w:r>
                    <w:rPr>
                      <w:rFonts w:hint="eastAsia"/>
                      <w:kern w:val="2"/>
                      <w:u w:val="single"/>
                    </w:rPr>
                    <w:t>2</w:t>
                  </w:r>
                </w:p>
              </w:tc>
              <w:tc>
                <w:tcPr>
                  <w:tcW w:w="2423" w:type="pct"/>
                  <w:tcBorders>
                    <w:tl2br w:val="nil"/>
                    <w:tr2bl w:val="nil"/>
                  </w:tcBorders>
                  <w:vAlign w:val="center"/>
                </w:tcPr>
                <w:p w14:paraId="467EB641">
                  <w:pPr>
                    <w:pStyle w:val="48"/>
                    <w:widowControl w:val="0"/>
                    <w:numPr>
                      <w:ilvl w:val="0"/>
                      <w:numId w:val="12"/>
                    </w:numPr>
                    <w:ind w:left="0" w:leftChars="0" w:firstLine="0" w:firstLineChars="0"/>
                    <w:jc w:val="both"/>
                    <w:rPr>
                      <w:rFonts w:hint="eastAsia"/>
                      <w:kern w:val="2"/>
                      <w:u w:val="single"/>
                      <w:lang w:val="en-US" w:eastAsia="zh-CN"/>
                    </w:rPr>
                  </w:pPr>
                  <w:r>
                    <w:rPr>
                      <w:rFonts w:hint="eastAsia"/>
                      <w:kern w:val="2"/>
                      <w:u w:val="single"/>
                      <w:lang w:val="en-US" w:eastAsia="zh-CN"/>
                    </w:rPr>
                    <w:t>深化产业结构调整</w:t>
                  </w:r>
                </w:p>
                <w:p w14:paraId="39A450D6">
                  <w:pPr>
                    <w:pStyle w:val="48"/>
                    <w:widowControl w:val="0"/>
                    <w:numPr>
                      <w:ilvl w:val="0"/>
                      <w:numId w:val="13"/>
                    </w:numPr>
                    <w:ind w:left="0" w:leftChars="0" w:firstLine="0" w:firstLineChars="0"/>
                    <w:jc w:val="both"/>
                    <w:rPr>
                      <w:u w:val="single"/>
                    </w:rPr>
                  </w:pPr>
                  <w:r>
                    <w:rPr>
                      <w:u w:val="single"/>
                    </w:rPr>
                    <w:t>制定实施产业结构绿色转型相关方案，推动传统产业向价值链高端迈进。推动汽车制造、工程机械制造等重点行业建立完善绿色供应链体系。聚焦建材、工业涂装等污染物排放量大的重点行业，实施技术改造升级工程，优化产业布局和结构，提升产业绿色发展水平。推进电力、钢铁、有色、建材、石化化工等行业节能降碳改造。落实国家粗钢产量调控要求。</w:t>
                  </w:r>
                </w:p>
                <w:p w14:paraId="3069C166">
                  <w:pPr>
                    <w:pStyle w:val="48"/>
                    <w:widowControl w:val="0"/>
                    <w:numPr>
                      <w:ilvl w:val="0"/>
                      <w:numId w:val="13"/>
                    </w:numPr>
                    <w:ind w:left="0" w:leftChars="0" w:firstLine="0" w:firstLineChars="0"/>
                    <w:jc w:val="both"/>
                    <w:rPr>
                      <w:rFonts w:hint="default"/>
                      <w:u w:val="single"/>
                      <w:lang w:val="en-US" w:eastAsia="zh-CN"/>
                    </w:rPr>
                  </w:pPr>
                  <w:r>
                    <w:rPr>
                      <w:u w:val="single"/>
                    </w:rPr>
                    <w:t>推动低效产能加快退出。以能耗、环保、碳排放、质量、安全、技术等标准为引领，分年度制定实施《湖南省依法依规推动落后产能退出工作方案》和相关领域实施方案，依法依规退出淘汰类产能和设备、污染物排放不能稳定达标的存量“两高”项目。</w:t>
                  </w:r>
                </w:p>
                <w:p w14:paraId="15283E92">
                  <w:pPr>
                    <w:pStyle w:val="48"/>
                    <w:widowControl w:val="0"/>
                    <w:numPr>
                      <w:ilvl w:val="0"/>
                      <w:numId w:val="13"/>
                    </w:numPr>
                    <w:ind w:left="0" w:leftChars="0" w:firstLine="0" w:firstLineChars="0"/>
                    <w:jc w:val="both"/>
                    <w:rPr>
                      <w:rFonts w:hint="default"/>
                      <w:u w:val="single"/>
                      <w:lang w:val="en-US" w:eastAsia="zh-CN"/>
                    </w:rPr>
                  </w:pPr>
                  <w:r>
                    <w:rPr>
                      <w:u w:val="single"/>
                    </w:rPr>
                    <w:t>按期更新发布涉气重点行业企业强制性清洁生产审核任务清单，持续深化清洁生产审核工作，引导非强制性清洁生产审核工业企业主动开展自愿性清洁生产审核。2028年底前，完成不少于150家涉气重点行业企业强制性清洁生产审核。</w:t>
                  </w:r>
                </w:p>
              </w:tc>
              <w:tc>
                <w:tcPr>
                  <w:tcW w:w="1850" w:type="pct"/>
                  <w:tcBorders>
                    <w:tl2br w:val="nil"/>
                    <w:tr2bl w:val="nil"/>
                  </w:tcBorders>
                  <w:vAlign w:val="center"/>
                </w:tcPr>
                <w:p w14:paraId="2B6100B5">
                  <w:pPr>
                    <w:pStyle w:val="97"/>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i w:val="0"/>
                      <w:iCs w:val="0"/>
                      <w:caps w:val="0"/>
                      <w:color w:val="0F1115"/>
                      <w:spacing w:val="0"/>
                      <w:sz w:val="21"/>
                      <w:szCs w:val="21"/>
                      <w:u w:val="single"/>
                      <w:shd w:val="clear" w:fill="FFFFFF"/>
                      <w:lang w:eastAsia="zh-CN"/>
                    </w:rPr>
                  </w:pPr>
                  <w:r>
                    <w:rPr>
                      <w:rFonts w:hint="default" w:ascii="Times New Roman" w:hAnsi="Times New Roman" w:eastAsia="宋体" w:cs="Times New Roman"/>
                      <w:i w:val="0"/>
                      <w:iCs w:val="0"/>
                      <w:caps w:val="0"/>
                      <w:color w:val="0F1115"/>
                      <w:spacing w:val="0"/>
                      <w:sz w:val="21"/>
                      <w:szCs w:val="21"/>
                      <w:u w:val="single"/>
                      <w:shd w:val="clear" w:fill="FFFFFF"/>
                    </w:rPr>
                    <w:t>本项目通过分级加工将Ⅲ级粉煤灰提升为Ⅰ、Ⅱ级粉煤灰，实现粉煤灰高值化利用，符合“推动传统产业向价值链高端迈进”的要求</w:t>
                  </w:r>
                  <w:r>
                    <w:rPr>
                      <w:rFonts w:hint="default" w:ascii="Times New Roman" w:hAnsi="Times New Roman" w:eastAsia="宋体" w:cs="Times New Roman"/>
                      <w:i w:val="0"/>
                      <w:iCs w:val="0"/>
                      <w:caps w:val="0"/>
                      <w:color w:val="0F1115"/>
                      <w:spacing w:val="0"/>
                      <w:sz w:val="21"/>
                      <w:szCs w:val="21"/>
                      <w:u w:val="single"/>
                      <w:shd w:val="clear" w:fill="FFFFFF"/>
                      <w:lang w:eastAsia="zh-CN"/>
                    </w:rPr>
                    <w:t>；</w:t>
                  </w:r>
                </w:p>
                <w:p w14:paraId="0ACCCD84">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i w:val="0"/>
                      <w:iCs w:val="0"/>
                      <w:caps w:val="0"/>
                      <w:color w:val="0F1115"/>
                      <w:spacing w:val="0"/>
                      <w:sz w:val="21"/>
                      <w:szCs w:val="21"/>
                      <w:u w:val="single"/>
                      <w:shd w:val="clear" w:fill="FFFFFF"/>
                      <w:lang w:eastAsia="zh-CN"/>
                    </w:rPr>
                  </w:pPr>
                  <w:r>
                    <w:rPr>
                      <w:rFonts w:hint="default" w:ascii="Times New Roman" w:hAnsi="Times New Roman" w:eastAsia="宋体" w:cs="Times New Roman"/>
                      <w:i w:val="0"/>
                      <w:iCs w:val="0"/>
                      <w:caps w:val="0"/>
                      <w:color w:val="0F1115"/>
                      <w:spacing w:val="0"/>
                      <w:sz w:val="21"/>
                      <w:szCs w:val="21"/>
                      <w:u w:val="single"/>
                      <w:shd w:val="clear" w:fill="FFFFFF"/>
                    </w:rPr>
                    <w:t>本项目未使用淘汰落后的生产工艺装备，未生产淘汰落后的产品，不属于低效产能退出范畴</w:t>
                  </w:r>
                  <w:r>
                    <w:rPr>
                      <w:rFonts w:hint="default" w:ascii="Times New Roman" w:hAnsi="Times New Roman" w:eastAsia="宋体" w:cs="Times New Roman"/>
                      <w:i w:val="0"/>
                      <w:iCs w:val="0"/>
                      <w:caps w:val="0"/>
                      <w:color w:val="0F1115"/>
                      <w:spacing w:val="0"/>
                      <w:sz w:val="21"/>
                      <w:szCs w:val="21"/>
                      <w:u w:val="single"/>
                      <w:shd w:val="clear" w:fill="FFFFFF"/>
                      <w:lang w:eastAsia="zh-CN"/>
                    </w:rPr>
                    <w:t>；</w:t>
                  </w:r>
                </w:p>
                <w:p w14:paraId="076F9D0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i w:val="0"/>
                      <w:iCs w:val="0"/>
                      <w:caps w:val="0"/>
                      <w:color w:val="0F1115"/>
                      <w:spacing w:val="0"/>
                      <w:sz w:val="21"/>
                      <w:szCs w:val="21"/>
                      <w:u w:val="single"/>
                      <w:shd w:val="clear" w:fill="FFFFFF"/>
                      <w:lang w:eastAsia="zh-CN"/>
                    </w:rPr>
                  </w:pPr>
                  <w:r>
                    <w:rPr>
                      <w:rFonts w:hint="default" w:ascii="Times New Roman" w:hAnsi="Times New Roman" w:eastAsia="宋体" w:cs="Times New Roman"/>
                      <w:i w:val="0"/>
                      <w:iCs w:val="0"/>
                      <w:caps w:val="0"/>
                      <w:color w:val="0F1115"/>
                      <w:spacing w:val="0"/>
                      <w:sz w:val="21"/>
                      <w:szCs w:val="21"/>
                      <w:u w:val="single"/>
                      <w:shd w:val="clear" w:fill="FFFFFF"/>
                    </w:rPr>
                    <w:t>本项目为粉煤灰综合利用项目，生产过程为负压闭路循环分选，属于清洁生产工艺，建设单位将按照要求开展清洁生产审核</w:t>
                  </w:r>
                  <w:r>
                    <w:rPr>
                      <w:rFonts w:hint="eastAsia" w:ascii="Times New Roman" w:hAnsi="Times New Roman" w:eastAsia="宋体" w:cs="Times New Roman"/>
                      <w:i w:val="0"/>
                      <w:iCs w:val="0"/>
                      <w:caps w:val="0"/>
                      <w:color w:val="0F1115"/>
                      <w:spacing w:val="0"/>
                      <w:sz w:val="21"/>
                      <w:szCs w:val="21"/>
                      <w:u w:val="single"/>
                      <w:shd w:val="clear" w:fill="FFFFFF"/>
                      <w:lang w:eastAsia="zh-CN"/>
                    </w:rPr>
                    <w:t>。</w:t>
                  </w:r>
                </w:p>
              </w:tc>
              <w:tc>
                <w:tcPr>
                  <w:tcW w:w="371" w:type="pct"/>
                  <w:tcBorders>
                    <w:tl2br w:val="nil"/>
                    <w:tr2bl w:val="nil"/>
                  </w:tcBorders>
                  <w:vAlign w:val="center"/>
                </w:tcPr>
                <w:p w14:paraId="5B0BD14C">
                  <w:pPr>
                    <w:pStyle w:val="48"/>
                    <w:widowControl w:val="0"/>
                    <w:jc w:val="center"/>
                    <w:rPr>
                      <w:kern w:val="2"/>
                      <w:u w:val="single"/>
                    </w:rPr>
                  </w:pPr>
                  <w:r>
                    <w:rPr>
                      <w:rFonts w:hint="eastAsia"/>
                      <w:kern w:val="2"/>
                      <w:u w:val="single"/>
                    </w:rPr>
                    <w:t>符合</w:t>
                  </w:r>
                </w:p>
              </w:tc>
            </w:tr>
            <w:tr w14:paraId="36358B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4" w:type="pct"/>
                  <w:tcBorders>
                    <w:tl2br w:val="nil"/>
                    <w:tr2bl w:val="nil"/>
                  </w:tcBorders>
                  <w:vAlign w:val="center"/>
                </w:tcPr>
                <w:p w14:paraId="4998EAF6">
                  <w:pPr>
                    <w:pStyle w:val="48"/>
                    <w:widowControl w:val="0"/>
                    <w:jc w:val="center"/>
                    <w:rPr>
                      <w:kern w:val="2"/>
                      <w:u w:val="single"/>
                    </w:rPr>
                  </w:pPr>
                  <w:r>
                    <w:rPr>
                      <w:rFonts w:hint="eastAsia"/>
                      <w:kern w:val="2"/>
                      <w:u w:val="single"/>
                    </w:rPr>
                    <w:t>3</w:t>
                  </w:r>
                </w:p>
              </w:tc>
              <w:tc>
                <w:tcPr>
                  <w:tcW w:w="2423" w:type="pct"/>
                  <w:tcBorders>
                    <w:tl2br w:val="nil"/>
                    <w:tr2bl w:val="nil"/>
                  </w:tcBorders>
                  <w:vAlign w:val="center"/>
                </w:tcPr>
                <w:p w14:paraId="3CCFE1DB">
                  <w:pPr>
                    <w:pStyle w:val="48"/>
                    <w:widowControl w:val="0"/>
                    <w:numPr>
                      <w:ilvl w:val="0"/>
                      <w:numId w:val="0"/>
                    </w:numPr>
                    <w:ind w:leftChars="0"/>
                    <w:jc w:val="both"/>
                    <w:rPr>
                      <w:rFonts w:hint="eastAsia"/>
                      <w:kern w:val="2"/>
                      <w:u w:val="single"/>
                      <w:lang w:val="en-US" w:eastAsia="zh-CN"/>
                    </w:rPr>
                  </w:pPr>
                  <w:r>
                    <w:rPr>
                      <w:rFonts w:hint="eastAsia"/>
                      <w:kern w:val="2"/>
                      <w:u w:val="single"/>
                      <w:lang w:val="en-US" w:eastAsia="zh-CN"/>
                    </w:rPr>
                    <w:t>（四）优化能源供给结构</w:t>
                  </w:r>
                </w:p>
                <w:p w14:paraId="7FB02101">
                  <w:pPr>
                    <w:pStyle w:val="48"/>
                    <w:widowControl w:val="0"/>
                    <w:numPr>
                      <w:ilvl w:val="0"/>
                      <w:numId w:val="0"/>
                    </w:numPr>
                    <w:ind w:leftChars="0"/>
                    <w:jc w:val="both"/>
                    <w:rPr>
                      <w:rFonts w:hint="default"/>
                      <w:kern w:val="2"/>
                      <w:u w:val="single"/>
                      <w:lang w:val="en-US" w:eastAsia="zh-CN"/>
                    </w:rPr>
                  </w:pPr>
                  <w:r>
                    <w:rPr>
                      <w:rFonts w:hint="eastAsia"/>
                      <w:kern w:val="2"/>
                      <w:u w:val="single"/>
                      <w:lang w:val="en-US" w:eastAsia="zh-CN"/>
                    </w:rPr>
                    <w:t>9、</w:t>
                  </w:r>
                  <w:r>
                    <w:rPr>
                      <w:u w:val="single"/>
                    </w:rPr>
                    <w:t>加快省内支撑性电源建设，区域新增电力装机以新能源为主体，完善电力调度机制，区域新增用电量主要通过可再生能源发电和外送电解决。加快煤炭清洁高效利用，制定非电用煤清洁能源替代工作方案，有效控制煤炭消费，重点削减非电力用煤和分散低效用煤，到2028年，电煤消费占比力争达到全国平均水平，到2029年，实现煤炭消费量稳中有降。</w:t>
                  </w:r>
                </w:p>
              </w:tc>
              <w:tc>
                <w:tcPr>
                  <w:tcW w:w="1850" w:type="pct"/>
                  <w:tcBorders>
                    <w:tl2br w:val="nil"/>
                    <w:tr2bl w:val="nil"/>
                  </w:tcBorders>
                  <w:vAlign w:val="center"/>
                </w:tcPr>
                <w:p w14:paraId="7273EF39">
                  <w:pPr>
                    <w:pStyle w:val="9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u w:val="single"/>
                    </w:rPr>
                  </w:pPr>
                  <w:r>
                    <w:rPr>
                      <w:rFonts w:hint="default" w:ascii="Times New Roman" w:hAnsi="Times New Roman" w:eastAsia="宋体" w:cs="Times New Roman"/>
                      <w:i w:val="0"/>
                      <w:iCs w:val="0"/>
                      <w:caps w:val="0"/>
                      <w:color w:val="0F1115"/>
                      <w:spacing w:val="0"/>
                      <w:sz w:val="21"/>
                      <w:szCs w:val="21"/>
                      <w:u w:val="single"/>
                      <w:shd w:val="clear" w:fill="FFFFFF"/>
                    </w:rPr>
                    <w:t>本项目主要能源消耗为电力（电厂厂区供电），不使用煤炭等高污染燃料，符合清洁能源利用要求</w:t>
                  </w:r>
                </w:p>
              </w:tc>
              <w:tc>
                <w:tcPr>
                  <w:tcW w:w="371" w:type="pct"/>
                  <w:tcBorders>
                    <w:tl2br w:val="nil"/>
                    <w:tr2bl w:val="nil"/>
                  </w:tcBorders>
                  <w:vAlign w:val="center"/>
                </w:tcPr>
                <w:p w14:paraId="2FBCD4CB">
                  <w:pPr>
                    <w:pStyle w:val="48"/>
                    <w:widowControl w:val="0"/>
                    <w:jc w:val="center"/>
                    <w:rPr>
                      <w:kern w:val="2"/>
                      <w:u w:val="single"/>
                    </w:rPr>
                  </w:pPr>
                  <w:r>
                    <w:rPr>
                      <w:rFonts w:hint="eastAsia"/>
                      <w:kern w:val="2"/>
                      <w:u w:val="single"/>
                    </w:rPr>
                    <w:t>符合</w:t>
                  </w:r>
                </w:p>
              </w:tc>
            </w:tr>
            <w:tr w14:paraId="3E0242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4" w:type="pct"/>
                  <w:tcBorders>
                    <w:tl2br w:val="nil"/>
                    <w:tr2bl w:val="nil"/>
                  </w:tcBorders>
                  <w:vAlign w:val="center"/>
                </w:tcPr>
                <w:p w14:paraId="479E2A42">
                  <w:pPr>
                    <w:pStyle w:val="48"/>
                    <w:widowControl w:val="0"/>
                    <w:jc w:val="center"/>
                    <w:rPr>
                      <w:kern w:val="2"/>
                      <w:u w:val="single"/>
                    </w:rPr>
                  </w:pPr>
                  <w:r>
                    <w:rPr>
                      <w:rFonts w:hint="eastAsia"/>
                      <w:kern w:val="2"/>
                      <w:u w:val="single"/>
                    </w:rPr>
                    <w:t>4</w:t>
                  </w:r>
                </w:p>
              </w:tc>
              <w:tc>
                <w:tcPr>
                  <w:tcW w:w="2423" w:type="pct"/>
                  <w:tcBorders>
                    <w:tl2br w:val="nil"/>
                    <w:tr2bl w:val="nil"/>
                  </w:tcBorders>
                  <w:vAlign w:val="center"/>
                </w:tcPr>
                <w:p w14:paraId="0E92B624">
                  <w:pPr>
                    <w:pStyle w:val="48"/>
                    <w:widowControl w:val="0"/>
                    <w:numPr>
                      <w:ilvl w:val="0"/>
                      <w:numId w:val="0"/>
                    </w:numPr>
                    <w:ind w:leftChars="0"/>
                    <w:jc w:val="both"/>
                    <w:rPr>
                      <w:rFonts w:hint="eastAsia"/>
                      <w:kern w:val="2"/>
                      <w:u w:val="single"/>
                      <w:lang w:val="en-US" w:eastAsia="zh-CN"/>
                    </w:rPr>
                  </w:pPr>
                  <w:r>
                    <w:rPr>
                      <w:rFonts w:hint="eastAsia"/>
                      <w:kern w:val="2"/>
                      <w:u w:val="single"/>
                      <w:lang w:val="en-US" w:eastAsia="zh-CN"/>
                    </w:rPr>
                    <w:t>（五）实施燃煤锅炉关停替代</w:t>
                  </w:r>
                </w:p>
                <w:p w14:paraId="6C3A0EF9">
                  <w:pPr>
                    <w:pStyle w:val="48"/>
                    <w:widowControl w:val="0"/>
                    <w:numPr>
                      <w:ilvl w:val="0"/>
                      <w:numId w:val="0"/>
                    </w:numPr>
                    <w:ind w:leftChars="0"/>
                    <w:jc w:val="both"/>
                    <w:rPr>
                      <w:rFonts w:hint="default"/>
                      <w:kern w:val="2"/>
                      <w:u w:val="single"/>
                      <w:lang w:val="en-US" w:eastAsia="zh-CN"/>
                    </w:rPr>
                  </w:pPr>
                  <w:r>
                    <w:rPr>
                      <w:rFonts w:hint="eastAsia"/>
                      <w:kern w:val="2"/>
                      <w:u w:val="single"/>
                      <w:lang w:val="en-US" w:eastAsia="zh-CN"/>
                    </w:rPr>
                    <w:t>11、</w:t>
                  </w:r>
                  <w:r>
                    <w:rPr>
                      <w:u w:val="single"/>
                    </w:rPr>
                    <w:t>协同推进锅炉集中供热和关停整合。原则上不再新建除集中供热外的燃煤锅炉和保障电力、热力安全支撑必要外的燃煤机组。推动分散低效生物质锅炉整合升级，推进在用生物质锅炉开展治理设施提标改造，新建生物质锅炉达到超低排放水平。充分挖掘30万千瓦及以上燃煤机组供热能力，整合替代其供热半径30公里范围内的燃煤锅炉、燃煤小热电（含自备电厂）和生物质锅炉。退出服役期满30年的30万千瓦以下燃煤机组，有序退出落实接续电源的10万千瓦及以下燃煤机组。2026年底前，淘汰52台35蒸吨/小时及以下燃煤锅炉。</w:t>
                  </w:r>
                </w:p>
              </w:tc>
              <w:tc>
                <w:tcPr>
                  <w:tcW w:w="1850" w:type="pct"/>
                  <w:tcBorders>
                    <w:tl2br w:val="nil"/>
                    <w:tr2bl w:val="nil"/>
                  </w:tcBorders>
                  <w:vAlign w:val="center"/>
                </w:tcPr>
                <w:p w14:paraId="2173ED42">
                  <w:pPr>
                    <w:pStyle w:val="97"/>
                    <w:widowControl w:val="0"/>
                    <w:ind w:firstLine="0" w:firstLineChars="0"/>
                    <w:jc w:val="center"/>
                    <w:rPr>
                      <w:rFonts w:hint="default" w:eastAsia="宋体"/>
                      <w:u w:val="single"/>
                      <w:lang w:val="en-US" w:eastAsia="zh-CN"/>
                    </w:rPr>
                  </w:pPr>
                  <w:r>
                    <w:rPr>
                      <w:rFonts w:hint="eastAsia"/>
                      <w:u w:val="single"/>
                      <w:lang w:val="en-US" w:eastAsia="zh-CN"/>
                    </w:rPr>
                    <w:t>本项目不涉及燃煤锅炉建设</w:t>
                  </w:r>
                </w:p>
              </w:tc>
              <w:tc>
                <w:tcPr>
                  <w:tcW w:w="371" w:type="pct"/>
                  <w:tcBorders>
                    <w:tl2br w:val="nil"/>
                    <w:tr2bl w:val="nil"/>
                  </w:tcBorders>
                  <w:vAlign w:val="center"/>
                </w:tcPr>
                <w:p w14:paraId="1C2DDFB5">
                  <w:pPr>
                    <w:pStyle w:val="48"/>
                    <w:widowControl w:val="0"/>
                    <w:jc w:val="center"/>
                    <w:rPr>
                      <w:kern w:val="2"/>
                      <w:u w:val="single"/>
                    </w:rPr>
                  </w:pPr>
                  <w:r>
                    <w:rPr>
                      <w:rFonts w:hint="eastAsia"/>
                      <w:kern w:val="2"/>
                      <w:u w:val="single"/>
                    </w:rPr>
                    <w:t>符合</w:t>
                  </w:r>
                </w:p>
              </w:tc>
            </w:tr>
            <w:tr w14:paraId="7AED67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4" w:type="pct"/>
                  <w:tcBorders>
                    <w:tl2br w:val="nil"/>
                    <w:tr2bl w:val="nil"/>
                  </w:tcBorders>
                  <w:vAlign w:val="center"/>
                </w:tcPr>
                <w:p w14:paraId="5CCB4B84">
                  <w:pPr>
                    <w:pStyle w:val="48"/>
                    <w:widowControl w:val="0"/>
                    <w:jc w:val="center"/>
                    <w:rPr>
                      <w:kern w:val="2"/>
                      <w:u w:val="single"/>
                    </w:rPr>
                  </w:pPr>
                  <w:r>
                    <w:rPr>
                      <w:rFonts w:hint="eastAsia"/>
                      <w:kern w:val="2"/>
                      <w:u w:val="single"/>
                    </w:rPr>
                    <w:t>5</w:t>
                  </w:r>
                </w:p>
              </w:tc>
              <w:tc>
                <w:tcPr>
                  <w:tcW w:w="2423" w:type="pct"/>
                  <w:tcBorders>
                    <w:tl2br w:val="nil"/>
                    <w:tr2bl w:val="nil"/>
                  </w:tcBorders>
                  <w:vAlign w:val="center"/>
                </w:tcPr>
                <w:p w14:paraId="4ACC196B">
                  <w:pPr>
                    <w:pStyle w:val="48"/>
                    <w:widowControl w:val="0"/>
                    <w:numPr>
                      <w:ilvl w:val="0"/>
                      <w:numId w:val="0"/>
                    </w:numPr>
                    <w:ind w:leftChars="0"/>
                    <w:jc w:val="both"/>
                    <w:rPr>
                      <w:rFonts w:hint="eastAsia"/>
                      <w:kern w:val="2"/>
                      <w:u w:val="single"/>
                      <w:lang w:val="en-US" w:eastAsia="zh-CN"/>
                    </w:rPr>
                  </w:pPr>
                  <w:r>
                    <w:rPr>
                      <w:rFonts w:hint="eastAsia"/>
                      <w:kern w:val="2"/>
                      <w:u w:val="single"/>
                      <w:lang w:val="en-US" w:eastAsia="zh-CN"/>
                    </w:rPr>
                    <w:t>（六）加快炉窑清洁能源替代</w:t>
                  </w:r>
                </w:p>
                <w:p w14:paraId="17CF97BE">
                  <w:pPr>
                    <w:pStyle w:val="48"/>
                    <w:widowControl w:val="0"/>
                    <w:numPr>
                      <w:ilvl w:val="0"/>
                      <w:numId w:val="0"/>
                    </w:numPr>
                    <w:ind w:leftChars="0"/>
                    <w:jc w:val="both"/>
                    <w:rPr>
                      <w:rFonts w:hint="default"/>
                      <w:kern w:val="2"/>
                      <w:u w:val="single"/>
                      <w:lang w:val="en-US" w:eastAsia="zh-CN"/>
                    </w:rPr>
                  </w:pPr>
                  <w:r>
                    <w:rPr>
                      <w:rFonts w:hint="eastAsia"/>
                      <w:kern w:val="2"/>
                      <w:u w:val="single"/>
                      <w:lang w:val="en-US" w:eastAsia="zh-CN"/>
                    </w:rPr>
                    <w:t>12、</w:t>
                  </w:r>
                  <w:r>
                    <w:rPr>
                      <w:u w:val="single"/>
                    </w:rPr>
                    <w:t>原则上不再新建燃用高污染燃料的炉窑。建立非电用煤清洁能源替代任务清单，推进以煤、石油焦、重油等为燃料的炉窑改用工业余热、电、天然气等清洁能源，玻璃、陶瓷、有色、铸造、石化化工、粮食烘干、烤烟等行业积极推广电/氢能源炉窑、电/氢能源加热技术。2028年底前，基本完成粮食烘干和烤烟房散煤替代。</w:t>
                  </w:r>
                </w:p>
              </w:tc>
              <w:tc>
                <w:tcPr>
                  <w:tcW w:w="1850" w:type="pct"/>
                  <w:tcBorders>
                    <w:tl2br w:val="nil"/>
                    <w:tr2bl w:val="nil"/>
                  </w:tcBorders>
                  <w:vAlign w:val="center"/>
                </w:tcPr>
                <w:p w14:paraId="52EE1C4E">
                  <w:pPr>
                    <w:pStyle w:val="97"/>
                    <w:widowControl w:val="0"/>
                    <w:ind w:firstLine="0" w:firstLineChars="0"/>
                    <w:jc w:val="center"/>
                    <w:rPr>
                      <w:rFonts w:hint="default" w:eastAsia="宋体"/>
                      <w:u w:val="single"/>
                      <w:lang w:val="en-US" w:eastAsia="zh-CN"/>
                    </w:rPr>
                  </w:pPr>
                  <w:r>
                    <w:rPr>
                      <w:rFonts w:hint="eastAsia"/>
                      <w:u w:val="single"/>
                      <w:lang w:val="en-US" w:eastAsia="zh-CN"/>
                    </w:rPr>
                    <w:t>本项目不涉及炉窑建设</w:t>
                  </w:r>
                </w:p>
              </w:tc>
              <w:tc>
                <w:tcPr>
                  <w:tcW w:w="371" w:type="pct"/>
                  <w:tcBorders>
                    <w:tl2br w:val="nil"/>
                    <w:tr2bl w:val="nil"/>
                  </w:tcBorders>
                  <w:vAlign w:val="center"/>
                </w:tcPr>
                <w:p w14:paraId="40ED692D">
                  <w:pPr>
                    <w:pStyle w:val="48"/>
                    <w:widowControl w:val="0"/>
                    <w:jc w:val="center"/>
                    <w:rPr>
                      <w:kern w:val="2"/>
                      <w:u w:val="single"/>
                    </w:rPr>
                  </w:pPr>
                  <w:r>
                    <w:rPr>
                      <w:rFonts w:hint="eastAsia"/>
                      <w:kern w:val="2"/>
                      <w:u w:val="single"/>
                    </w:rPr>
                    <w:t>符合</w:t>
                  </w:r>
                </w:p>
              </w:tc>
            </w:tr>
            <w:tr w14:paraId="78636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4" w:type="pct"/>
                  <w:tcBorders>
                    <w:tl2br w:val="nil"/>
                    <w:tr2bl w:val="nil"/>
                  </w:tcBorders>
                  <w:vAlign w:val="center"/>
                </w:tcPr>
                <w:p w14:paraId="4BE4C7F5">
                  <w:pPr>
                    <w:pStyle w:val="48"/>
                    <w:widowControl w:val="0"/>
                    <w:jc w:val="center"/>
                    <w:rPr>
                      <w:kern w:val="2"/>
                      <w:u w:val="single"/>
                    </w:rPr>
                  </w:pPr>
                  <w:r>
                    <w:rPr>
                      <w:rFonts w:hint="eastAsia"/>
                      <w:kern w:val="2"/>
                      <w:u w:val="single"/>
                    </w:rPr>
                    <w:t>6</w:t>
                  </w:r>
                </w:p>
              </w:tc>
              <w:tc>
                <w:tcPr>
                  <w:tcW w:w="2423" w:type="pct"/>
                  <w:tcBorders>
                    <w:tl2br w:val="nil"/>
                    <w:tr2bl w:val="nil"/>
                  </w:tcBorders>
                  <w:vAlign w:val="center"/>
                </w:tcPr>
                <w:p w14:paraId="7A600D5E">
                  <w:pPr>
                    <w:pStyle w:val="48"/>
                    <w:widowControl w:val="0"/>
                    <w:numPr>
                      <w:ilvl w:val="0"/>
                      <w:numId w:val="14"/>
                    </w:numPr>
                    <w:jc w:val="both"/>
                    <w:rPr>
                      <w:rFonts w:hint="eastAsia"/>
                      <w:kern w:val="2"/>
                      <w:u w:val="single"/>
                      <w:lang w:val="en-US" w:eastAsia="zh-CN"/>
                    </w:rPr>
                  </w:pPr>
                  <w:r>
                    <w:rPr>
                      <w:rFonts w:hint="eastAsia"/>
                      <w:kern w:val="2"/>
                      <w:u w:val="single"/>
                      <w:lang w:val="en-US" w:eastAsia="zh-CN"/>
                    </w:rPr>
                    <w:t>提高清洁运输比例</w:t>
                  </w:r>
                </w:p>
                <w:p w14:paraId="58F36A05">
                  <w:pPr>
                    <w:pStyle w:val="48"/>
                    <w:widowControl w:val="0"/>
                    <w:numPr>
                      <w:ilvl w:val="0"/>
                      <w:numId w:val="0"/>
                    </w:numPr>
                    <w:jc w:val="both"/>
                    <w:rPr>
                      <w:rFonts w:hint="default"/>
                      <w:u w:val="single"/>
                      <w:lang w:val="en-US" w:eastAsia="zh-CN"/>
                    </w:rPr>
                  </w:pPr>
                  <w:r>
                    <w:rPr>
                      <w:rFonts w:hint="eastAsia"/>
                      <w:u w:val="single"/>
                      <w:lang w:val="en-US" w:eastAsia="zh-CN"/>
                    </w:rPr>
                    <w:t>16、</w:t>
                  </w:r>
                  <w:r>
                    <w:rPr>
                      <w:u w:val="single"/>
                    </w:rPr>
                    <w:t>制定重点行业用车大户清洁运输升级改造工作方案，推动重点行业、用车大户、工业园区、产业集群清洁运输升级。到2028年，火电、钢铁、煤炭、焦化、有色冶炼等重点行业清洁运输比例达到90%；汽车、水泥、商砼、砂石骨料等行业，年货运量150万吨以上的其他用车大户以及城市内部物流（含冷链）清洁运输比例力争达到50%；重点行业企业门禁系统“应装尽装”。</w:t>
                  </w:r>
                </w:p>
              </w:tc>
              <w:tc>
                <w:tcPr>
                  <w:tcW w:w="1850" w:type="pct"/>
                  <w:tcBorders>
                    <w:tl2br w:val="nil"/>
                    <w:tr2bl w:val="nil"/>
                  </w:tcBorders>
                  <w:vAlign w:val="center"/>
                </w:tcPr>
                <w:p w14:paraId="20ED8DFB">
                  <w:pPr>
                    <w:pStyle w:val="9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u w:val="single"/>
                      <w:lang w:val="en-US"/>
                    </w:rPr>
                  </w:pPr>
                  <w:r>
                    <w:rPr>
                      <w:rFonts w:hint="default" w:ascii="Times New Roman" w:hAnsi="Times New Roman" w:eastAsia="宋体" w:cs="Times New Roman"/>
                      <w:i w:val="0"/>
                      <w:iCs w:val="0"/>
                      <w:caps w:val="0"/>
                      <w:color w:val="0F1115"/>
                      <w:spacing w:val="0"/>
                      <w:sz w:val="21"/>
                      <w:szCs w:val="21"/>
                      <w:u w:val="single"/>
                      <w:shd w:val="clear" w:fill="FFFFFF"/>
                    </w:rPr>
                    <w:t>本项目物料运输采用专用密闭罐车，</w:t>
                  </w:r>
                  <w:r>
                    <w:rPr>
                      <w:rFonts w:hint="eastAsia" w:ascii="Times New Roman" w:hAnsi="Times New Roman" w:eastAsia="宋体" w:cs="Times New Roman"/>
                      <w:i w:val="0"/>
                      <w:iCs w:val="0"/>
                      <w:caps w:val="0"/>
                      <w:color w:val="0F1115"/>
                      <w:spacing w:val="0"/>
                      <w:sz w:val="21"/>
                      <w:szCs w:val="21"/>
                      <w:u w:val="single"/>
                      <w:shd w:val="clear" w:fill="FFFFFF"/>
                      <w:lang w:val="en-US" w:eastAsia="zh-CN"/>
                    </w:rPr>
                    <w:t>物料装车</w:t>
                  </w:r>
                  <w:r>
                    <w:rPr>
                      <w:rFonts w:hint="default" w:ascii="Times New Roman" w:hAnsi="Times New Roman" w:eastAsia="宋体" w:cs="Times New Roman"/>
                      <w:i w:val="0"/>
                      <w:iCs w:val="0"/>
                      <w:caps w:val="0"/>
                      <w:color w:val="0F1115"/>
                      <w:spacing w:val="0"/>
                      <w:sz w:val="21"/>
                      <w:szCs w:val="21"/>
                      <w:u w:val="single"/>
                      <w:shd w:val="clear" w:fill="FFFFFF"/>
                    </w:rPr>
                    <w:t>过程配套散装机布袋除尘器，符合清洁运输要求</w:t>
                  </w:r>
                </w:p>
              </w:tc>
              <w:tc>
                <w:tcPr>
                  <w:tcW w:w="371" w:type="pct"/>
                  <w:tcBorders>
                    <w:tl2br w:val="nil"/>
                    <w:tr2bl w:val="nil"/>
                  </w:tcBorders>
                  <w:vAlign w:val="center"/>
                </w:tcPr>
                <w:p w14:paraId="38394689">
                  <w:pPr>
                    <w:pStyle w:val="48"/>
                    <w:widowControl w:val="0"/>
                    <w:jc w:val="center"/>
                    <w:rPr>
                      <w:kern w:val="2"/>
                      <w:u w:val="single"/>
                    </w:rPr>
                  </w:pPr>
                  <w:r>
                    <w:rPr>
                      <w:rFonts w:hint="eastAsia"/>
                      <w:kern w:val="2"/>
                      <w:u w:val="single"/>
                    </w:rPr>
                    <w:t>符合</w:t>
                  </w:r>
                </w:p>
              </w:tc>
            </w:tr>
            <w:tr w14:paraId="6A94C3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4" w:type="pct"/>
                  <w:tcBorders>
                    <w:tl2br w:val="nil"/>
                    <w:tr2bl w:val="nil"/>
                  </w:tcBorders>
                  <w:vAlign w:val="center"/>
                </w:tcPr>
                <w:p w14:paraId="4D724E19">
                  <w:pPr>
                    <w:pStyle w:val="48"/>
                    <w:widowControl w:val="0"/>
                    <w:jc w:val="center"/>
                    <w:rPr>
                      <w:kern w:val="2"/>
                      <w:u w:val="single"/>
                    </w:rPr>
                  </w:pPr>
                  <w:r>
                    <w:rPr>
                      <w:rFonts w:hint="eastAsia"/>
                      <w:kern w:val="2"/>
                      <w:u w:val="single"/>
                    </w:rPr>
                    <w:t>7</w:t>
                  </w:r>
                </w:p>
              </w:tc>
              <w:tc>
                <w:tcPr>
                  <w:tcW w:w="2423" w:type="pct"/>
                  <w:tcBorders>
                    <w:tl2br w:val="nil"/>
                    <w:tr2bl w:val="nil"/>
                  </w:tcBorders>
                  <w:vAlign w:val="center"/>
                </w:tcPr>
                <w:p w14:paraId="10AF941B">
                  <w:pPr>
                    <w:pStyle w:val="48"/>
                    <w:widowControl w:val="0"/>
                    <w:numPr>
                      <w:ilvl w:val="0"/>
                      <w:numId w:val="15"/>
                    </w:numPr>
                    <w:jc w:val="both"/>
                    <w:rPr>
                      <w:rFonts w:hint="eastAsia"/>
                      <w:kern w:val="2"/>
                      <w:u w:val="single"/>
                      <w:lang w:val="en-US" w:eastAsia="zh-CN"/>
                    </w:rPr>
                  </w:pPr>
                  <w:r>
                    <w:rPr>
                      <w:rFonts w:hint="eastAsia"/>
                      <w:kern w:val="2"/>
                      <w:u w:val="single"/>
                      <w:lang w:val="en-US" w:eastAsia="zh-CN"/>
                    </w:rPr>
                    <w:t>开展低效失效治理设施排查政治</w:t>
                  </w:r>
                </w:p>
                <w:p w14:paraId="4C746E9C">
                  <w:pPr>
                    <w:pStyle w:val="48"/>
                    <w:widowControl w:val="0"/>
                    <w:numPr>
                      <w:ilvl w:val="0"/>
                      <w:numId w:val="0"/>
                    </w:numPr>
                    <w:jc w:val="both"/>
                    <w:rPr>
                      <w:rFonts w:hint="default"/>
                      <w:kern w:val="2"/>
                      <w:u w:val="single"/>
                      <w:lang w:val="en-US" w:eastAsia="zh-CN"/>
                    </w:rPr>
                  </w:pPr>
                  <w:r>
                    <w:rPr>
                      <w:rFonts w:hint="eastAsia"/>
                      <w:kern w:val="2"/>
                      <w:u w:val="single"/>
                      <w:lang w:val="en-US" w:eastAsia="zh-CN"/>
                    </w:rPr>
                    <w:t>26、</w:t>
                  </w:r>
                  <w:r>
                    <w:rPr>
                      <w:u w:val="single"/>
                    </w:rPr>
                    <w:t>以砖瓦、玻璃、陶瓷、石灰、铸造、有色、锅炉、石化化工、涂装、包装印刷等行业为重点，开展低效失效治理设施排查，对发现的问题实行清单化管理。围绕重点行业深度治理制定相关技术指引，指导企业优先选用国家鼓励的先进技术装备，通过清洁能源替代、升级改造、整合退出等方式依法实施分类整治。严格对照标准规范核实销号，确保取得实效。2026年底前，全面启动整治工作，完成3个以上行业的整治任务。</w:t>
                  </w:r>
                </w:p>
              </w:tc>
              <w:tc>
                <w:tcPr>
                  <w:tcW w:w="1850" w:type="pct"/>
                  <w:tcBorders>
                    <w:tl2br w:val="nil"/>
                    <w:tr2bl w:val="nil"/>
                  </w:tcBorders>
                  <w:vAlign w:val="center"/>
                </w:tcPr>
                <w:p w14:paraId="067DE157">
                  <w:pPr>
                    <w:pStyle w:val="9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u w:val="single"/>
                    </w:rPr>
                  </w:pPr>
                  <w:r>
                    <w:rPr>
                      <w:rFonts w:hint="default" w:ascii="Times New Roman" w:hAnsi="Times New Roman" w:eastAsia="宋体" w:cs="Times New Roman"/>
                      <w:i w:val="0"/>
                      <w:iCs w:val="0"/>
                      <w:caps w:val="0"/>
                      <w:color w:val="0F1115"/>
                      <w:spacing w:val="0"/>
                      <w:sz w:val="21"/>
                      <w:szCs w:val="21"/>
                      <w:u w:val="single"/>
                      <w:shd w:val="clear" w:fill="FFFFFF"/>
                    </w:rPr>
                    <w:t>本项目筒仓呼吸粉尘采用脉冲布袋除尘器及侧抽模块化除尘器处理，处理效率≥99%，不属于低效失效治理设施</w:t>
                  </w:r>
                </w:p>
              </w:tc>
              <w:tc>
                <w:tcPr>
                  <w:tcW w:w="371" w:type="pct"/>
                  <w:tcBorders>
                    <w:tl2br w:val="nil"/>
                    <w:tr2bl w:val="nil"/>
                  </w:tcBorders>
                  <w:vAlign w:val="center"/>
                </w:tcPr>
                <w:p w14:paraId="7B917FA8">
                  <w:pPr>
                    <w:pStyle w:val="48"/>
                    <w:widowControl w:val="0"/>
                    <w:jc w:val="center"/>
                    <w:rPr>
                      <w:kern w:val="2"/>
                      <w:u w:val="single"/>
                    </w:rPr>
                  </w:pPr>
                  <w:r>
                    <w:rPr>
                      <w:rFonts w:hint="eastAsia"/>
                      <w:kern w:val="2"/>
                      <w:u w:val="single"/>
                    </w:rPr>
                    <w:t>符合</w:t>
                  </w:r>
                </w:p>
              </w:tc>
            </w:tr>
            <w:tr w14:paraId="122AD7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4" w:type="pct"/>
                  <w:tcBorders>
                    <w:tl2br w:val="nil"/>
                    <w:tr2bl w:val="nil"/>
                  </w:tcBorders>
                  <w:vAlign w:val="center"/>
                </w:tcPr>
                <w:p w14:paraId="7A1DACE5">
                  <w:pPr>
                    <w:pStyle w:val="48"/>
                    <w:widowControl w:val="0"/>
                    <w:jc w:val="center"/>
                    <w:rPr>
                      <w:kern w:val="2"/>
                      <w:u w:val="single"/>
                    </w:rPr>
                  </w:pPr>
                  <w:r>
                    <w:rPr>
                      <w:rFonts w:hint="eastAsia"/>
                      <w:kern w:val="2"/>
                      <w:u w:val="single"/>
                    </w:rPr>
                    <w:t>8</w:t>
                  </w:r>
                </w:p>
              </w:tc>
              <w:tc>
                <w:tcPr>
                  <w:tcW w:w="2423" w:type="pct"/>
                  <w:tcBorders>
                    <w:tl2br w:val="nil"/>
                    <w:tr2bl w:val="nil"/>
                  </w:tcBorders>
                  <w:vAlign w:val="center"/>
                </w:tcPr>
                <w:p w14:paraId="7AF7B950">
                  <w:pPr>
                    <w:pStyle w:val="48"/>
                    <w:widowControl w:val="0"/>
                    <w:numPr>
                      <w:ilvl w:val="0"/>
                      <w:numId w:val="15"/>
                    </w:numPr>
                    <w:ind w:left="0" w:leftChars="0" w:firstLine="0" w:firstLineChars="0"/>
                    <w:jc w:val="both"/>
                    <w:rPr>
                      <w:rFonts w:hint="eastAsia"/>
                      <w:kern w:val="2"/>
                      <w:u w:val="single"/>
                      <w:lang w:val="en-US" w:eastAsia="zh-CN"/>
                    </w:rPr>
                  </w:pPr>
                  <w:r>
                    <w:rPr>
                      <w:rFonts w:hint="eastAsia"/>
                      <w:kern w:val="2"/>
                      <w:u w:val="single"/>
                      <w:lang w:val="en-US" w:eastAsia="zh-CN"/>
                    </w:rPr>
                    <w:t>深化重点行业污染治理</w:t>
                  </w:r>
                </w:p>
                <w:p w14:paraId="72A7CA4F">
                  <w:pPr>
                    <w:pStyle w:val="48"/>
                    <w:widowControl w:val="0"/>
                    <w:numPr>
                      <w:ilvl w:val="0"/>
                      <w:numId w:val="16"/>
                    </w:numPr>
                    <w:ind w:leftChars="0"/>
                    <w:jc w:val="both"/>
                    <w:rPr>
                      <w:u w:val="single"/>
                    </w:rPr>
                  </w:pPr>
                  <w:r>
                    <w:rPr>
                      <w:u w:val="single"/>
                    </w:rPr>
                    <w:t>推动燃煤机组（含自备电厂）全流程超低排放和全负荷脱硝改造，优化完善配套超低电价奖补政策。2026年底前，完成18家燃煤电厂的27台发电机组全负荷脱硝改造、所有燃煤电厂全流程超低排放改造工程的50%以上。2027年底前，基本完成改造重点工程。</w:t>
                  </w:r>
                </w:p>
                <w:p w14:paraId="6AB0AE77">
                  <w:pPr>
                    <w:pStyle w:val="48"/>
                    <w:widowControl w:val="0"/>
                    <w:numPr>
                      <w:ilvl w:val="0"/>
                      <w:numId w:val="0"/>
                    </w:numPr>
                    <w:ind w:leftChars="0"/>
                    <w:jc w:val="both"/>
                    <w:rPr>
                      <w:rFonts w:hint="default"/>
                      <w:u w:val="single"/>
                      <w:lang w:val="en-US" w:eastAsia="zh-CN"/>
                    </w:rPr>
                  </w:pPr>
                  <w:r>
                    <w:rPr>
                      <w:rFonts w:hint="eastAsia"/>
                      <w:u w:val="single"/>
                      <w:lang w:val="en-US" w:eastAsia="zh-CN"/>
                    </w:rPr>
                    <w:t>30、</w:t>
                  </w:r>
                  <w:r>
                    <w:rPr>
                      <w:u w:val="single"/>
                    </w:rPr>
                    <w:t>完善差异化电价、监管执法等绩效分级配套支撑政策，以长流程钢铁、炼化一体化、水泥熟料、汽车整车、平板玻璃、有色冶炼等行业为重点，持续推进环保绩效提升。2026年底前，长流程钢铁企业达到绩效A级水平，水泥熟料企业、焦化企业达到绩效B级及以上水平。2028年底前，燃煤发电、炼化一体化、水泥熟料、汽车整车制造企业达到绩效A级水平，平板玻璃、铜冶炼、铅锌冶炼企业达到B级及以上水平；B级及以上企业数量不少于400家。</w:t>
                  </w:r>
                </w:p>
              </w:tc>
              <w:tc>
                <w:tcPr>
                  <w:tcW w:w="1850" w:type="pct"/>
                  <w:tcBorders>
                    <w:tl2br w:val="nil"/>
                    <w:tr2bl w:val="nil"/>
                  </w:tcBorders>
                  <w:vAlign w:val="center"/>
                </w:tcPr>
                <w:p w14:paraId="293AFA70">
                  <w:pPr>
                    <w:pStyle w:val="97"/>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i w:val="0"/>
                      <w:iCs w:val="0"/>
                      <w:caps w:val="0"/>
                      <w:color w:val="0F1115"/>
                      <w:spacing w:val="0"/>
                      <w:sz w:val="21"/>
                      <w:szCs w:val="21"/>
                      <w:u w:val="single"/>
                      <w:shd w:val="clear" w:fill="FFFFFF"/>
                      <w:lang w:eastAsia="zh-CN"/>
                    </w:rPr>
                  </w:pPr>
                  <w:r>
                    <w:rPr>
                      <w:rFonts w:hint="default" w:ascii="Times New Roman" w:hAnsi="Times New Roman" w:eastAsia="宋体" w:cs="Times New Roman"/>
                      <w:i w:val="0"/>
                      <w:iCs w:val="0"/>
                      <w:caps w:val="0"/>
                      <w:color w:val="0F1115"/>
                      <w:spacing w:val="0"/>
                      <w:sz w:val="21"/>
                      <w:szCs w:val="21"/>
                      <w:u w:val="single"/>
                      <w:shd w:val="clear" w:fill="FFFFFF"/>
                    </w:rPr>
                    <w:t>本项目为粉煤灰综合利用项目，不涉及燃煤机组改造。华能电厂已按相关要求完成机组超低排放改造</w:t>
                  </w:r>
                  <w:r>
                    <w:rPr>
                      <w:rFonts w:hint="default" w:ascii="Times New Roman" w:hAnsi="Times New Roman" w:eastAsia="宋体" w:cs="Times New Roman"/>
                      <w:i w:val="0"/>
                      <w:iCs w:val="0"/>
                      <w:caps w:val="0"/>
                      <w:color w:val="0F1115"/>
                      <w:spacing w:val="0"/>
                      <w:sz w:val="21"/>
                      <w:szCs w:val="21"/>
                      <w:u w:val="single"/>
                      <w:shd w:val="clear" w:fill="FFFFFF"/>
                      <w:lang w:eastAsia="zh-CN"/>
                    </w:rPr>
                    <w:t>；</w:t>
                  </w:r>
                </w:p>
                <w:p w14:paraId="71E646CD">
                  <w:pPr>
                    <w:keepNext w:val="0"/>
                    <w:keepLines w:val="0"/>
                    <w:pageBreakBefore w:val="0"/>
                    <w:widowControl w:val="0"/>
                    <w:kinsoku/>
                    <w:wordWrap/>
                    <w:overflowPunct/>
                    <w:topLinePunct w:val="0"/>
                    <w:autoSpaceDE/>
                    <w:autoSpaceDN/>
                    <w:bidi w:val="0"/>
                    <w:spacing w:line="240" w:lineRule="auto"/>
                    <w:textAlignment w:val="auto"/>
                    <w:rPr>
                      <w:rFonts w:hint="eastAsia"/>
                      <w:u w:val="single"/>
                      <w:lang w:eastAsia="zh-CN"/>
                    </w:rPr>
                  </w:pPr>
                  <w:r>
                    <w:rPr>
                      <w:rFonts w:hint="default" w:ascii="Times New Roman" w:hAnsi="Times New Roman" w:eastAsia="宋体" w:cs="Times New Roman"/>
                      <w:i w:val="0"/>
                      <w:iCs w:val="0"/>
                      <w:caps w:val="0"/>
                      <w:color w:val="0F1115"/>
                      <w:spacing w:val="0"/>
                      <w:sz w:val="21"/>
                      <w:szCs w:val="21"/>
                      <w:u w:val="single"/>
                      <w:shd w:val="clear" w:fill="FFFFFF"/>
                    </w:rPr>
                    <w:t>华能湖南岳阳发电有限责任公司已按要求开展环保绩效分级管理，本项目依托现有环保设施，不降低企业环保绩效水平</w:t>
                  </w:r>
                </w:p>
              </w:tc>
              <w:tc>
                <w:tcPr>
                  <w:tcW w:w="371" w:type="pct"/>
                  <w:tcBorders>
                    <w:tl2br w:val="nil"/>
                    <w:tr2bl w:val="nil"/>
                  </w:tcBorders>
                  <w:vAlign w:val="center"/>
                </w:tcPr>
                <w:p w14:paraId="213118E1">
                  <w:pPr>
                    <w:pStyle w:val="48"/>
                    <w:widowControl w:val="0"/>
                    <w:jc w:val="center"/>
                    <w:rPr>
                      <w:kern w:val="2"/>
                      <w:u w:val="single"/>
                    </w:rPr>
                  </w:pPr>
                  <w:r>
                    <w:rPr>
                      <w:rFonts w:hint="eastAsia"/>
                      <w:kern w:val="2"/>
                      <w:u w:val="single"/>
                    </w:rPr>
                    <w:t>符合</w:t>
                  </w:r>
                </w:p>
              </w:tc>
            </w:tr>
          </w:tbl>
          <w:p w14:paraId="16695029">
            <w:pPr>
              <w:keepNext w:val="0"/>
              <w:keepLines w:val="0"/>
              <w:pageBreakBefore w:val="0"/>
              <w:widowControl/>
              <w:numPr>
                <w:ilvl w:val="0"/>
                <w:numId w:val="0"/>
              </w:numPr>
              <w:kinsoku/>
              <w:wordWrap/>
              <w:overflowPunct/>
              <w:topLinePunct w:val="0"/>
              <w:autoSpaceDE w:val="0"/>
              <w:autoSpaceDN w:val="0"/>
              <w:bidi w:val="0"/>
              <w:adjustRightInd w:val="0"/>
              <w:snapToGrid w:val="0"/>
              <w:spacing w:before="164" w:beforeLines="50" w:line="360" w:lineRule="auto"/>
              <w:ind w:firstLine="480" w:firstLineChars="200"/>
              <w:jc w:val="both"/>
              <w:textAlignment w:val="auto"/>
              <w:rPr>
                <w:rFonts w:hint="default" w:ascii="Times New Roman" w:hAnsi="Times New Roman" w:eastAsia="宋体" w:cs="Times New Roman"/>
                <w:b w:val="0"/>
                <w:bCs w:val="0"/>
                <w:highlight w:val="none"/>
                <w:u w:val="single"/>
                <w:lang w:val="en-US" w:eastAsia="zh-CN"/>
              </w:rPr>
            </w:pPr>
            <w:r>
              <w:rPr>
                <w:rFonts w:hint="default" w:ascii="Times New Roman" w:hAnsi="Times New Roman" w:eastAsia="宋体" w:cs="Times New Roman"/>
                <w:b w:val="0"/>
                <w:bCs w:val="0"/>
                <w:highlight w:val="none"/>
                <w:u w:val="single"/>
                <w:lang w:val="en-US" w:eastAsia="zh-CN"/>
              </w:rPr>
              <w:t>综上分析，本项目</w:t>
            </w:r>
            <w:r>
              <w:rPr>
                <w:rFonts w:hint="default" w:ascii="Times New Roman" w:hAnsi="Times New Roman" w:eastAsia="宋体" w:cs="Times New Roman"/>
                <w:i w:val="0"/>
                <w:iCs w:val="0"/>
                <w:caps w:val="0"/>
                <w:color w:val="0F1115"/>
                <w:spacing w:val="0"/>
                <w:sz w:val="24"/>
                <w:szCs w:val="24"/>
                <w:highlight w:val="none"/>
                <w:u w:val="single"/>
                <w:shd w:val="clear" w:fill="FFFFFF"/>
              </w:rPr>
              <w:t>符合《湖南省大气污染防治攻坚三年行动实施方案（2026-2028年）》（湘生环委办〔2026〕2号）的相关要求。</w:t>
            </w:r>
          </w:p>
          <w:p w14:paraId="3EC8A100">
            <w:pPr>
              <w:numPr>
                <w:ilvl w:val="0"/>
                <w:numId w:val="10"/>
              </w:numPr>
              <w:autoSpaceDE w:val="0"/>
              <w:autoSpaceDN w:val="0"/>
              <w:adjustRightInd w:val="0"/>
              <w:snapToGrid w:val="0"/>
              <w:ind w:left="0" w:firstLine="0" w:firstLineChars="0"/>
              <w:jc w:val="left"/>
              <w:rPr>
                <w:b/>
                <w:bCs/>
                <w:highlight w:val="none"/>
                <w:u w:val="none"/>
              </w:rPr>
            </w:pPr>
            <w:r>
              <w:rPr>
                <w:rFonts w:hint="eastAsia"/>
                <w:b/>
                <w:bCs/>
                <w:highlight w:val="none"/>
                <w:u w:val="none"/>
                <w:lang w:val="en-US" w:eastAsia="zh-CN"/>
              </w:rPr>
              <w:t>与《关于加强重点城市大气污染联防联控的若干措施》的相符性分析</w:t>
            </w:r>
          </w:p>
          <w:p w14:paraId="530D2E0D">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right="0" w:rightChars="0" w:firstLine="482" w:firstLineChars="200"/>
              <w:jc w:val="center"/>
              <w:textAlignment w:val="auto"/>
              <w:rPr>
                <w:rFonts w:hint="eastAsia"/>
                <w:b/>
                <w:bCs/>
                <w:highlight w:val="none"/>
                <w:u w:val="none"/>
                <w:lang w:val="en-US" w:eastAsia="zh-CN"/>
              </w:rPr>
            </w:pPr>
            <w:r>
              <w:rPr>
                <w:rFonts w:hint="eastAsia"/>
                <w:b/>
                <w:bCs/>
                <w:highlight w:val="none"/>
                <w:u w:val="none"/>
                <w:lang w:val="en-US" w:eastAsia="zh-CN"/>
              </w:rPr>
              <w:t>与《关于加强重点城市大气污染联防联控的若干措施》的相符性分析一览表</w:t>
            </w:r>
          </w:p>
          <w:tbl>
            <w:tblPr>
              <w:tblStyle w:val="32"/>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56"/>
              <w:gridCol w:w="3806"/>
              <w:gridCol w:w="2906"/>
              <w:gridCol w:w="583"/>
            </w:tblGrid>
            <w:tr w14:paraId="73BF6C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4" w:type="pct"/>
                  <w:tcBorders>
                    <w:tl2br w:val="nil"/>
                    <w:tr2bl w:val="nil"/>
                  </w:tcBorders>
                  <w:vAlign w:val="center"/>
                </w:tcPr>
                <w:p w14:paraId="03361984">
                  <w:pPr>
                    <w:pStyle w:val="48"/>
                    <w:widowControl/>
                    <w:jc w:val="center"/>
                    <w:rPr>
                      <w:b/>
                      <w:bCs/>
                      <w:kern w:val="2"/>
                      <w:u w:val="single"/>
                    </w:rPr>
                  </w:pPr>
                  <w:r>
                    <w:rPr>
                      <w:rFonts w:hint="eastAsia" w:cstheme="minorBidi"/>
                      <w:b/>
                      <w:bCs/>
                      <w:kern w:val="2"/>
                      <w:u w:val="single"/>
                    </w:rPr>
                    <w:t>序号</w:t>
                  </w:r>
                </w:p>
              </w:tc>
              <w:tc>
                <w:tcPr>
                  <w:tcW w:w="2423" w:type="pct"/>
                  <w:tcBorders>
                    <w:tl2br w:val="nil"/>
                    <w:tr2bl w:val="nil"/>
                  </w:tcBorders>
                  <w:vAlign w:val="center"/>
                </w:tcPr>
                <w:p w14:paraId="34EFADDF">
                  <w:pPr>
                    <w:pStyle w:val="48"/>
                    <w:widowControl/>
                    <w:ind w:left="0" w:leftChars="0" w:right="0" w:rightChars="0" w:firstLine="0" w:firstLineChars="0"/>
                    <w:jc w:val="center"/>
                    <w:rPr>
                      <w:rFonts w:hint="eastAsia" w:eastAsia="宋体"/>
                      <w:b/>
                      <w:bCs/>
                      <w:kern w:val="2"/>
                      <w:u w:val="single"/>
                      <w:lang w:val="en-US" w:eastAsia="zh-CN"/>
                    </w:rPr>
                  </w:pPr>
                  <w:r>
                    <w:rPr>
                      <w:rFonts w:hint="eastAsia"/>
                      <w:b/>
                      <w:bCs/>
                      <w:kern w:val="2"/>
                      <w:u w:val="single"/>
                      <w:lang w:val="en-US" w:eastAsia="zh-CN"/>
                    </w:rPr>
                    <w:t>文件要求</w:t>
                  </w:r>
                </w:p>
              </w:tc>
              <w:tc>
                <w:tcPr>
                  <w:tcW w:w="1850" w:type="pct"/>
                  <w:tcBorders>
                    <w:tl2br w:val="nil"/>
                    <w:tr2bl w:val="nil"/>
                  </w:tcBorders>
                  <w:vAlign w:val="center"/>
                </w:tcPr>
                <w:p w14:paraId="53A85AC9">
                  <w:pPr>
                    <w:pStyle w:val="48"/>
                    <w:widowControl/>
                    <w:jc w:val="center"/>
                    <w:rPr>
                      <w:b/>
                      <w:bCs/>
                      <w:kern w:val="2"/>
                      <w:u w:val="single"/>
                    </w:rPr>
                  </w:pPr>
                  <w:r>
                    <w:rPr>
                      <w:rFonts w:hint="eastAsia" w:cstheme="minorBidi"/>
                      <w:b/>
                      <w:bCs/>
                      <w:kern w:val="2"/>
                      <w:u w:val="single"/>
                    </w:rPr>
                    <w:t>项目情况</w:t>
                  </w:r>
                </w:p>
              </w:tc>
              <w:tc>
                <w:tcPr>
                  <w:tcW w:w="371" w:type="pct"/>
                  <w:tcBorders>
                    <w:tl2br w:val="nil"/>
                    <w:tr2bl w:val="nil"/>
                  </w:tcBorders>
                  <w:vAlign w:val="center"/>
                </w:tcPr>
                <w:p w14:paraId="59144E17">
                  <w:pPr>
                    <w:pStyle w:val="48"/>
                    <w:widowControl/>
                    <w:jc w:val="center"/>
                    <w:rPr>
                      <w:b/>
                      <w:bCs/>
                      <w:kern w:val="2"/>
                      <w:u w:val="single"/>
                    </w:rPr>
                  </w:pPr>
                  <w:r>
                    <w:rPr>
                      <w:rFonts w:hint="eastAsia"/>
                      <w:b/>
                      <w:bCs/>
                      <w:kern w:val="2"/>
                      <w:u w:val="single"/>
                    </w:rPr>
                    <w:t>符合性</w:t>
                  </w:r>
                </w:p>
              </w:tc>
            </w:tr>
            <w:tr w14:paraId="32DDDC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4" w:type="pct"/>
                  <w:tcBorders>
                    <w:tl2br w:val="nil"/>
                    <w:tr2bl w:val="nil"/>
                  </w:tcBorders>
                  <w:vAlign w:val="center"/>
                </w:tcPr>
                <w:p w14:paraId="24DF3482">
                  <w:pPr>
                    <w:pStyle w:val="48"/>
                    <w:widowControl w:val="0"/>
                    <w:jc w:val="center"/>
                    <w:rPr>
                      <w:kern w:val="2"/>
                      <w:u w:val="single"/>
                    </w:rPr>
                  </w:pPr>
                  <w:r>
                    <w:rPr>
                      <w:rFonts w:hint="eastAsia"/>
                      <w:kern w:val="2"/>
                      <w:u w:val="single"/>
                    </w:rPr>
                    <w:t>1</w:t>
                  </w:r>
                </w:p>
              </w:tc>
              <w:tc>
                <w:tcPr>
                  <w:tcW w:w="2423" w:type="pct"/>
                  <w:tcBorders>
                    <w:tl2br w:val="nil"/>
                    <w:tr2bl w:val="nil"/>
                  </w:tcBorders>
                  <w:vAlign w:val="center"/>
                </w:tcPr>
                <w:p w14:paraId="28AC4D33">
                  <w:pPr>
                    <w:pStyle w:val="48"/>
                    <w:widowControl w:val="0"/>
                    <w:numPr>
                      <w:ilvl w:val="0"/>
                      <w:numId w:val="0"/>
                    </w:numPr>
                    <w:jc w:val="both"/>
                    <w:rPr>
                      <w:rFonts w:hint="default"/>
                      <w:b/>
                      <w:bCs/>
                      <w:kern w:val="2"/>
                      <w:u w:val="single"/>
                      <w:lang w:val="en-US" w:eastAsia="zh-CN"/>
                    </w:rPr>
                  </w:pPr>
                  <w:r>
                    <w:rPr>
                      <w:rFonts w:hint="eastAsia"/>
                      <w:b/>
                      <w:bCs/>
                      <w:kern w:val="2"/>
                      <w:u w:val="single"/>
                      <w:lang w:val="en-US" w:eastAsia="zh-CN"/>
                    </w:rPr>
                    <w:t>一、产业结构联调</w:t>
                  </w:r>
                </w:p>
                <w:p w14:paraId="53DE319A">
                  <w:pPr>
                    <w:pStyle w:val="48"/>
                    <w:widowControl w:val="0"/>
                    <w:numPr>
                      <w:ilvl w:val="0"/>
                      <w:numId w:val="0"/>
                    </w:numPr>
                    <w:jc w:val="both"/>
                    <w:rPr>
                      <w:rFonts w:hint="eastAsia"/>
                      <w:u w:val="single"/>
                      <w:lang w:eastAsia="zh-CN"/>
                    </w:rPr>
                  </w:pPr>
                  <w:r>
                    <w:rPr>
                      <w:rFonts w:hint="eastAsia"/>
                      <w:b/>
                      <w:bCs/>
                      <w:u w:val="single"/>
                      <w:lang w:eastAsia="zh-CN"/>
                    </w:rPr>
                    <w:t>（一）强化重点行业准入统一管理。</w:t>
                  </w:r>
                  <w:r>
                    <w:rPr>
                      <w:rFonts w:hint="eastAsia"/>
                      <w:u w:val="single"/>
                      <w:lang w:eastAsia="zh-CN"/>
                    </w:rPr>
                    <w:t>新改扩建“两高”项目和用煤项目应达到环保绩效A级要求，鼓励其他重点行业新改扩建项目按照环保绩效B级及以上要求建设。完善污染物排放倍量替代机制，不能稳定达标城市重点行业新改扩建项目实施主要污染物排放量倍量替代，所需替代量原则上在本市范围内统筹。规划控制砖瓦产能总量，推动《产业结构调整指导目录(2024年本)》限制类产能砖瓦企业关停或整合，城镇开发边界内不再新增烧结砖瓦企业。到2027年，重点城市保留的非限制类产能砖瓦企业达到环保绩效B级及以上要求。</w:t>
                  </w:r>
                </w:p>
                <w:p w14:paraId="533E69E9">
                  <w:pPr>
                    <w:pStyle w:val="48"/>
                    <w:widowControl w:val="0"/>
                    <w:numPr>
                      <w:ilvl w:val="0"/>
                      <w:numId w:val="0"/>
                    </w:numPr>
                    <w:jc w:val="both"/>
                    <w:rPr>
                      <w:rFonts w:hint="default"/>
                      <w:u w:val="single"/>
                      <w:lang w:val="en-US" w:eastAsia="zh-CN"/>
                    </w:rPr>
                  </w:pPr>
                  <w:r>
                    <w:rPr>
                      <w:rFonts w:hint="eastAsia"/>
                      <w:b/>
                      <w:bCs/>
                      <w:u w:val="single"/>
                      <w:lang w:val="en-US" w:eastAsia="zh-CN"/>
                    </w:rPr>
                    <w:t>（</w:t>
                  </w:r>
                  <w:r>
                    <w:rPr>
                      <w:rFonts w:hint="default"/>
                      <w:b/>
                      <w:bCs/>
                      <w:u w:val="single"/>
                      <w:lang w:val="en-US" w:eastAsia="zh-CN"/>
                    </w:rPr>
                    <w:t>二</w:t>
                  </w:r>
                  <w:r>
                    <w:rPr>
                      <w:rFonts w:hint="eastAsia"/>
                      <w:b/>
                      <w:bCs/>
                      <w:u w:val="single"/>
                      <w:lang w:val="en-US" w:eastAsia="zh-CN"/>
                    </w:rPr>
                    <w:t>）</w:t>
                  </w:r>
                  <w:r>
                    <w:rPr>
                      <w:rFonts w:hint="default"/>
                      <w:b/>
                      <w:bCs/>
                      <w:u w:val="single"/>
                      <w:lang w:val="en-US" w:eastAsia="zh-CN"/>
                    </w:rPr>
                    <w:t>提升重点行业和园区环境绩效。</w:t>
                  </w:r>
                  <w:r>
                    <w:rPr>
                      <w:rFonts w:hint="default"/>
                      <w:u w:val="single"/>
                      <w:lang w:val="en-US" w:eastAsia="zh-CN"/>
                    </w:rPr>
                    <w:t>支持汽修集中区域建设集中</w:t>
                  </w:r>
                  <w:r>
                    <w:rPr>
                      <w:rFonts w:hint="eastAsia"/>
                      <w:u w:val="single"/>
                      <w:lang w:val="en-US" w:eastAsia="zh-CN"/>
                    </w:rPr>
                    <w:t>钣</w:t>
                  </w:r>
                  <w:r>
                    <w:rPr>
                      <w:rFonts w:hint="default"/>
                      <w:u w:val="single"/>
                      <w:lang w:val="en-US" w:eastAsia="zh-CN"/>
                    </w:rPr>
                    <w:t>喷中心，逐步退出覆盖范围内小散汽修</w:t>
                  </w:r>
                  <w:r>
                    <w:rPr>
                      <w:rFonts w:hint="eastAsia"/>
                      <w:u w:val="single"/>
                      <w:lang w:val="en-US" w:eastAsia="zh-CN"/>
                    </w:rPr>
                    <w:t>钣</w:t>
                  </w:r>
                  <w:r>
                    <w:rPr>
                      <w:rFonts w:hint="default"/>
                      <w:u w:val="single"/>
                      <w:lang w:val="en-US" w:eastAsia="zh-CN"/>
                    </w:rPr>
                    <w:t>喷工序，鼓励每个县市区建成1家及以上汽修集中</w:t>
                  </w:r>
                  <w:r>
                    <w:rPr>
                      <w:rFonts w:hint="eastAsia"/>
                      <w:u w:val="single"/>
                      <w:lang w:val="en-US" w:eastAsia="zh-CN"/>
                    </w:rPr>
                    <w:t>钣</w:t>
                  </w:r>
                  <w:r>
                    <w:rPr>
                      <w:rFonts w:hint="default"/>
                      <w:u w:val="single"/>
                      <w:lang w:val="en-US" w:eastAsia="zh-CN"/>
                    </w:rPr>
                    <w:t>喷中心。全面推进水泥、燃煤锅炉等行业高质量超低排放改造，推动垃圾焚烧、生物质锅炉、砖瓦、化工、铸造、有色等行业深度治理改造，打造一批行业标杆企业。加大对环保绩效A级企业的政策支持，加强授信和审批管理，落实差异化电价和先进制造业企业增值税加计抵减等政策，支持企业按规定申报中央和省级有关专项资金。</w:t>
                  </w:r>
                </w:p>
                <w:p w14:paraId="3D95F0E3">
                  <w:pPr>
                    <w:pStyle w:val="48"/>
                    <w:widowControl w:val="0"/>
                    <w:numPr>
                      <w:ilvl w:val="0"/>
                      <w:numId w:val="0"/>
                    </w:numPr>
                    <w:jc w:val="both"/>
                    <w:rPr>
                      <w:rFonts w:hint="default"/>
                      <w:u w:val="single"/>
                      <w:lang w:val="en-US" w:eastAsia="zh-CN"/>
                    </w:rPr>
                  </w:pPr>
                  <w:r>
                    <w:rPr>
                      <w:rFonts w:hint="eastAsia"/>
                      <w:b/>
                      <w:bCs/>
                      <w:u w:val="single"/>
                      <w:lang w:val="en-US" w:eastAsia="zh-CN"/>
                    </w:rPr>
                    <w:t>（</w:t>
                  </w:r>
                  <w:r>
                    <w:rPr>
                      <w:rFonts w:hint="default"/>
                      <w:b/>
                      <w:bCs/>
                      <w:u w:val="single"/>
                      <w:lang w:val="en-US" w:eastAsia="zh-CN"/>
                    </w:rPr>
                    <w:t>三</w:t>
                  </w:r>
                  <w:r>
                    <w:rPr>
                      <w:rFonts w:hint="eastAsia"/>
                      <w:b/>
                      <w:bCs/>
                      <w:u w:val="single"/>
                      <w:lang w:val="en-US" w:eastAsia="zh-CN"/>
                    </w:rPr>
                    <w:t>）</w:t>
                  </w:r>
                  <w:r>
                    <w:rPr>
                      <w:rFonts w:hint="default"/>
                      <w:b/>
                      <w:bCs/>
                      <w:u w:val="single"/>
                      <w:lang w:val="en-US" w:eastAsia="zh-CN"/>
                    </w:rPr>
                    <w:t>加强原辅材料和产品源头替代。</w:t>
                  </w:r>
                  <w:r>
                    <w:rPr>
                      <w:rFonts w:hint="default"/>
                      <w:u w:val="single"/>
                      <w:lang w:val="en-US" w:eastAsia="zh-CN"/>
                    </w:rPr>
                    <w:t>推动低挥发性有机物</w:t>
                  </w:r>
                  <w:r>
                    <w:rPr>
                      <w:rFonts w:hint="eastAsia"/>
                      <w:u w:val="single"/>
                      <w:lang w:val="en-US" w:eastAsia="zh-CN"/>
                    </w:rPr>
                    <w:t>（</w:t>
                  </w:r>
                  <w:r>
                    <w:rPr>
                      <w:rFonts w:hint="default"/>
                      <w:u w:val="single"/>
                      <w:lang w:val="en-US" w:eastAsia="zh-CN"/>
                    </w:rPr>
                    <w:t>VOCs</w:t>
                  </w:r>
                  <w:r>
                    <w:rPr>
                      <w:rFonts w:hint="eastAsia"/>
                      <w:u w:val="single"/>
                      <w:lang w:val="en-US" w:eastAsia="zh-CN"/>
                    </w:rPr>
                    <w:t>）</w:t>
                  </w:r>
                  <w:r>
                    <w:rPr>
                      <w:rFonts w:hint="default"/>
                      <w:u w:val="single"/>
                      <w:lang w:val="en-US" w:eastAsia="zh-CN"/>
                    </w:rPr>
                    <w:t>含量原辅材料替代，鼓励将使用低VOCs原辅材料纳入绿色工评价体系。使用财政资金的室内地坪施工、室外构筑物防护、城市道路交通标志和其他公共建设项目应优先使用低VOCs含量治料。工业涂装、包装印刷等行业新改扩建项目原则上应采用低</w:t>
                  </w:r>
                  <w:r>
                    <w:rPr>
                      <w:rFonts w:hint="eastAsia"/>
                      <w:u w:val="single"/>
                      <w:lang w:val="en-US" w:eastAsia="zh-CN"/>
                    </w:rPr>
                    <w:t>（</w:t>
                  </w:r>
                  <w:r>
                    <w:rPr>
                      <w:rFonts w:hint="default"/>
                      <w:u w:val="single"/>
                      <w:lang w:val="en-US" w:eastAsia="zh-CN"/>
                    </w:rPr>
                    <w:t>无</w:t>
                  </w:r>
                  <w:r>
                    <w:rPr>
                      <w:rFonts w:hint="eastAsia"/>
                      <w:u w:val="single"/>
                      <w:lang w:val="en-US" w:eastAsia="zh-CN"/>
                    </w:rPr>
                    <w:t>）</w:t>
                  </w:r>
                  <w:r>
                    <w:rPr>
                      <w:rFonts w:hint="default"/>
                      <w:u w:val="single"/>
                      <w:lang w:val="en-US" w:eastAsia="zh-CN"/>
                    </w:rPr>
                    <w:t>VOCs含量原辅材料</w:t>
                  </w:r>
                  <w:r>
                    <w:rPr>
                      <w:rFonts w:hint="eastAsia"/>
                      <w:u w:val="single"/>
                      <w:lang w:val="en-US" w:eastAsia="zh-CN"/>
                    </w:rPr>
                    <w:t>。</w:t>
                  </w:r>
                </w:p>
              </w:tc>
              <w:tc>
                <w:tcPr>
                  <w:tcW w:w="1850" w:type="pct"/>
                  <w:tcBorders>
                    <w:tl2br w:val="nil"/>
                    <w:tr2bl w:val="nil"/>
                  </w:tcBorders>
                  <w:vAlign w:val="center"/>
                </w:tcPr>
                <w:p w14:paraId="6B9FB08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u w:val="single"/>
                      <w:lang w:eastAsia="zh-CN"/>
                    </w:rPr>
                  </w:pPr>
                  <w:r>
                    <w:rPr>
                      <w:rFonts w:hint="eastAsia"/>
                      <w:sz w:val="21"/>
                      <w:szCs w:val="21"/>
                      <w:u w:val="single"/>
                      <w:lang w:eastAsia="zh-CN"/>
                    </w:rPr>
                    <w:t>本项目属于“N7723固体废物治理”，不属于“两高”项目，不使用煤炭。本项目为技术改造，不新增用地，不新增废气排放，依托现有环保设施，不改变企业现有环保绩效水平；</w:t>
                  </w:r>
                </w:p>
                <w:p w14:paraId="48555D5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Segoe UI" w:hAnsi="Segoe UI" w:eastAsia="宋体" w:cs="Segoe UI"/>
                      <w:i w:val="0"/>
                      <w:iCs w:val="0"/>
                      <w:caps w:val="0"/>
                      <w:color w:val="0F1115"/>
                      <w:spacing w:val="0"/>
                      <w:sz w:val="21"/>
                      <w:szCs w:val="21"/>
                      <w:u w:val="single"/>
                      <w:shd w:val="clear" w:fill="FFFFFF"/>
                      <w:lang w:eastAsia="zh-CN"/>
                    </w:rPr>
                  </w:pPr>
                  <w:r>
                    <w:rPr>
                      <w:rFonts w:ascii="Segoe UI" w:hAnsi="Segoe UI" w:eastAsia="Segoe UI" w:cs="Segoe UI"/>
                      <w:i w:val="0"/>
                      <w:iCs w:val="0"/>
                      <w:caps w:val="0"/>
                      <w:color w:val="0F1115"/>
                      <w:spacing w:val="0"/>
                      <w:sz w:val="21"/>
                      <w:szCs w:val="21"/>
                      <w:u w:val="single"/>
                      <w:shd w:val="clear" w:fill="FFFFFF"/>
                    </w:rPr>
                    <w:t>本项目不新增颗粒物排放（粉煤灰处理总量不增加，筒仓呼吸粉尘和罐车装车粉尘均为现有工程固有排放），不涉及倍量替代</w:t>
                  </w:r>
                  <w:r>
                    <w:rPr>
                      <w:rFonts w:hint="eastAsia" w:ascii="Segoe UI" w:hAnsi="Segoe UI" w:eastAsia="宋体" w:cs="Segoe UI"/>
                      <w:i w:val="0"/>
                      <w:iCs w:val="0"/>
                      <w:caps w:val="0"/>
                      <w:color w:val="0F1115"/>
                      <w:spacing w:val="0"/>
                      <w:sz w:val="21"/>
                      <w:szCs w:val="21"/>
                      <w:u w:val="single"/>
                      <w:shd w:val="clear" w:fill="FFFFFF"/>
                      <w:lang w:eastAsia="zh-CN"/>
                    </w:rPr>
                    <w:t>；</w:t>
                  </w:r>
                </w:p>
                <w:p w14:paraId="5264EAC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Segoe UI" w:hAnsi="Segoe UI" w:eastAsia="宋体" w:cs="Segoe UI"/>
                      <w:i w:val="0"/>
                      <w:iCs w:val="0"/>
                      <w:caps w:val="0"/>
                      <w:color w:val="0F1115"/>
                      <w:spacing w:val="0"/>
                      <w:sz w:val="22"/>
                      <w:szCs w:val="22"/>
                      <w:u w:val="single"/>
                      <w:shd w:val="clear" w:fill="FFFFFF"/>
                      <w:lang w:eastAsia="zh-CN"/>
                    </w:rPr>
                  </w:pPr>
                  <w:r>
                    <w:rPr>
                      <w:rFonts w:ascii="Segoe UI" w:hAnsi="Segoe UI" w:eastAsia="Segoe UI" w:cs="Segoe UI"/>
                      <w:i w:val="0"/>
                      <w:iCs w:val="0"/>
                      <w:caps w:val="0"/>
                      <w:color w:val="0F1115"/>
                      <w:spacing w:val="0"/>
                      <w:sz w:val="22"/>
                      <w:szCs w:val="22"/>
                      <w:u w:val="single"/>
                      <w:shd w:val="clear" w:fill="FFFFFF"/>
                    </w:rPr>
                    <w:t>本项目不属于上述需深度治理改造的行业范畴。华能电厂燃煤机组已按要求完成超低排放改造</w:t>
                  </w:r>
                  <w:r>
                    <w:rPr>
                      <w:rFonts w:hint="eastAsia" w:ascii="Segoe UI" w:hAnsi="Segoe UI" w:eastAsia="宋体" w:cs="Segoe UI"/>
                      <w:i w:val="0"/>
                      <w:iCs w:val="0"/>
                      <w:caps w:val="0"/>
                      <w:color w:val="0F1115"/>
                      <w:spacing w:val="0"/>
                      <w:sz w:val="22"/>
                      <w:szCs w:val="22"/>
                      <w:u w:val="single"/>
                      <w:shd w:val="clear" w:fill="FFFFFF"/>
                      <w:lang w:eastAsia="zh-CN"/>
                    </w:rPr>
                    <w:t>；</w:t>
                  </w:r>
                </w:p>
                <w:p w14:paraId="18A3188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Segoe UI" w:hAnsi="Segoe UI" w:eastAsia="宋体" w:cs="Segoe UI"/>
                      <w:i w:val="0"/>
                      <w:iCs w:val="0"/>
                      <w:caps w:val="0"/>
                      <w:color w:val="0F1115"/>
                      <w:spacing w:val="0"/>
                      <w:sz w:val="22"/>
                      <w:szCs w:val="22"/>
                      <w:u w:val="single"/>
                      <w:shd w:val="clear" w:fill="FFFFFF"/>
                      <w:lang w:eastAsia="zh-CN"/>
                    </w:rPr>
                  </w:pPr>
                  <w:r>
                    <w:rPr>
                      <w:rFonts w:hint="default" w:ascii="Times New Roman" w:hAnsi="Times New Roman" w:eastAsia="宋体" w:cs="Times New Roman"/>
                      <w:i w:val="0"/>
                      <w:iCs w:val="0"/>
                      <w:caps w:val="0"/>
                      <w:color w:val="0F1115"/>
                      <w:spacing w:val="0"/>
                      <w:sz w:val="21"/>
                      <w:szCs w:val="21"/>
                      <w:u w:val="single"/>
                      <w:shd w:val="clear" w:fill="FFFFFF"/>
                    </w:rPr>
                    <w:t>本项目为粉煤灰综合利用，原辅材料为粉煤灰，不涉及VOCs排放，不使用含VOCs原辅材料</w:t>
                  </w:r>
                  <w:r>
                    <w:rPr>
                      <w:rFonts w:hint="eastAsia" w:ascii="Times New Roman" w:hAnsi="Times New Roman" w:eastAsia="宋体" w:cs="Times New Roman"/>
                      <w:i w:val="0"/>
                      <w:iCs w:val="0"/>
                      <w:caps w:val="0"/>
                      <w:color w:val="0F1115"/>
                      <w:spacing w:val="0"/>
                      <w:sz w:val="21"/>
                      <w:szCs w:val="21"/>
                      <w:u w:val="single"/>
                      <w:shd w:val="clear" w:fill="FFFFFF"/>
                      <w:lang w:eastAsia="zh-CN"/>
                    </w:rPr>
                    <w:t>。</w:t>
                  </w:r>
                </w:p>
              </w:tc>
              <w:tc>
                <w:tcPr>
                  <w:tcW w:w="371" w:type="pct"/>
                  <w:tcBorders>
                    <w:tl2br w:val="nil"/>
                    <w:tr2bl w:val="nil"/>
                  </w:tcBorders>
                  <w:vAlign w:val="center"/>
                </w:tcPr>
                <w:p w14:paraId="44FB1E85">
                  <w:pPr>
                    <w:pStyle w:val="48"/>
                    <w:widowControl w:val="0"/>
                    <w:jc w:val="center"/>
                    <w:rPr>
                      <w:kern w:val="2"/>
                      <w:u w:val="single"/>
                    </w:rPr>
                  </w:pPr>
                  <w:r>
                    <w:rPr>
                      <w:rFonts w:hint="eastAsia"/>
                      <w:kern w:val="2"/>
                      <w:u w:val="single"/>
                    </w:rPr>
                    <w:t>符合</w:t>
                  </w:r>
                </w:p>
              </w:tc>
            </w:tr>
            <w:tr w14:paraId="6EFE3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4" w:type="pct"/>
                  <w:tcBorders>
                    <w:tl2br w:val="nil"/>
                    <w:tr2bl w:val="nil"/>
                  </w:tcBorders>
                  <w:vAlign w:val="center"/>
                </w:tcPr>
                <w:p w14:paraId="06FDCBB7">
                  <w:pPr>
                    <w:pStyle w:val="48"/>
                    <w:widowControl w:val="0"/>
                    <w:jc w:val="center"/>
                    <w:rPr>
                      <w:kern w:val="2"/>
                      <w:u w:val="single"/>
                    </w:rPr>
                  </w:pPr>
                  <w:r>
                    <w:rPr>
                      <w:rFonts w:hint="eastAsia"/>
                      <w:kern w:val="2"/>
                      <w:u w:val="single"/>
                    </w:rPr>
                    <w:t>2</w:t>
                  </w:r>
                </w:p>
              </w:tc>
              <w:tc>
                <w:tcPr>
                  <w:tcW w:w="2423" w:type="pct"/>
                  <w:tcBorders>
                    <w:tl2br w:val="nil"/>
                    <w:tr2bl w:val="nil"/>
                  </w:tcBorders>
                  <w:vAlign w:val="center"/>
                </w:tcPr>
                <w:p w14:paraId="037CDD93">
                  <w:pPr>
                    <w:pStyle w:val="48"/>
                    <w:widowControl w:val="0"/>
                    <w:numPr>
                      <w:ilvl w:val="0"/>
                      <w:numId w:val="0"/>
                    </w:numPr>
                    <w:ind w:leftChars="0"/>
                    <w:jc w:val="both"/>
                    <w:rPr>
                      <w:rFonts w:hint="default"/>
                      <w:b/>
                      <w:bCs/>
                      <w:kern w:val="2"/>
                      <w:u w:val="single"/>
                      <w:lang w:val="en-US" w:eastAsia="zh-CN"/>
                    </w:rPr>
                  </w:pPr>
                  <w:r>
                    <w:rPr>
                      <w:rFonts w:hint="eastAsia"/>
                      <w:b/>
                      <w:bCs/>
                      <w:kern w:val="2"/>
                      <w:u w:val="single"/>
                      <w:lang w:val="en-US" w:eastAsia="zh-CN"/>
                    </w:rPr>
                    <w:t>二、能源结构联优</w:t>
                  </w:r>
                </w:p>
                <w:p w14:paraId="4BD1A2DE">
                  <w:pPr>
                    <w:pStyle w:val="48"/>
                    <w:widowControl w:val="0"/>
                    <w:numPr>
                      <w:ilvl w:val="0"/>
                      <w:numId w:val="0"/>
                    </w:numPr>
                    <w:ind w:leftChars="0"/>
                    <w:jc w:val="both"/>
                    <w:rPr>
                      <w:rFonts w:hint="default"/>
                      <w:u w:val="single"/>
                      <w:lang w:val="en-US" w:eastAsia="zh-CN"/>
                    </w:rPr>
                  </w:pPr>
                  <w:r>
                    <w:rPr>
                      <w:rFonts w:hint="eastAsia"/>
                      <w:b/>
                      <w:bCs/>
                      <w:u w:val="single"/>
                      <w:lang w:val="en-US" w:eastAsia="zh-CN"/>
                    </w:rPr>
                    <w:t>（</w:t>
                  </w:r>
                  <w:r>
                    <w:rPr>
                      <w:rFonts w:hint="default"/>
                      <w:b/>
                      <w:bCs/>
                      <w:u w:val="single"/>
                      <w:lang w:val="en-US" w:eastAsia="zh-CN"/>
                    </w:rPr>
                    <w:t>四</w:t>
                  </w:r>
                  <w:r>
                    <w:rPr>
                      <w:rFonts w:hint="eastAsia"/>
                      <w:b/>
                      <w:bCs/>
                      <w:u w:val="single"/>
                      <w:lang w:val="en-US" w:eastAsia="zh-CN"/>
                    </w:rPr>
                    <w:t>）</w:t>
                  </w:r>
                  <w:r>
                    <w:rPr>
                      <w:rFonts w:hint="default"/>
                      <w:b/>
                      <w:bCs/>
                      <w:u w:val="single"/>
                      <w:lang w:val="en-US" w:eastAsia="zh-CN"/>
                    </w:rPr>
                    <w:t>加强锅炉综合整治。</w:t>
                  </w:r>
                  <w:r>
                    <w:rPr>
                      <w:rFonts w:hint="default"/>
                      <w:u w:val="single"/>
                      <w:lang w:val="en-US" w:eastAsia="zh-CN"/>
                    </w:rPr>
                    <w:t>建立“清洁发电、绿色调度”机制，提高高效清洁煤电机组负荷率。提升电力用煤绩效，支持符合全省电力系统需要、服役30年以上、供电煤耗300克/千瓦时以上的30万千瓦老旧煤电机组“上大压小”建设超超临界机组。燃气管网覆盖范围内不再新建生物质锅炉，支持城镇开发边界内的生物质锅炉开展超低排放改造。供热需求量大、小锅炉集中的园区规划建设集中供热设施，充分发挥30万千瓦及以上热电联产电厂供热能力，加快供热半径30公里范围内管网建设。到2027年，35基吨/小时及以下燃煤锅炉和供热管网覆盖范围内未达到超低排放要求的生物质锅炉应关停或整合。</w:t>
                  </w:r>
                </w:p>
                <w:p w14:paraId="287EBE73">
                  <w:pPr>
                    <w:pStyle w:val="48"/>
                    <w:widowControl w:val="0"/>
                    <w:numPr>
                      <w:ilvl w:val="0"/>
                      <w:numId w:val="0"/>
                    </w:numPr>
                    <w:ind w:leftChars="0"/>
                    <w:jc w:val="both"/>
                    <w:rPr>
                      <w:rFonts w:hint="default"/>
                      <w:u w:val="single"/>
                      <w:lang w:val="en-US" w:eastAsia="zh-CN"/>
                    </w:rPr>
                  </w:pPr>
                  <w:r>
                    <w:rPr>
                      <w:rFonts w:hint="eastAsia"/>
                      <w:b/>
                      <w:bCs/>
                      <w:u w:val="single"/>
                      <w:lang w:val="en-US" w:eastAsia="zh-CN"/>
                    </w:rPr>
                    <w:t>（</w:t>
                  </w:r>
                  <w:r>
                    <w:rPr>
                      <w:rFonts w:hint="default"/>
                      <w:b/>
                      <w:bCs/>
                      <w:u w:val="single"/>
                      <w:lang w:val="en-US" w:eastAsia="zh-CN"/>
                    </w:rPr>
                    <w:t>五</w:t>
                  </w:r>
                  <w:r>
                    <w:rPr>
                      <w:rFonts w:hint="eastAsia"/>
                      <w:b/>
                      <w:bCs/>
                      <w:u w:val="single"/>
                      <w:lang w:val="en-US" w:eastAsia="zh-CN"/>
                    </w:rPr>
                    <w:t>）</w:t>
                  </w:r>
                  <w:r>
                    <w:rPr>
                      <w:rFonts w:hint="default"/>
                      <w:b/>
                      <w:bCs/>
                      <w:u w:val="single"/>
                      <w:lang w:val="en-US" w:eastAsia="zh-CN"/>
                    </w:rPr>
                    <w:t>加快非电用煤减量替代。</w:t>
                  </w:r>
                  <w:r>
                    <w:rPr>
                      <w:rFonts w:hint="default"/>
                      <w:u w:val="single"/>
                      <w:lang w:val="en-US" w:eastAsia="zh-CN"/>
                    </w:rPr>
                    <w:t>完善全省重点行业煤炭消费监测系统，建设长株潭综合能源示范中心。对陶瓷、玻璃、化工等重点行业和烤烟房、粮食加工等燃煤设施能源替代给予政策支持。</w:t>
                  </w:r>
                </w:p>
              </w:tc>
              <w:tc>
                <w:tcPr>
                  <w:tcW w:w="1850" w:type="pct"/>
                  <w:tcBorders>
                    <w:tl2br w:val="nil"/>
                    <w:tr2bl w:val="nil"/>
                  </w:tcBorders>
                  <w:vAlign w:val="center"/>
                </w:tcPr>
                <w:p w14:paraId="586F0C2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i w:val="0"/>
                      <w:iCs w:val="0"/>
                      <w:caps w:val="0"/>
                      <w:color w:val="0F1115"/>
                      <w:spacing w:val="0"/>
                      <w:sz w:val="21"/>
                      <w:szCs w:val="21"/>
                      <w:u w:val="single"/>
                      <w:shd w:val="clear" w:fill="FFFFFF"/>
                      <w:lang w:val="en-US" w:eastAsia="zh-CN"/>
                    </w:rPr>
                  </w:pPr>
                  <w:r>
                    <w:rPr>
                      <w:rFonts w:hint="eastAsia" w:cs="Times New Roman"/>
                      <w:i w:val="0"/>
                      <w:iCs w:val="0"/>
                      <w:caps w:val="0"/>
                      <w:color w:val="0F1115"/>
                      <w:spacing w:val="0"/>
                      <w:sz w:val="21"/>
                      <w:szCs w:val="21"/>
                      <w:u w:val="single"/>
                      <w:shd w:val="clear" w:fill="FFFFFF"/>
                      <w:lang w:val="en-US" w:eastAsia="zh-CN"/>
                    </w:rPr>
                    <w:t>本项目不涉及锅炉建设</w:t>
                  </w:r>
                </w:p>
              </w:tc>
              <w:tc>
                <w:tcPr>
                  <w:tcW w:w="371" w:type="pct"/>
                  <w:tcBorders>
                    <w:tl2br w:val="nil"/>
                    <w:tr2bl w:val="nil"/>
                  </w:tcBorders>
                  <w:vAlign w:val="center"/>
                </w:tcPr>
                <w:p w14:paraId="73293802">
                  <w:pPr>
                    <w:pStyle w:val="48"/>
                    <w:widowControl w:val="0"/>
                    <w:jc w:val="center"/>
                    <w:rPr>
                      <w:kern w:val="2"/>
                      <w:u w:val="single"/>
                    </w:rPr>
                  </w:pPr>
                  <w:r>
                    <w:rPr>
                      <w:rFonts w:hint="eastAsia"/>
                      <w:kern w:val="2"/>
                      <w:u w:val="single"/>
                    </w:rPr>
                    <w:t>符合</w:t>
                  </w:r>
                </w:p>
              </w:tc>
            </w:tr>
            <w:tr w14:paraId="51B688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4" w:type="pct"/>
                  <w:tcBorders>
                    <w:tl2br w:val="nil"/>
                    <w:tr2bl w:val="nil"/>
                  </w:tcBorders>
                  <w:vAlign w:val="center"/>
                </w:tcPr>
                <w:p w14:paraId="55C976E4">
                  <w:pPr>
                    <w:pStyle w:val="48"/>
                    <w:widowControl w:val="0"/>
                    <w:jc w:val="center"/>
                    <w:rPr>
                      <w:kern w:val="2"/>
                      <w:u w:val="single"/>
                    </w:rPr>
                  </w:pPr>
                  <w:r>
                    <w:rPr>
                      <w:rFonts w:hint="eastAsia"/>
                      <w:kern w:val="2"/>
                      <w:u w:val="single"/>
                    </w:rPr>
                    <w:t>3</w:t>
                  </w:r>
                </w:p>
              </w:tc>
              <w:tc>
                <w:tcPr>
                  <w:tcW w:w="2423" w:type="pct"/>
                  <w:tcBorders>
                    <w:tl2br w:val="nil"/>
                    <w:tr2bl w:val="nil"/>
                  </w:tcBorders>
                  <w:vAlign w:val="center"/>
                </w:tcPr>
                <w:p w14:paraId="28E089B2">
                  <w:pPr>
                    <w:pStyle w:val="48"/>
                    <w:widowControl w:val="0"/>
                    <w:numPr>
                      <w:ilvl w:val="0"/>
                      <w:numId w:val="0"/>
                    </w:numPr>
                    <w:ind w:leftChars="0"/>
                    <w:jc w:val="both"/>
                    <w:rPr>
                      <w:rFonts w:hint="default"/>
                      <w:b/>
                      <w:bCs/>
                      <w:kern w:val="2"/>
                      <w:u w:val="single"/>
                      <w:lang w:val="en-US" w:eastAsia="zh-CN"/>
                    </w:rPr>
                  </w:pPr>
                  <w:r>
                    <w:rPr>
                      <w:rFonts w:hint="eastAsia"/>
                      <w:b/>
                      <w:bCs/>
                      <w:kern w:val="2"/>
                      <w:u w:val="single"/>
                      <w:lang w:val="en-US" w:eastAsia="zh-CN"/>
                    </w:rPr>
                    <w:t>三、交通结构联建</w:t>
                  </w:r>
                </w:p>
                <w:p w14:paraId="57A6BD36">
                  <w:pPr>
                    <w:pStyle w:val="48"/>
                    <w:widowControl w:val="0"/>
                    <w:numPr>
                      <w:ilvl w:val="0"/>
                      <w:numId w:val="0"/>
                    </w:numPr>
                    <w:ind w:leftChars="0"/>
                    <w:jc w:val="both"/>
                    <w:rPr>
                      <w:rFonts w:hint="default"/>
                      <w:kern w:val="2"/>
                      <w:u w:val="single"/>
                      <w:lang w:val="en-US" w:eastAsia="zh-CN"/>
                    </w:rPr>
                  </w:pPr>
                  <w:r>
                    <w:rPr>
                      <w:rFonts w:hint="default"/>
                      <w:b/>
                      <w:bCs/>
                      <w:kern w:val="2"/>
                      <w:u w:val="single"/>
                      <w:lang w:val="en-US" w:eastAsia="zh-CN"/>
                    </w:rPr>
                    <w:t>(六)全面开展车辆更新替代。</w:t>
                  </w:r>
                  <w:r>
                    <w:rPr>
                      <w:rFonts w:hint="default"/>
                      <w:kern w:val="2"/>
                      <w:u w:val="single"/>
                      <w:lang w:val="en-US" w:eastAsia="zh-CN"/>
                    </w:rPr>
                    <w:t>各级党政机关、事业单位、国有企业新增或更新公务用车原则上使用新能源汽车。完善公共领域车辆更新替代机制，对新能源城市公交车辆充电给予支持。到2027年，新增或更新公交、出租、城市物流配送、轻型环卫等车辆中纯电动汽车比例不低于80%，长株潭跨市公交实现100%电动化。逐步扩大新能源货车、新能源混凝土搅拌车和新能源建筑垃圾</w:t>
                  </w:r>
                  <w:r>
                    <w:rPr>
                      <w:rFonts w:hint="eastAsia"/>
                      <w:kern w:val="2"/>
                      <w:u w:val="single"/>
                      <w:lang w:val="en-US" w:eastAsia="zh-CN"/>
                    </w:rPr>
                    <w:t>（</w:t>
                  </w:r>
                  <w:r>
                    <w:rPr>
                      <w:rFonts w:hint="default"/>
                      <w:kern w:val="2"/>
                      <w:u w:val="single"/>
                      <w:lang w:val="en-US" w:eastAsia="zh-CN"/>
                    </w:rPr>
                    <w:t>含渣上</w:t>
                  </w:r>
                  <w:r>
                    <w:rPr>
                      <w:rFonts w:hint="eastAsia"/>
                      <w:kern w:val="2"/>
                      <w:u w:val="single"/>
                      <w:lang w:val="en-US" w:eastAsia="zh-CN"/>
                    </w:rPr>
                    <w:t>）</w:t>
                  </w:r>
                  <w:r>
                    <w:rPr>
                      <w:rFonts w:hint="default"/>
                      <w:kern w:val="2"/>
                      <w:u w:val="single"/>
                      <w:lang w:val="en-US" w:eastAsia="zh-CN"/>
                    </w:rPr>
                    <w:t>运输车的道路通行时间、通行范围等便利政策，鼓励出台公共停车场和路边停车位对新能源车辆的优惠政策。物流园区、重点用车大户和公共停车场按比例配套建设充电桩等基础设施。支持国三及以下非营运货车、国一及以下非道路移动机械提前淘汰，加快混凝土、建筑垃圾</w:t>
                  </w:r>
                  <w:r>
                    <w:rPr>
                      <w:rFonts w:hint="eastAsia"/>
                      <w:kern w:val="2"/>
                      <w:u w:val="single"/>
                      <w:lang w:val="en-US" w:eastAsia="zh-CN"/>
                    </w:rPr>
                    <w:t>（</w:t>
                  </w:r>
                  <w:r>
                    <w:rPr>
                      <w:rFonts w:hint="default"/>
                      <w:kern w:val="2"/>
                      <w:u w:val="single"/>
                      <w:lang w:val="en-US" w:eastAsia="zh-CN"/>
                    </w:rPr>
                    <w:t>含渣</w:t>
                  </w:r>
                  <w:r>
                    <w:rPr>
                      <w:rFonts w:hint="eastAsia"/>
                      <w:kern w:val="2"/>
                      <w:u w:val="single"/>
                      <w:lang w:val="en-US" w:eastAsia="zh-CN"/>
                    </w:rPr>
                    <w:t>土）</w:t>
                  </w:r>
                  <w:r>
                    <w:rPr>
                      <w:rFonts w:hint="default"/>
                      <w:kern w:val="2"/>
                      <w:u w:val="single"/>
                      <w:lang w:val="en-US" w:eastAsia="zh-CN"/>
                    </w:rPr>
                    <w:t>等运输车辆新能源替代。推进施工工地、工业企业、铁路专用</w:t>
                  </w:r>
                  <w:r>
                    <w:rPr>
                      <w:rFonts w:hint="eastAsia"/>
                      <w:kern w:val="2"/>
                      <w:u w:val="single"/>
                      <w:lang w:val="en-US" w:eastAsia="zh-CN"/>
                    </w:rPr>
                    <w:t>（</w:t>
                  </w:r>
                  <w:r>
                    <w:rPr>
                      <w:rFonts w:hint="default"/>
                      <w:kern w:val="2"/>
                      <w:u w:val="single"/>
                      <w:lang w:val="en-US" w:eastAsia="zh-CN"/>
                    </w:rPr>
                    <w:t>(含专用铁路</w:t>
                  </w:r>
                  <w:r>
                    <w:rPr>
                      <w:rFonts w:hint="eastAsia"/>
                      <w:kern w:val="2"/>
                      <w:u w:val="single"/>
                      <w:lang w:val="en-US" w:eastAsia="zh-CN"/>
                    </w:rPr>
                    <w:t>）</w:t>
                  </w:r>
                  <w:r>
                    <w:rPr>
                      <w:rFonts w:hint="default"/>
                      <w:kern w:val="2"/>
                      <w:u w:val="single"/>
                      <w:lang w:val="en-US" w:eastAsia="zh-CN"/>
                    </w:rPr>
                    <w:t>货场、物流园区、港口、机场作业车辆和机械新能源替代。</w:t>
                  </w:r>
                </w:p>
                <w:p w14:paraId="6E871C71">
                  <w:pPr>
                    <w:pStyle w:val="48"/>
                    <w:widowControl w:val="0"/>
                    <w:numPr>
                      <w:ilvl w:val="0"/>
                      <w:numId w:val="0"/>
                    </w:numPr>
                    <w:ind w:leftChars="0"/>
                    <w:jc w:val="both"/>
                    <w:rPr>
                      <w:rFonts w:hint="default"/>
                      <w:kern w:val="2"/>
                      <w:u w:val="single"/>
                      <w:lang w:val="en-US" w:eastAsia="zh-CN"/>
                    </w:rPr>
                  </w:pPr>
                  <w:r>
                    <w:rPr>
                      <w:rFonts w:hint="default"/>
                      <w:b/>
                      <w:bCs/>
                      <w:kern w:val="2"/>
                      <w:u w:val="single"/>
                      <w:lang w:val="en-US" w:eastAsia="zh-CN"/>
                    </w:rPr>
                    <w:t>(七)强化移动源联合监管。</w:t>
                  </w:r>
                  <w:r>
                    <w:rPr>
                      <w:rFonts w:hint="default"/>
                      <w:kern w:val="2"/>
                      <w:u w:val="single"/>
                      <w:lang w:val="en-US" w:eastAsia="zh-CN"/>
                    </w:rPr>
                    <w:t>完善机动车和非道路移动机械排放检验倒查审核机制，推动机动车尾气排放遥感检测和黑烟抓拍超标数据实时共享，常</w:t>
                  </w:r>
                  <w:r>
                    <w:rPr>
                      <w:rFonts w:hint="eastAsia"/>
                      <w:kern w:val="2"/>
                      <w:u w:val="single"/>
                      <w:lang w:val="en-US" w:eastAsia="zh-CN"/>
                    </w:rPr>
                    <w:t>态</w:t>
                  </w:r>
                  <w:r>
                    <w:rPr>
                      <w:rFonts w:hint="default"/>
                      <w:kern w:val="2"/>
                      <w:u w:val="single"/>
                      <w:lang w:val="en-US" w:eastAsia="zh-CN"/>
                    </w:rPr>
                    <w:t>化开展部门联合</w:t>
                  </w:r>
                  <w:r>
                    <w:rPr>
                      <w:rFonts w:hint="eastAsia"/>
                      <w:kern w:val="2"/>
                      <w:u w:val="single"/>
                      <w:lang w:val="en-US" w:eastAsia="zh-CN"/>
                    </w:rPr>
                    <w:t>执</w:t>
                  </w:r>
                  <w:r>
                    <w:rPr>
                      <w:rFonts w:hint="default"/>
                      <w:kern w:val="2"/>
                      <w:u w:val="single"/>
                      <w:lang w:val="en-US" w:eastAsia="zh-CN"/>
                    </w:rPr>
                    <w:t xml:space="preserve">法。协同开展主道路移动机械“电子标签”远程在线管理，推动非道路移动机械编码登记全覆盖。加强船舶污染防治，支持建设零排放货运车队。 </w:t>
                  </w:r>
                </w:p>
              </w:tc>
              <w:tc>
                <w:tcPr>
                  <w:tcW w:w="1850" w:type="pct"/>
                  <w:tcBorders>
                    <w:tl2br w:val="nil"/>
                    <w:tr2bl w:val="nil"/>
                  </w:tcBorders>
                  <w:vAlign w:val="center"/>
                </w:tcPr>
                <w:p w14:paraId="59DDABED">
                  <w:pPr>
                    <w:pStyle w:val="9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宋体" w:cs="Times New Roman"/>
                      <w:i w:val="0"/>
                      <w:iCs w:val="0"/>
                      <w:caps w:val="0"/>
                      <w:color w:val="0F1115"/>
                      <w:spacing w:val="0"/>
                      <w:sz w:val="21"/>
                      <w:szCs w:val="21"/>
                      <w:u w:val="single"/>
                      <w:shd w:val="clear" w:fill="FFFFFF"/>
                      <w:lang w:eastAsia="zh-CN"/>
                    </w:rPr>
                  </w:pPr>
                  <w:r>
                    <w:rPr>
                      <w:rFonts w:hint="default" w:ascii="Times New Roman" w:hAnsi="Times New Roman" w:eastAsia="宋体" w:cs="Times New Roman"/>
                      <w:i w:val="0"/>
                      <w:iCs w:val="0"/>
                      <w:caps w:val="0"/>
                      <w:color w:val="0F1115"/>
                      <w:spacing w:val="0"/>
                      <w:sz w:val="21"/>
                      <w:szCs w:val="21"/>
                      <w:u w:val="single"/>
                      <w:shd w:val="clear" w:fill="FFFFFF"/>
                    </w:rPr>
                    <w:t>本项目主要能源为电力（电厂厂区供电），不使用煤炭，符合非电用煤减量替代的导向要求</w:t>
                  </w:r>
                  <w:r>
                    <w:rPr>
                      <w:rFonts w:hint="default" w:ascii="Times New Roman" w:hAnsi="Times New Roman" w:eastAsia="宋体" w:cs="Times New Roman"/>
                      <w:i w:val="0"/>
                      <w:iCs w:val="0"/>
                      <w:caps w:val="0"/>
                      <w:color w:val="0F1115"/>
                      <w:spacing w:val="0"/>
                      <w:sz w:val="21"/>
                      <w:szCs w:val="21"/>
                      <w:u w:val="single"/>
                      <w:shd w:val="clear" w:fill="FFFFFF"/>
                      <w:lang w:eastAsia="zh-CN"/>
                    </w:rPr>
                    <w:t>；</w:t>
                  </w:r>
                </w:p>
                <w:p w14:paraId="21DEC2AF">
                  <w:pPr>
                    <w:pStyle w:val="9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eastAsia="宋体"/>
                      <w:lang w:eastAsia="zh-CN"/>
                    </w:rPr>
                  </w:pPr>
                  <w:r>
                    <w:rPr>
                      <w:rFonts w:hint="default" w:ascii="Times New Roman" w:hAnsi="Times New Roman" w:eastAsia="宋体" w:cs="Times New Roman"/>
                      <w:i w:val="0"/>
                      <w:iCs w:val="0"/>
                      <w:caps w:val="0"/>
                      <w:color w:val="0F1115"/>
                      <w:spacing w:val="0"/>
                      <w:sz w:val="21"/>
                      <w:szCs w:val="21"/>
                      <w:u w:val="single"/>
                      <w:shd w:val="clear" w:fill="FFFFFF"/>
                    </w:rPr>
                    <w:t>本项目物料运输采用专用密闭罐车，不涉及公务用车更新</w:t>
                  </w:r>
                  <w:r>
                    <w:rPr>
                      <w:rFonts w:hint="eastAsia" w:cs="Times New Roman"/>
                      <w:i w:val="0"/>
                      <w:iCs w:val="0"/>
                      <w:caps w:val="0"/>
                      <w:color w:val="0F1115"/>
                      <w:spacing w:val="0"/>
                      <w:sz w:val="21"/>
                      <w:szCs w:val="21"/>
                      <w:u w:val="single"/>
                      <w:shd w:val="clear" w:fill="FFFFFF"/>
                      <w:lang w:eastAsia="zh-CN"/>
                    </w:rPr>
                    <w:t>。</w:t>
                  </w:r>
                </w:p>
              </w:tc>
              <w:tc>
                <w:tcPr>
                  <w:tcW w:w="371" w:type="pct"/>
                  <w:tcBorders>
                    <w:tl2br w:val="nil"/>
                    <w:tr2bl w:val="nil"/>
                  </w:tcBorders>
                  <w:vAlign w:val="center"/>
                </w:tcPr>
                <w:p w14:paraId="26074DAB">
                  <w:pPr>
                    <w:pStyle w:val="48"/>
                    <w:widowControl w:val="0"/>
                    <w:jc w:val="center"/>
                    <w:rPr>
                      <w:kern w:val="2"/>
                      <w:u w:val="single"/>
                    </w:rPr>
                  </w:pPr>
                  <w:r>
                    <w:rPr>
                      <w:rFonts w:hint="eastAsia"/>
                      <w:kern w:val="2"/>
                      <w:u w:val="single"/>
                    </w:rPr>
                    <w:t>符合</w:t>
                  </w:r>
                </w:p>
              </w:tc>
            </w:tr>
          </w:tbl>
          <w:p w14:paraId="29021787">
            <w:pPr>
              <w:keepNext w:val="0"/>
              <w:keepLines w:val="0"/>
              <w:pageBreakBefore w:val="0"/>
              <w:widowControl/>
              <w:numPr>
                <w:ilvl w:val="0"/>
                <w:numId w:val="0"/>
              </w:numPr>
              <w:kinsoku/>
              <w:wordWrap/>
              <w:overflowPunct/>
              <w:topLinePunct w:val="0"/>
              <w:autoSpaceDE w:val="0"/>
              <w:autoSpaceDN w:val="0"/>
              <w:bidi w:val="0"/>
              <w:adjustRightInd w:val="0"/>
              <w:snapToGrid w:val="0"/>
              <w:ind w:leftChars="0" w:firstLine="480" w:firstLineChars="200"/>
              <w:jc w:val="both"/>
              <w:textAlignment w:val="auto"/>
              <w:rPr>
                <w:rFonts w:hint="eastAsia"/>
                <w:b/>
                <w:bCs/>
                <w:highlight w:val="yellow"/>
                <w:lang w:val="en-US" w:eastAsia="zh-CN"/>
              </w:rPr>
            </w:pPr>
            <w:r>
              <w:rPr>
                <w:rFonts w:hint="default" w:ascii="Times New Roman" w:hAnsi="Times New Roman" w:eastAsia="宋体" w:cs="Times New Roman"/>
                <w:b w:val="0"/>
                <w:bCs w:val="0"/>
                <w:highlight w:val="none"/>
                <w:u w:val="single"/>
                <w:lang w:val="en-US" w:eastAsia="zh-CN"/>
              </w:rPr>
              <w:t>综上分析，本项目</w:t>
            </w:r>
            <w:r>
              <w:rPr>
                <w:rFonts w:hint="default" w:ascii="Times New Roman" w:hAnsi="Times New Roman" w:eastAsia="宋体" w:cs="Times New Roman"/>
                <w:i w:val="0"/>
                <w:iCs w:val="0"/>
                <w:caps w:val="0"/>
                <w:color w:val="0F1115"/>
                <w:spacing w:val="0"/>
                <w:sz w:val="24"/>
                <w:szCs w:val="24"/>
                <w:highlight w:val="none"/>
                <w:u w:val="single"/>
                <w:shd w:val="clear" w:fill="FFFFFF"/>
              </w:rPr>
              <w:t>符合《关于加强重点城市大气污染联防联控的若干措施》的相关要求。</w:t>
            </w:r>
          </w:p>
          <w:p w14:paraId="30085A93">
            <w:pPr>
              <w:numPr>
                <w:ilvl w:val="0"/>
                <w:numId w:val="10"/>
              </w:numPr>
              <w:autoSpaceDE w:val="0"/>
              <w:autoSpaceDN w:val="0"/>
              <w:adjustRightInd w:val="0"/>
              <w:snapToGrid w:val="0"/>
              <w:ind w:left="0" w:firstLine="0" w:firstLineChars="0"/>
              <w:jc w:val="left"/>
              <w:rPr>
                <w:b/>
                <w:bCs/>
              </w:rPr>
            </w:pPr>
            <w:r>
              <w:rPr>
                <w:rFonts w:hint="eastAsia"/>
                <w:b/>
                <w:bCs/>
              </w:rPr>
              <w:t>与《</w:t>
            </w:r>
            <w:r>
              <w:rPr>
                <w:rFonts w:hint="eastAsia"/>
                <w:b/>
              </w:rPr>
              <w:t>湖南省</w:t>
            </w:r>
            <w:r>
              <w:rPr>
                <w:rFonts w:hint="eastAsia"/>
                <w:b/>
                <w:bCs/>
              </w:rPr>
              <w:t>长江经济带发展负面清单实施细则》（试行，2022年版）的符合性分析</w:t>
            </w:r>
            <w:bookmarkEnd w:id="59"/>
            <w:bookmarkEnd w:id="60"/>
            <w:bookmarkEnd w:id="61"/>
          </w:p>
          <w:p w14:paraId="4B879650">
            <w:pPr>
              <w:ind w:firstLine="480"/>
              <w:jc w:val="left"/>
              <w:rPr>
                <w:rFonts w:hint="eastAsia"/>
              </w:rPr>
            </w:pPr>
            <w:r>
              <w:rPr>
                <w:rFonts w:hint="eastAsia"/>
              </w:rPr>
              <w:t>本项目与《湖南省长江经济带发展负面清单实施细则》（试行，2022年版）相关要求的符合性分析见下表。</w:t>
            </w:r>
          </w:p>
          <w:p w14:paraId="2B9E5DE5">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right="0" w:rightChars="0" w:firstLine="482" w:firstLineChars="200"/>
              <w:jc w:val="center"/>
              <w:textAlignment w:val="auto"/>
              <w:rPr>
                <w:b/>
                <w:bCs/>
              </w:rPr>
            </w:pPr>
            <w:r>
              <w:rPr>
                <w:rFonts w:hint="eastAsia"/>
                <w:b/>
                <w:bCs/>
              </w:rPr>
              <w:t>与《湖南省长江经济带发展负面清单实施细则》（试行，2022年版）的符合性分析表</w:t>
            </w:r>
          </w:p>
          <w:tbl>
            <w:tblPr>
              <w:tblStyle w:val="32"/>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4522"/>
              <w:gridCol w:w="2188"/>
              <w:gridCol w:w="583"/>
            </w:tblGrid>
            <w:tr w14:paraId="3F81F9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355" w:type="pct"/>
                  <w:tcBorders>
                    <w:tl2br w:val="nil"/>
                    <w:tr2bl w:val="nil"/>
                  </w:tcBorders>
                  <w:vAlign w:val="center"/>
                </w:tcPr>
                <w:p w14:paraId="7584E411">
                  <w:pPr>
                    <w:pStyle w:val="48"/>
                    <w:widowControl/>
                    <w:jc w:val="center"/>
                    <w:rPr>
                      <w:b/>
                      <w:bCs/>
                      <w:kern w:val="2"/>
                    </w:rPr>
                  </w:pPr>
                  <w:r>
                    <w:rPr>
                      <w:rFonts w:hint="eastAsia" w:cstheme="minorBidi"/>
                      <w:b/>
                      <w:bCs/>
                      <w:kern w:val="2"/>
                    </w:rPr>
                    <w:t>序号</w:t>
                  </w:r>
                </w:p>
              </w:tc>
              <w:tc>
                <w:tcPr>
                  <w:tcW w:w="2879" w:type="pct"/>
                  <w:tcBorders>
                    <w:tl2br w:val="nil"/>
                    <w:tr2bl w:val="nil"/>
                  </w:tcBorders>
                  <w:vAlign w:val="center"/>
                </w:tcPr>
                <w:p w14:paraId="062E6421">
                  <w:pPr>
                    <w:pStyle w:val="48"/>
                    <w:widowControl/>
                    <w:ind w:left="0" w:leftChars="0" w:right="0" w:rightChars="0" w:firstLine="0" w:firstLineChars="0"/>
                    <w:jc w:val="center"/>
                    <w:rPr>
                      <w:b/>
                      <w:bCs/>
                      <w:kern w:val="2"/>
                    </w:rPr>
                  </w:pPr>
                  <w:r>
                    <w:rPr>
                      <w:rFonts w:hint="eastAsia" w:cstheme="minorBidi"/>
                      <w:b/>
                      <w:bCs/>
                      <w:kern w:val="2"/>
                    </w:rPr>
                    <w:t>规范要求</w:t>
                  </w:r>
                </w:p>
              </w:tc>
              <w:tc>
                <w:tcPr>
                  <w:tcW w:w="1393" w:type="pct"/>
                  <w:tcBorders>
                    <w:tl2br w:val="nil"/>
                    <w:tr2bl w:val="nil"/>
                  </w:tcBorders>
                  <w:vAlign w:val="center"/>
                </w:tcPr>
                <w:p w14:paraId="3CC3F485">
                  <w:pPr>
                    <w:pStyle w:val="48"/>
                    <w:widowControl/>
                    <w:jc w:val="center"/>
                    <w:rPr>
                      <w:b/>
                      <w:bCs/>
                      <w:kern w:val="2"/>
                    </w:rPr>
                  </w:pPr>
                  <w:r>
                    <w:rPr>
                      <w:rFonts w:hint="eastAsia" w:cstheme="minorBidi"/>
                      <w:b/>
                      <w:bCs/>
                      <w:kern w:val="2"/>
                    </w:rPr>
                    <w:t>项目情况</w:t>
                  </w:r>
                </w:p>
              </w:tc>
              <w:tc>
                <w:tcPr>
                  <w:tcW w:w="371" w:type="pct"/>
                  <w:tcBorders>
                    <w:tl2br w:val="nil"/>
                    <w:tr2bl w:val="nil"/>
                  </w:tcBorders>
                  <w:vAlign w:val="center"/>
                </w:tcPr>
                <w:p w14:paraId="44886470">
                  <w:pPr>
                    <w:pStyle w:val="48"/>
                    <w:widowControl/>
                    <w:jc w:val="center"/>
                    <w:rPr>
                      <w:b/>
                      <w:bCs/>
                      <w:kern w:val="2"/>
                    </w:rPr>
                  </w:pPr>
                  <w:r>
                    <w:rPr>
                      <w:rFonts w:hint="eastAsia"/>
                      <w:b/>
                      <w:bCs/>
                      <w:kern w:val="2"/>
                    </w:rPr>
                    <w:t>符合性</w:t>
                  </w:r>
                </w:p>
              </w:tc>
            </w:tr>
            <w:tr w14:paraId="2EBE12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784E658A">
                  <w:pPr>
                    <w:pStyle w:val="48"/>
                    <w:widowControl w:val="0"/>
                    <w:jc w:val="center"/>
                    <w:rPr>
                      <w:kern w:val="2"/>
                    </w:rPr>
                  </w:pPr>
                  <w:r>
                    <w:rPr>
                      <w:rFonts w:hint="eastAsia"/>
                      <w:kern w:val="2"/>
                    </w:rPr>
                    <w:t>1</w:t>
                  </w:r>
                </w:p>
              </w:tc>
              <w:tc>
                <w:tcPr>
                  <w:tcW w:w="2879" w:type="pct"/>
                  <w:tcBorders>
                    <w:tl2br w:val="nil"/>
                    <w:tr2bl w:val="nil"/>
                  </w:tcBorders>
                  <w:vAlign w:val="center"/>
                </w:tcPr>
                <w:p w14:paraId="729A537E">
                  <w:pPr>
                    <w:pStyle w:val="48"/>
                    <w:widowControl w:val="0"/>
                    <w:jc w:val="both"/>
                    <w:rPr>
                      <w:kern w:val="2"/>
                    </w:rPr>
                  </w:pPr>
                  <w:r>
                    <w:rPr>
                      <w:rFonts w:hint="eastAsia"/>
                      <w:kern w:val="2"/>
                    </w:rPr>
                    <w:t>禁止建设不符合全国和省级港口布局规划以及港口总体规划的码头项目。对不符合港口总体规划的新建、改建和扩建的码头工程（含舾装码头工程）及其同时建设的配套设施、防波堤、锚地、护岸等工程投资主管部门不得审批或核准。码头工程建设项目需要使用港口岸线的，项目单位应当按照国家、省港口岸线使用的管理规定办理港口岸线使用手续。未取得岸线使用批准文件或者岸线使用意见的，不得开工建设。禁止建设不符合《长江干线过江通道布局规划》的过长江通道项目。</w:t>
                  </w:r>
                </w:p>
              </w:tc>
              <w:tc>
                <w:tcPr>
                  <w:tcW w:w="1393" w:type="pct"/>
                  <w:tcBorders>
                    <w:tl2br w:val="nil"/>
                    <w:tr2bl w:val="nil"/>
                  </w:tcBorders>
                  <w:vAlign w:val="center"/>
                </w:tcPr>
                <w:p w14:paraId="25820C6D">
                  <w:pPr>
                    <w:pStyle w:val="97"/>
                    <w:widowControl w:val="0"/>
                    <w:ind w:firstLine="0" w:firstLineChars="0"/>
                    <w:jc w:val="center"/>
                  </w:pPr>
                  <w:r>
                    <w:rPr>
                      <w:rFonts w:hint="eastAsia"/>
                    </w:rPr>
                    <w:t>本项目不涉及港口、码头和过长江通道项目</w:t>
                  </w:r>
                </w:p>
              </w:tc>
              <w:tc>
                <w:tcPr>
                  <w:tcW w:w="371" w:type="pct"/>
                  <w:tcBorders>
                    <w:tl2br w:val="nil"/>
                    <w:tr2bl w:val="nil"/>
                  </w:tcBorders>
                  <w:vAlign w:val="center"/>
                </w:tcPr>
                <w:p w14:paraId="09236A9F">
                  <w:pPr>
                    <w:pStyle w:val="48"/>
                    <w:widowControl w:val="0"/>
                    <w:jc w:val="center"/>
                    <w:rPr>
                      <w:kern w:val="2"/>
                    </w:rPr>
                  </w:pPr>
                  <w:r>
                    <w:rPr>
                      <w:rFonts w:hint="eastAsia"/>
                      <w:kern w:val="2"/>
                    </w:rPr>
                    <w:t>符合</w:t>
                  </w:r>
                </w:p>
              </w:tc>
            </w:tr>
            <w:tr w14:paraId="7A1DC3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4CC58BB3">
                  <w:pPr>
                    <w:pStyle w:val="48"/>
                    <w:widowControl w:val="0"/>
                    <w:jc w:val="center"/>
                    <w:rPr>
                      <w:kern w:val="2"/>
                    </w:rPr>
                  </w:pPr>
                  <w:r>
                    <w:rPr>
                      <w:rFonts w:hint="eastAsia"/>
                      <w:kern w:val="2"/>
                    </w:rPr>
                    <w:t>2</w:t>
                  </w:r>
                </w:p>
              </w:tc>
              <w:tc>
                <w:tcPr>
                  <w:tcW w:w="2879" w:type="pct"/>
                  <w:tcBorders>
                    <w:tl2br w:val="nil"/>
                    <w:tr2bl w:val="nil"/>
                  </w:tcBorders>
                  <w:vAlign w:val="center"/>
                </w:tcPr>
                <w:p w14:paraId="518D3BFA">
                  <w:pPr>
                    <w:pStyle w:val="48"/>
                    <w:widowControl w:val="0"/>
                    <w:jc w:val="both"/>
                    <w:rPr>
                      <w:kern w:val="2"/>
                    </w:rPr>
                  </w:pPr>
                  <w:r>
                    <w:rPr>
                      <w:rFonts w:hint="eastAsia"/>
                      <w:kern w:val="2"/>
                    </w:rPr>
                    <w:t>禁止在自然保护区核心区、缓冲区的岸线和河段范围内投资建设以下项目：</w:t>
                  </w:r>
                </w:p>
                <w:p w14:paraId="3242B984">
                  <w:pPr>
                    <w:pStyle w:val="48"/>
                    <w:widowControl w:val="0"/>
                    <w:jc w:val="both"/>
                    <w:rPr>
                      <w:kern w:val="2"/>
                    </w:rPr>
                  </w:pPr>
                  <w:r>
                    <w:rPr>
                      <w:rFonts w:hint="eastAsia"/>
                      <w:kern w:val="2"/>
                    </w:rPr>
                    <w:t>（一）高尔夫球场开发、房地产开发、索道建设、会所建设等项目；</w:t>
                  </w:r>
                </w:p>
                <w:p w14:paraId="44D3D2AC">
                  <w:pPr>
                    <w:pStyle w:val="48"/>
                    <w:widowControl w:val="0"/>
                    <w:jc w:val="both"/>
                    <w:rPr>
                      <w:kern w:val="2"/>
                    </w:rPr>
                  </w:pPr>
                  <w:r>
                    <w:rPr>
                      <w:rFonts w:hint="eastAsia"/>
                      <w:kern w:val="2"/>
                    </w:rPr>
                    <w:t>（二）光伏发电、风力发电、火力发电建设项目；</w:t>
                  </w:r>
                </w:p>
                <w:p w14:paraId="0D45E289">
                  <w:pPr>
                    <w:pStyle w:val="48"/>
                    <w:widowControl w:val="0"/>
                    <w:jc w:val="both"/>
                    <w:rPr>
                      <w:kern w:val="2"/>
                    </w:rPr>
                  </w:pPr>
                  <w:r>
                    <w:rPr>
                      <w:rFonts w:hint="eastAsia"/>
                      <w:kern w:val="2"/>
                    </w:rPr>
                    <w:t>（三）社会资金进行商业性探矿勘查，以及不属于国家紧缺矿种资源的基础地质调查和矿产远景调查等公益性工作的设施建设；</w:t>
                  </w:r>
                </w:p>
                <w:p w14:paraId="4D105146">
                  <w:pPr>
                    <w:pStyle w:val="48"/>
                    <w:widowControl w:val="0"/>
                    <w:jc w:val="both"/>
                    <w:rPr>
                      <w:kern w:val="2"/>
                    </w:rPr>
                  </w:pPr>
                  <w:r>
                    <w:rPr>
                      <w:rFonts w:hint="eastAsia"/>
                      <w:kern w:val="2"/>
                    </w:rPr>
                    <w:t>（四）野生动物驯养繁殖、展览基地建设项目；</w:t>
                  </w:r>
                </w:p>
                <w:p w14:paraId="060ACA6B">
                  <w:pPr>
                    <w:pStyle w:val="48"/>
                    <w:widowControl w:val="0"/>
                    <w:jc w:val="both"/>
                    <w:rPr>
                      <w:kern w:val="2"/>
                    </w:rPr>
                  </w:pPr>
                  <w:r>
                    <w:rPr>
                      <w:rFonts w:hint="eastAsia"/>
                      <w:kern w:val="2"/>
                    </w:rPr>
                    <w:t>（五）污染环境、破坏自然资源或自然景观的建设设施；</w:t>
                  </w:r>
                </w:p>
                <w:p w14:paraId="67041222">
                  <w:pPr>
                    <w:pStyle w:val="48"/>
                    <w:widowControl w:val="0"/>
                    <w:jc w:val="both"/>
                    <w:rPr>
                      <w:kern w:val="2"/>
                    </w:rPr>
                  </w:pPr>
                  <w:r>
                    <w:rPr>
                      <w:rFonts w:hint="eastAsia"/>
                      <w:kern w:val="2"/>
                    </w:rPr>
                    <w:t>（六）对自然保护区主要保护对象产生重大影响、改变自然生态系统完整性、原真性、破坏自然景观的设施；</w:t>
                  </w:r>
                </w:p>
                <w:p w14:paraId="22388316">
                  <w:pPr>
                    <w:pStyle w:val="48"/>
                    <w:widowControl w:val="0"/>
                    <w:jc w:val="both"/>
                    <w:rPr>
                      <w:kern w:val="2"/>
                    </w:rPr>
                  </w:pPr>
                  <w:r>
                    <w:rPr>
                      <w:rFonts w:hint="eastAsia"/>
                      <w:kern w:val="2"/>
                    </w:rPr>
                    <w:t>（七）其他不符合自然保护区主体功能定位和国家禁止的设施。</w:t>
                  </w:r>
                </w:p>
              </w:tc>
              <w:tc>
                <w:tcPr>
                  <w:tcW w:w="1393" w:type="pct"/>
                  <w:tcBorders>
                    <w:tl2br w:val="nil"/>
                    <w:tr2bl w:val="nil"/>
                  </w:tcBorders>
                  <w:vAlign w:val="center"/>
                </w:tcPr>
                <w:p w14:paraId="6D09A992">
                  <w:pPr>
                    <w:pStyle w:val="97"/>
                    <w:widowControl w:val="0"/>
                    <w:ind w:firstLine="0" w:firstLineChars="0"/>
                    <w:jc w:val="both"/>
                  </w:pPr>
                  <w:r>
                    <w:t>本项目</w:t>
                  </w:r>
                  <w:r>
                    <w:rPr>
                      <w:rFonts w:hint="eastAsia"/>
                    </w:rPr>
                    <w:t>不在自然保护区核心区、缓冲区的岸线和河段范围内，不在风景名胜区</w:t>
                  </w:r>
                </w:p>
              </w:tc>
              <w:tc>
                <w:tcPr>
                  <w:tcW w:w="371" w:type="pct"/>
                  <w:tcBorders>
                    <w:tl2br w:val="nil"/>
                    <w:tr2bl w:val="nil"/>
                  </w:tcBorders>
                  <w:vAlign w:val="center"/>
                </w:tcPr>
                <w:p w14:paraId="26BB4A4A">
                  <w:pPr>
                    <w:pStyle w:val="48"/>
                    <w:widowControl w:val="0"/>
                    <w:jc w:val="center"/>
                    <w:rPr>
                      <w:kern w:val="2"/>
                    </w:rPr>
                  </w:pPr>
                  <w:r>
                    <w:rPr>
                      <w:rFonts w:hint="eastAsia"/>
                      <w:kern w:val="2"/>
                    </w:rPr>
                    <w:t>符合</w:t>
                  </w:r>
                </w:p>
              </w:tc>
            </w:tr>
            <w:tr w14:paraId="422C0F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62D9AF85">
                  <w:pPr>
                    <w:pStyle w:val="48"/>
                    <w:widowControl w:val="0"/>
                    <w:jc w:val="center"/>
                    <w:rPr>
                      <w:kern w:val="2"/>
                    </w:rPr>
                  </w:pPr>
                  <w:r>
                    <w:rPr>
                      <w:rFonts w:hint="eastAsia"/>
                      <w:kern w:val="2"/>
                    </w:rPr>
                    <w:t>3</w:t>
                  </w:r>
                </w:p>
              </w:tc>
              <w:tc>
                <w:tcPr>
                  <w:tcW w:w="2879" w:type="pct"/>
                  <w:tcBorders>
                    <w:tl2br w:val="nil"/>
                    <w:tr2bl w:val="nil"/>
                  </w:tcBorders>
                  <w:vAlign w:val="center"/>
                </w:tcPr>
                <w:p w14:paraId="542F5FA6">
                  <w:pPr>
                    <w:pStyle w:val="48"/>
                    <w:widowControl w:val="0"/>
                    <w:jc w:val="both"/>
                    <w:rPr>
                      <w:kern w:val="2"/>
                    </w:rPr>
                  </w:pPr>
                  <w:r>
                    <w:rPr>
                      <w:rFonts w:hint="eastAsia"/>
                      <w:kern w:val="2"/>
                    </w:rPr>
                    <w:t>机场、铁路、公路、水利、航运、围堰等公益性基础设施的选址选线应多方案优化比选，尽量避让相关自然保护区域、野生动物迁徙洄游通道；无法避让的，应当采取修建野生动物通道、过鱼设施等措施，消除或者减少对野生动物的不利影响。</w:t>
                  </w:r>
                </w:p>
              </w:tc>
              <w:tc>
                <w:tcPr>
                  <w:tcW w:w="1393" w:type="pct"/>
                  <w:tcBorders>
                    <w:tl2br w:val="nil"/>
                    <w:tr2bl w:val="nil"/>
                  </w:tcBorders>
                  <w:vAlign w:val="center"/>
                </w:tcPr>
                <w:p w14:paraId="38755772">
                  <w:pPr>
                    <w:pStyle w:val="97"/>
                    <w:widowControl w:val="0"/>
                    <w:ind w:firstLine="0" w:firstLineChars="0"/>
                    <w:jc w:val="both"/>
                  </w:pPr>
                  <w:r>
                    <w:rPr>
                      <w:rFonts w:hint="eastAsia"/>
                    </w:rPr>
                    <w:t>本项目不涉及机场、铁路、公路、水利、航运、围堰等公益性基础设施</w:t>
                  </w:r>
                </w:p>
              </w:tc>
              <w:tc>
                <w:tcPr>
                  <w:tcW w:w="371" w:type="pct"/>
                  <w:tcBorders>
                    <w:tl2br w:val="nil"/>
                    <w:tr2bl w:val="nil"/>
                  </w:tcBorders>
                  <w:vAlign w:val="center"/>
                </w:tcPr>
                <w:p w14:paraId="08A878B9">
                  <w:pPr>
                    <w:pStyle w:val="48"/>
                    <w:widowControl w:val="0"/>
                    <w:jc w:val="center"/>
                    <w:rPr>
                      <w:kern w:val="2"/>
                    </w:rPr>
                  </w:pPr>
                  <w:r>
                    <w:rPr>
                      <w:rFonts w:hint="eastAsia"/>
                      <w:kern w:val="2"/>
                    </w:rPr>
                    <w:t>符合</w:t>
                  </w:r>
                </w:p>
              </w:tc>
            </w:tr>
            <w:tr w14:paraId="136AB4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2F5D4C7F">
                  <w:pPr>
                    <w:pStyle w:val="48"/>
                    <w:widowControl w:val="0"/>
                    <w:jc w:val="center"/>
                    <w:rPr>
                      <w:kern w:val="2"/>
                    </w:rPr>
                  </w:pPr>
                  <w:r>
                    <w:rPr>
                      <w:rFonts w:hint="eastAsia"/>
                      <w:kern w:val="2"/>
                    </w:rPr>
                    <w:t>4</w:t>
                  </w:r>
                </w:p>
              </w:tc>
              <w:tc>
                <w:tcPr>
                  <w:tcW w:w="2879" w:type="pct"/>
                  <w:tcBorders>
                    <w:tl2br w:val="nil"/>
                    <w:tr2bl w:val="nil"/>
                  </w:tcBorders>
                  <w:vAlign w:val="center"/>
                </w:tcPr>
                <w:p w14:paraId="294C676D">
                  <w:pPr>
                    <w:pStyle w:val="48"/>
                    <w:widowControl w:val="0"/>
                    <w:jc w:val="both"/>
                    <w:rPr>
                      <w:kern w:val="2"/>
                    </w:rPr>
                  </w:pPr>
                  <w:r>
                    <w:rPr>
                      <w:rFonts w:hint="eastAsia"/>
                      <w:kern w:val="2"/>
                    </w:rPr>
                    <w:t>禁止违反风景名胜区规划，在风景名胜区内设立各类开发区和在核心区内建设宾馆、招待所、培训中心、疗养院以及与风景名胜区资源保护无关的其他建筑物；已经建设的，应当按照风景名胜区规划，逐步迁出。</w:t>
                  </w:r>
                </w:p>
              </w:tc>
              <w:tc>
                <w:tcPr>
                  <w:tcW w:w="1393" w:type="pct"/>
                  <w:tcBorders>
                    <w:tl2br w:val="nil"/>
                    <w:tr2bl w:val="nil"/>
                  </w:tcBorders>
                  <w:vAlign w:val="center"/>
                </w:tcPr>
                <w:p w14:paraId="7328786B">
                  <w:pPr>
                    <w:pStyle w:val="97"/>
                    <w:widowControl w:val="0"/>
                    <w:ind w:firstLine="0" w:firstLineChars="0"/>
                    <w:jc w:val="center"/>
                  </w:pPr>
                  <w:r>
                    <w:t>本项目</w:t>
                  </w:r>
                  <w:r>
                    <w:rPr>
                      <w:rFonts w:hint="eastAsia"/>
                    </w:rPr>
                    <w:t>不在风景名胜区内</w:t>
                  </w:r>
                </w:p>
              </w:tc>
              <w:tc>
                <w:tcPr>
                  <w:tcW w:w="371" w:type="pct"/>
                  <w:tcBorders>
                    <w:tl2br w:val="nil"/>
                    <w:tr2bl w:val="nil"/>
                  </w:tcBorders>
                  <w:vAlign w:val="center"/>
                </w:tcPr>
                <w:p w14:paraId="72A08712">
                  <w:pPr>
                    <w:pStyle w:val="48"/>
                    <w:widowControl w:val="0"/>
                    <w:jc w:val="center"/>
                    <w:rPr>
                      <w:kern w:val="2"/>
                    </w:rPr>
                  </w:pPr>
                  <w:r>
                    <w:rPr>
                      <w:rFonts w:hint="eastAsia"/>
                      <w:kern w:val="2"/>
                    </w:rPr>
                    <w:t>符合</w:t>
                  </w:r>
                </w:p>
              </w:tc>
            </w:tr>
            <w:tr w14:paraId="414E6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5" w:type="pct"/>
                  <w:tcBorders>
                    <w:tl2br w:val="nil"/>
                    <w:tr2bl w:val="nil"/>
                  </w:tcBorders>
                  <w:vAlign w:val="center"/>
                </w:tcPr>
                <w:p w14:paraId="7F9983CE">
                  <w:pPr>
                    <w:pStyle w:val="48"/>
                    <w:widowControl w:val="0"/>
                    <w:jc w:val="center"/>
                    <w:rPr>
                      <w:kern w:val="2"/>
                    </w:rPr>
                  </w:pPr>
                  <w:r>
                    <w:rPr>
                      <w:rFonts w:hint="eastAsia"/>
                      <w:kern w:val="2"/>
                    </w:rPr>
                    <w:t>5</w:t>
                  </w:r>
                </w:p>
              </w:tc>
              <w:tc>
                <w:tcPr>
                  <w:tcW w:w="2879" w:type="pct"/>
                  <w:tcBorders>
                    <w:tl2br w:val="nil"/>
                    <w:tr2bl w:val="nil"/>
                  </w:tcBorders>
                  <w:vAlign w:val="center"/>
                </w:tcPr>
                <w:p w14:paraId="3F62627B">
                  <w:pPr>
                    <w:pStyle w:val="48"/>
                    <w:widowControl w:val="0"/>
                    <w:jc w:val="both"/>
                    <w:rPr>
                      <w:kern w:val="2"/>
                    </w:rPr>
                  </w:pPr>
                  <w:r>
                    <w:rPr>
                      <w:rFonts w:hint="eastAsia"/>
                      <w:kern w:val="2"/>
                    </w:rPr>
                    <w:t>饮用水水源一级保护区内禁止新建、扩建与供水设施和保护水源无关的建设项目；禁止向水域排放污水，已设置的排污口必须拆除；不得设置与供水需要无关的码头，禁止停靠船舶；禁止堆置和存放工业废渣、城市垃圾、粪便和其它废弃物；禁止设置油库；禁止使用含磷洗涤剂、化肥、农药；禁止建设养殖场、禁止网箱养殖、旅游等可能污染饮用水水体的投资建设项目。</w:t>
                  </w:r>
                </w:p>
              </w:tc>
              <w:tc>
                <w:tcPr>
                  <w:tcW w:w="1393" w:type="pct"/>
                  <w:tcBorders>
                    <w:tl2br w:val="nil"/>
                    <w:tr2bl w:val="nil"/>
                  </w:tcBorders>
                  <w:vAlign w:val="center"/>
                </w:tcPr>
                <w:p w14:paraId="3C68F136">
                  <w:pPr>
                    <w:pStyle w:val="97"/>
                    <w:widowControl w:val="0"/>
                    <w:ind w:firstLine="0" w:firstLineChars="0"/>
                    <w:jc w:val="center"/>
                  </w:pPr>
                  <w:r>
                    <w:t>本项目</w:t>
                  </w:r>
                  <w:r>
                    <w:rPr>
                      <w:rFonts w:hint="eastAsia"/>
                    </w:rPr>
                    <w:t>不在饮用水水源保护区内</w:t>
                  </w:r>
                </w:p>
              </w:tc>
              <w:tc>
                <w:tcPr>
                  <w:tcW w:w="371" w:type="pct"/>
                  <w:tcBorders>
                    <w:tl2br w:val="nil"/>
                    <w:tr2bl w:val="nil"/>
                  </w:tcBorders>
                  <w:vAlign w:val="center"/>
                </w:tcPr>
                <w:p w14:paraId="20FA6702">
                  <w:pPr>
                    <w:pStyle w:val="48"/>
                    <w:widowControl w:val="0"/>
                    <w:jc w:val="center"/>
                    <w:rPr>
                      <w:kern w:val="2"/>
                    </w:rPr>
                  </w:pPr>
                  <w:r>
                    <w:rPr>
                      <w:rFonts w:hint="eastAsia"/>
                      <w:kern w:val="2"/>
                    </w:rPr>
                    <w:t>符合</w:t>
                  </w:r>
                </w:p>
              </w:tc>
            </w:tr>
            <w:tr w14:paraId="4BB8EB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7811BFF5">
                  <w:pPr>
                    <w:pStyle w:val="48"/>
                    <w:widowControl w:val="0"/>
                    <w:jc w:val="center"/>
                    <w:rPr>
                      <w:kern w:val="2"/>
                    </w:rPr>
                  </w:pPr>
                  <w:r>
                    <w:rPr>
                      <w:rFonts w:hint="eastAsia"/>
                      <w:kern w:val="2"/>
                    </w:rPr>
                    <w:t>6</w:t>
                  </w:r>
                </w:p>
              </w:tc>
              <w:tc>
                <w:tcPr>
                  <w:tcW w:w="2879" w:type="pct"/>
                  <w:tcBorders>
                    <w:tl2br w:val="nil"/>
                    <w:tr2bl w:val="nil"/>
                  </w:tcBorders>
                  <w:vAlign w:val="center"/>
                </w:tcPr>
                <w:p w14:paraId="5BFE0C6B">
                  <w:pPr>
                    <w:pStyle w:val="48"/>
                    <w:widowControl w:val="0"/>
                    <w:jc w:val="both"/>
                    <w:rPr>
                      <w:kern w:val="2"/>
                    </w:rPr>
                  </w:pPr>
                  <w:r>
                    <w:rPr>
                      <w:rFonts w:hint="eastAsia"/>
                      <w:kern w:val="2"/>
                    </w:rPr>
                    <w:t>禁止在水产种质资源保护区内新建排污口、从事围湖造田造地等投资建设项目。</w:t>
                  </w:r>
                </w:p>
              </w:tc>
              <w:tc>
                <w:tcPr>
                  <w:tcW w:w="1393" w:type="pct"/>
                  <w:tcBorders>
                    <w:tl2br w:val="nil"/>
                    <w:tr2bl w:val="nil"/>
                  </w:tcBorders>
                  <w:vAlign w:val="center"/>
                </w:tcPr>
                <w:p w14:paraId="3C2F4CCC">
                  <w:pPr>
                    <w:pStyle w:val="97"/>
                    <w:widowControl w:val="0"/>
                    <w:ind w:firstLine="0" w:firstLineChars="0"/>
                    <w:jc w:val="center"/>
                    <w:rPr>
                      <w:rFonts w:hint="default"/>
                      <w:lang w:val="en-US"/>
                    </w:rPr>
                  </w:pPr>
                  <w:r>
                    <w:rPr>
                      <w:rFonts w:hint="eastAsia"/>
                      <w:highlight w:val="none"/>
                      <w:lang w:bidi="zh-CN"/>
                    </w:rPr>
                    <w:t>本</w:t>
                  </w:r>
                  <w:r>
                    <w:rPr>
                      <w:highlight w:val="none"/>
                      <w:lang w:val="zh-CN" w:bidi="zh-CN"/>
                    </w:rPr>
                    <w:t>项目</w:t>
                  </w:r>
                  <w:r>
                    <w:rPr>
                      <w:rFonts w:hint="eastAsia"/>
                      <w:highlight w:val="none"/>
                      <w:lang w:val="en-US" w:bidi="zh-CN"/>
                    </w:rPr>
                    <w:t>为固体废物综合利用项目，属于技术改造，不新增废水排放，不新增排口</w:t>
                  </w:r>
                </w:p>
              </w:tc>
              <w:tc>
                <w:tcPr>
                  <w:tcW w:w="371" w:type="pct"/>
                  <w:tcBorders>
                    <w:tl2br w:val="nil"/>
                    <w:tr2bl w:val="nil"/>
                  </w:tcBorders>
                  <w:vAlign w:val="center"/>
                </w:tcPr>
                <w:p w14:paraId="7DA20579">
                  <w:pPr>
                    <w:pStyle w:val="48"/>
                    <w:widowControl w:val="0"/>
                    <w:jc w:val="center"/>
                    <w:rPr>
                      <w:kern w:val="2"/>
                    </w:rPr>
                  </w:pPr>
                  <w:r>
                    <w:rPr>
                      <w:rFonts w:hint="eastAsia"/>
                      <w:kern w:val="2"/>
                    </w:rPr>
                    <w:t>符合</w:t>
                  </w:r>
                </w:p>
              </w:tc>
            </w:tr>
            <w:tr w14:paraId="054E51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10248B5A">
                  <w:pPr>
                    <w:pStyle w:val="48"/>
                    <w:widowControl w:val="0"/>
                    <w:jc w:val="center"/>
                    <w:rPr>
                      <w:kern w:val="2"/>
                    </w:rPr>
                  </w:pPr>
                  <w:r>
                    <w:rPr>
                      <w:rFonts w:hint="eastAsia"/>
                      <w:kern w:val="2"/>
                    </w:rPr>
                    <w:t>7</w:t>
                  </w:r>
                </w:p>
              </w:tc>
              <w:tc>
                <w:tcPr>
                  <w:tcW w:w="2879" w:type="pct"/>
                  <w:tcBorders>
                    <w:tl2br w:val="nil"/>
                    <w:tr2bl w:val="nil"/>
                  </w:tcBorders>
                  <w:vAlign w:val="center"/>
                </w:tcPr>
                <w:p w14:paraId="6502C486">
                  <w:pPr>
                    <w:pStyle w:val="48"/>
                    <w:widowControl w:val="0"/>
                    <w:jc w:val="both"/>
                    <w:rPr>
                      <w:kern w:val="2"/>
                    </w:rPr>
                  </w:pPr>
                  <w:r>
                    <w:rPr>
                      <w:rFonts w:hint="eastAsia"/>
                      <w:kern w:val="2"/>
                    </w:rPr>
                    <w:t>禁止在国家湿地公园范围内开（围）垦湿地、挖沙、采矿、采石、取土、修坟以及生产性放牧等，《中华人民共和国防洪法》规定的紧急防汛期采取的紧急措施除外。</w:t>
                  </w:r>
                </w:p>
              </w:tc>
              <w:tc>
                <w:tcPr>
                  <w:tcW w:w="1393" w:type="pct"/>
                  <w:tcBorders>
                    <w:tl2br w:val="nil"/>
                    <w:tr2bl w:val="nil"/>
                  </w:tcBorders>
                  <w:vAlign w:val="center"/>
                </w:tcPr>
                <w:p w14:paraId="363A37CD">
                  <w:pPr>
                    <w:pStyle w:val="97"/>
                    <w:widowControl w:val="0"/>
                    <w:ind w:firstLine="0" w:firstLineChars="0"/>
                    <w:jc w:val="center"/>
                  </w:pPr>
                  <w:r>
                    <w:t>本项目</w:t>
                  </w:r>
                  <w:r>
                    <w:rPr>
                      <w:rFonts w:hint="eastAsia"/>
                    </w:rPr>
                    <w:t>不在国家湿地公园范围内</w:t>
                  </w:r>
                </w:p>
              </w:tc>
              <w:tc>
                <w:tcPr>
                  <w:tcW w:w="371" w:type="pct"/>
                  <w:tcBorders>
                    <w:tl2br w:val="nil"/>
                    <w:tr2bl w:val="nil"/>
                  </w:tcBorders>
                  <w:vAlign w:val="center"/>
                </w:tcPr>
                <w:p w14:paraId="727B7542">
                  <w:pPr>
                    <w:pStyle w:val="48"/>
                    <w:widowControl w:val="0"/>
                    <w:jc w:val="center"/>
                    <w:rPr>
                      <w:kern w:val="2"/>
                    </w:rPr>
                  </w:pPr>
                  <w:r>
                    <w:rPr>
                      <w:rFonts w:hint="eastAsia"/>
                      <w:kern w:val="2"/>
                    </w:rPr>
                    <w:t>符合</w:t>
                  </w:r>
                </w:p>
              </w:tc>
            </w:tr>
            <w:tr w14:paraId="18E0BAD9">
              <w:tblPrEx>
                <w:tblCellMar>
                  <w:top w:w="0" w:type="dxa"/>
                  <w:left w:w="108" w:type="dxa"/>
                  <w:bottom w:w="0" w:type="dxa"/>
                  <w:right w:w="108" w:type="dxa"/>
                </w:tblCellMar>
              </w:tblPrEx>
              <w:tc>
                <w:tcPr>
                  <w:tcW w:w="355" w:type="pct"/>
                  <w:tcBorders>
                    <w:tl2br w:val="nil"/>
                    <w:tr2bl w:val="nil"/>
                  </w:tcBorders>
                  <w:vAlign w:val="center"/>
                </w:tcPr>
                <w:p w14:paraId="288FC9DC">
                  <w:pPr>
                    <w:pStyle w:val="48"/>
                    <w:widowControl w:val="0"/>
                    <w:jc w:val="center"/>
                    <w:rPr>
                      <w:kern w:val="2"/>
                    </w:rPr>
                  </w:pPr>
                  <w:r>
                    <w:rPr>
                      <w:rFonts w:hint="eastAsia"/>
                      <w:kern w:val="2"/>
                    </w:rPr>
                    <w:t>8</w:t>
                  </w:r>
                </w:p>
              </w:tc>
              <w:tc>
                <w:tcPr>
                  <w:tcW w:w="2879" w:type="pct"/>
                  <w:tcBorders>
                    <w:tl2br w:val="nil"/>
                    <w:tr2bl w:val="nil"/>
                  </w:tcBorders>
                  <w:vAlign w:val="center"/>
                </w:tcPr>
                <w:p w14:paraId="2F3FCCF2">
                  <w:pPr>
                    <w:pStyle w:val="48"/>
                    <w:widowControl w:val="0"/>
                    <w:jc w:val="both"/>
                    <w:rPr>
                      <w:kern w:val="2"/>
                    </w:rPr>
                  </w:pPr>
                  <w:r>
                    <w:rPr>
                      <w:rFonts w:hint="eastAsia"/>
                      <w:kern w:val="2"/>
                    </w:rPr>
                    <w:t>《长江岸线保护和开发利用总体规划》划定的岸线保护区（以下简称“岸线保护区”）应根据保护目标有针对性地进行管理，严格按照相关法律法规的规定，在规划期内禁止建设可能影响保护目标实现的建设项目。按照相关规划在岸线保护区内必须实施的防洪护岸、河道治理、供水、航道整治、国家重要基础设施等事关公共安全及公众利益的建设项目，须经充分论证并严格按照法律法规要求履行相关许可程序。</w:t>
                  </w:r>
                </w:p>
              </w:tc>
              <w:tc>
                <w:tcPr>
                  <w:tcW w:w="1393" w:type="pct"/>
                  <w:tcBorders>
                    <w:tl2br w:val="nil"/>
                    <w:tr2bl w:val="nil"/>
                  </w:tcBorders>
                  <w:vAlign w:val="center"/>
                </w:tcPr>
                <w:p w14:paraId="3DA63974">
                  <w:pPr>
                    <w:pStyle w:val="97"/>
                    <w:widowControl w:val="0"/>
                    <w:ind w:firstLine="0" w:firstLineChars="0"/>
                    <w:jc w:val="center"/>
                  </w:pPr>
                  <w:r>
                    <w:t>本项目</w:t>
                  </w:r>
                  <w:r>
                    <w:rPr>
                      <w:rFonts w:hint="eastAsia"/>
                    </w:rPr>
                    <w:t>不在长江岸线保护区内</w:t>
                  </w:r>
                </w:p>
              </w:tc>
              <w:tc>
                <w:tcPr>
                  <w:tcW w:w="371" w:type="pct"/>
                  <w:tcBorders>
                    <w:tl2br w:val="nil"/>
                    <w:tr2bl w:val="nil"/>
                  </w:tcBorders>
                  <w:vAlign w:val="center"/>
                </w:tcPr>
                <w:p w14:paraId="2CF6F34E">
                  <w:pPr>
                    <w:pStyle w:val="48"/>
                    <w:widowControl w:val="0"/>
                    <w:jc w:val="center"/>
                    <w:rPr>
                      <w:kern w:val="2"/>
                    </w:rPr>
                  </w:pPr>
                  <w:r>
                    <w:rPr>
                      <w:rFonts w:hint="eastAsia"/>
                      <w:kern w:val="2"/>
                    </w:rPr>
                    <w:t>符合</w:t>
                  </w:r>
                </w:p>
              </w:tc>
            </w:tr>
            <w:tr w14:paraId="536171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006CE390">
                  <w:pPr>
                    <w:pStyle w:val="48"/>
                    <w:widowControl w:val="0"/>
                    <w:jc w:val="center"/>
                    <w:rPr>
                      <w:kern w:val="2"/>
                    </w:rPr>
                  </w:pPr>
                  <w:r>
                    <w:rPr>
                      <w:rFonts w:hint="eastAsia"/>
                      <w:kern w:val="2"/>
                    </w:rPr>
                    <w:t>9</w:t>
                  </w:r>
                </w:p>
              </w:tc>
              <w:tc>
                <w:tcPr>
                  <w:tcW w:w="2879" w:type="pct"/>
                  <w:tcBorders>
                    <w:tl2br w:val="nil"/>
                    <w:tr2bl w:val="nil"/>
                  </w:tcBorders>
                  <w:vAlign w:val="center"/>
                </w:tcPr>
                <w:p w14:paraId="6C62BEC9">
                  <w:pPr>
                    <w:pStyle w:val="48"/>
                    <w:widowControl w:val="0"/>
                    <w:jc w:val="both"/>
                    <w:rPr>
                      <w:kern w:val="2"/>
                    </w:rPr>
                  </w:pPr>
                  <w:r>
                    <w:rPr>
                      <w:rFonts w:hint="eastAsia"/>
                      <w:kern w:val="2"/>
                    </w:rPr>
                    <w:t>禁止在《全国重要江河湖泊水功能区划》划定的河段保护区、保留区内投资建设不利于水资源及自然生态保护的项目。</w:t>
                  </w:r>
                </w:p>
              </w:tc>
              <w:tc>
                <w:tcPr>
                  <w:tcW w:w="1393" w:type="pct"/>
                  <w:tcBorders>
                    <w:tl2br w:val="nil"/>
                    <w:tr2bl w:val="nil"/>
                  </w:tcBorders>
                  <w:vAlign w:val="center"/>
                </w:tcPr>
                <w:p w14:paraId="233E1D0F">
                  <w:pPr>
                    <w:pStyle w:val="97"/>
                    <w:widowControl w:val="0"/>
                    <w:ind w:firstLine="0" w:firstLineChars="0"/>
                    <w:jc w:val="center"/>
                  </w:pPr>
                  <w:r>
                    <w:rPr>
                      <w:rFonts w:hint="eastAsia"/>
                      <w:lang w:val="en-US" w:bidi="zh-CN"/>
                    </w:rPr>
                    <w:t>项目无</w:t>
                  </w:r>
                  <w:r>
                    <w:rPr>
                      <w:rFonts w:hint="eastAsia"/>
                      <w:lang w:bidi="zh-CN"/>
                    </w:rPr>
                    <w:t>废水外排</w:t>
                  </w:r>
                </w:p>
              </w:tc>
              <w:tc>
                <w:tcPr>
                  <w:tcW w:w="371" w:type="pct"/>
                  <w:tcBorders>
                    <w:tl2br w:val="nil"/>
                    <w:tr2bl w:val="nil"/>
                  </w:tcBorders>
                  <w:vAlign w:val="center"/>
                </w:tcPr>
                <w:p w14:paraId="20ED8704">
                  <w:pPr>
                    <w:pStyle w:val="48"/>
                    <w:widowControl w:val="0"/>
                    <w:jc w:val="center"/>
                    <w:rPr>
                      <w:kern w:val="2"/>
                    </w:rPr>
                  </w:pPr>
                  <w:r>
                    <w:rPr>
                      <w:rFonts w:hint="eastAsia"/>
                      <w:kern w:val="2"/>
                    </w:rPr>
                    <w:t>符合</w:t>
                  </w:r>
                </w:p>
              </w:tc>
            </w:tr>
            <w:tr w14:paraId="3DD4C9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5C510AC6">
                  <w:pPr>
                    <w:pStyle w:val="48"/>
                    <w:widowControl w:val="0"/>
                    <w:jc w:val="center"/>
                    <w:rPr>
                      <w:kern w:val="2"/>
                    </w:rPr>
                  </w:pPr>
                  <w:r>
                    <w:rPr>
                      <w:rFonts w:hint="eastAsia"/>
                      <w:kern w:val="2"/>
                    </w:rPr>
                    <w:t>10</w:t>
                  </w:r>
                </w:p>
              </w:tc>
              <w:tc>
                <w:tcPr>
                  <w:tcW w:w="2879" w:type="pct"/>
                  <w:tcBorders>
                    <w:tl2br w:val="nil"/>
                    <w:tr2bl w:val="nil"/>
                  </w:tcBorders>
                  <w:vAlign w:val="center"/>
                </w:tcPr>
                <w:p w14:paraId="2C172D3D">
                  <w:pPr>
                    <w:pStyle w:val="48"/>
                    <w:widowControl w:val="0"/>
                    <w:jc w:val="both"/>
                    <w:rPr>
                      <w:kern w:val="2"/>
                    </w:rPr>
                  </w:pPr>
                  <w:r>
                    <w:rPr>
                      <w:rFonts w:hint="eastAsia"/>
                      <w:kern w:val="2"/>
                    </w:rPr>
                    <w:t>禁止在生态保护红线和永久基本农田范围内投资建设除国家重大战略资源勘查项目、生态保护修复和环境治理项目、重大基础设施项目、军事国防项目以及农牧民基本生产生活等必要的民生项目以外的项目。</w:t>
                  </w:r>
                </w:p>
              </w:tc>
              <w:tc>
                <w:tcPr>
                  <w:tcW w:w="1393" w:type="pct"/>
                  <w:tcBorders>
                    <w:tl2br w:val="nil"/>
                    <w:tr2bl w:val="nil"/>
                  </w:tcBorders>
                  <w:vAlign w:val="center"/>
                </w:tcPr>
                <w:p w14:paraId="102F58CD">
                  <w:pPr>
                    <w:pStyle w:val="97"/>
                    <w:widowControl w:val="0"/>
                    <w:ind w:firstLine="0" w:firstLineChars="0"/>
                    <w:jc w:val="center"/>
                  </w:pPr>
                  <w:r>
                    <w:t>本项目</w:t>
                  </w:r>
                  <w:r>
                    <w:rPr>
                      <w:rFonts w:hint="eastAsia"/>
                    </w:rPr>
                    <w:t>不在生态保护红线和永久基本农田范围内</w:t>
                  </w:r>
                </w:p>
              </w:tc>
              <w:tc>
                <w:tcPr>
                  <w:tcW w:w="371" w:type="pct"/>
                  <w:tcBorders>
                    <w:tl2br w:val="nil"/>
                    <w:tr2bl w:val="nil"/>
                  </w:tcBorders>
                  <w:vAlign w:val="center"/>
                </w:tcPr>
                <w:p w14:paraId="036E6992">
                  <w:pPr>
                    <w:pStyle w:val="48"/>
                    <w:widowControl w:val="0"/>
                    <w:jc w:val="center"/>
                    <w:rPr>
                      <w:kern w:val="2"/>
                    </w:rPr>
                  </w:pPr>
                  <w:r>
                    <w:rPr>
                      <w:rFonts w:hint="eastAsia"/>
                      <w:kern w:val="2"/>
                    </w:rPr>
                    <w:t>符合</w:t>
                  </w:r>
                </w:p>
              </w:tc>
            </w:tr>
            <w:tr w14:paraId="532386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27397378">
                  <w:pPr>
                    <w:pStyle w:val="48"/>
                    <w:widowControl w:val="0"/>
                    <w:jc w:val="center"/>
                    <w:rPr>
                      <w:kern w:val="2"/>
                    </w:rPr>
                  </w:pPr>
                  <w:r>
                    <w:rPr>
                      <w:rFonts w:hint="eastAsia"/>
                      <w:kern w:val="2"/>
                    </w:rPr>
                    <w:t>11</w:t>
                  </w:r>
                </w:p>
              </w:tc>
              <w:tc>
                <w:tcPr>
                  <w:tcW w:w="2879" w:type="pct"/>
                  <w:tcBorders>
                    <w:tl2br w:val="nil"/>
                    <w:tr2bl w:val="nil"/>
                  </w:tcBorders>
                  <w:vAlign w:val="center"/>
                </w:tcPr>
                <w:p w14:paraId="620F868D">
                  <w:pPr>
                    <w:pStyle w:val="48"/>
                    <w:widowControl w:val="0"/>
                    <w:jc w:val="both"/>
                    <w:rPr>
                      <w:kern w:val="2"/>
                    </w:rPr>
                  </w:pPr>
                  <w:r>
                    <w:rPr>
                      <w:rFonts w:hint="eastAsia"/>
                      <w:kern w:val="2"/>
                    </w:rPr>
                    <w:t>国家能源、交通、水利、军事设施等重点建设项目，以及省级高速公路、连接深度贫困地区直接为该地区服务的省级公路和深度贫困地区、集中连片特困地区、国家扶贫开发工作重点县省级以下基础设施、易地扶贫搬迁、民生发展等建设项目，涉及农用地转用或征收土地的，必须经国务院批准。</w:t>
                  </w:r>
                </w:p>
              </w:tc>
              <w:tc>
                <w:tcPr>
                  <w:tcW w:w="1393" w:type="pct"/>
                  <w:tcBorders>
                    <w:tl2br w:val="nil"/>
                    <w:tr2bl w:val="nil"/>
                  </w:tcBorders>
                  <w:vAlign w:val="center"/>
                </w:tcPr>
                <w:p w14:paraId="08A9C5C3">
                  <w:pPr>
                    <w:pStyle w:val="97"/>
                    <w:widowControl w:val="0"/>
                    <w:ind w:firstLine="0" w:firstLineChars="0"/>
                    <w:jc w:val="center"/>
                  </w:pPr>
                  <w:r>
                    <w:rPr>
                      <w:rFonts w:hint="eastAsia"/>
                    </w:rPr>
                    <w:t>本项目不涉及国家能源、交通、水利、军事设施等重点建设项目</w:t>
                  </w:r>
                </w:p>
              </w:tc>
              <w:tc>
                <w:tcPr>
                  <w:tcW w:w="371" w:type="pct"/>
                  <w:tcBorders>
                    <w:tl2br w:val="nil"/>
                    <w:tr2bl w:val="nil"/>
                  </w:tcBorders>
                  <w:vAlign w:val="center"/>
                </w:tcPr>
                <w:p w14:paraId="74148AF3">
                  <w:pPr>
                    <w:pStyle w:val="48"/>
                    <w:widowControl w:val="0"/>
                    <w:jc w:val="center"/>
                    <w:rPr>
                      <w:kern w:val="2"/>
                    </w:rPr>
                  </w:pPr>
                  <w:r>
                    <w:rPr>
                      <w:rFonts w:hint="eastAsia"/>
                      <w:kern w:val="2"/>
                    </w:rPr>
                    <w:t>符合</w:t>
                  </w:r>
                </w:p>
              </w:tc>
            </w:tr>
            <w:tr w14:paraId="4F7AB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14EE0693">
                  <w:pPr>
                    <w:pStyle w:val="48"/>
                    <w:widowControl w:val="0"/>
                    <w:jc w:val="center"/>
                    <w:rPr>
                      <w:kern w:val="2"/>
                    </w:rPr>
                  </w:pPr>
                  <w:r>
                    <w:rPr>
                      <w:rFonts w:hint="eastAsia"/>
                      <w:kern w:val="2"/>
                    </w:rPr>
                    <w:t>12</w:t>
                  </w:r>
                </w:p>
              </w:tc>
              <w:tc>
                <w:tcPr>
                  <w:tcW w:w="2879" w:type="pct"/>
                  <w:tcBorders>
                    <w:tl2br w:val="nil"/>
                    <w:tr2bl w:val="nil"/>
                  </w:tcBorders>
                  <w:vAlign w:val="center"/>
                </w:tcPr>
                <w:p w14:paraId="0A7EFB17">
                  <w:pPr>
                    <w:pStyle w:val="48"/>
                    <w:widowControl w:val="0"/>
                    <w:jc w:val="both"/>
                    <w:rPr>
                      <w:kern w:val="2"/>
                    </w:rPr>
                  </w:pPr>
                  <w:r>
                    <w:rPr>
                      <w:rFonts w:hint="eastAsia"/>
                      <w:kern w:val="2"/>
                    </w:rPr>
                    <w:t>禁止在长江干支流（长江干流湖南段、湘资沅澧四水干流及洞庭湖）岸线1公里范围（指长江干支流岸线边界（即水利部门河道管理范围边界）向陆域纵深1公里）内新建、扩建化工园区和化工项目。禁止在合规园区（详见附录）外新建、扩建钢铁、石化、化工、焦化、建材、有色等高污染项目。鼓励长江干支流岸线1公里范围内化工企业搬入合规园区。</w:t>
                  </w:r>
                </w:p>
              </w:tc>
              <w:tc>
                <w:tcPr>
                  <w:tcW w:w="1393" w:type="pct"/>
                  <w:tcBorders>
                    <w:tl2br w:val="nil"/>
                    <w:tr2bl w:val="nil"/>
                  </w:tcBorders>
                  <w:vAlign w:val="center"/>
                </w:tcPr>
                <w:p w14:paraId="447351FC">
                  <w:pPr>
                    <w:pStyle w:val="97"/>
                    <w:widowControl w:val="0"/>
                    <w:ind w:firstLine="0" w:firstLineChars="0"/>
                    <w:jc w:val="center"/>
                  </w:pPr>
                  <w:r>
                    <w:rPr>
                      <w:rFonts w:hint="eastAsia"/>
                    </w:rPr>
                    <w:t>本项目不属于钢铁、石化、化工、焦化、建材、有色等高污染项目</w:t>
                  </w:r>
                </w:p>
              </w:tc>
              <w:tc>
                <w:tcPr>
                  <w:tcW w:w="371" w:type="pct"/>
                  <w:tcBorders>
                    <w:tl2br w:val="nil"/>
                    <w:tr2bl w:val="nil"/>
                  </w:tcBorders>
                  <w:vAlign w:val="center"/>
                </w:tcPr>
                <w:p w14:paraId="171D05F8">
                  <w:pPr>
                    <w:pStyle w:val="48"/>
                    <w:widowControl w:val="0"/>
                    <w:jc w:val="center"/>
                    <w:rPr>
                      <w:kern w:val="2"/>
                    </w:rPr>
                  </w:pPr>
                  <w:r>
                    <w:rPr>
                      <w:rFonts w:hint="eastAsia"/>
                      <w:kern w:val="2"/>
                    </w:rPr>
                    <w:t>符合</w:t>
                  </w:r>
                </w:p>
              </w:tc>
            </w:tr>
            <w:tr w14:paraId="71C032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30EF640E">
                  <w:pPr>
                    <w:pStyle w:val="48"/>
                    <w:widowControl w:val="0"/>
                    <w:jc w:val="center"/>
                    <w:rPr>
                      <w:kern w:val="2"/>
                    </w:rPr>
                  </w:pPr>
                  <w:r>
                    <w:rPr>
                      <w:rFonts w:hint="eastAsia"/>
                      <w:kern w:val="2"/>
                    </w:rPr>
                    <w:t>13</w:t>
                  </w:r>
                </w:p>
              </w:tc>
              <w:tc>
                <w:tcPr>
                  <w:tcW w:w="2879" w:type="pct"/>
                  <w:tcBorders>
                    <w:tl2br w:val="nil"/>
                    <w:tr2bl w:val="nil"/>
                  </w:tcBorders>
                  <w:vAlign w:val="center"/>
                </w:tcPr>
                <w:p w14:paraId="6ADE4B91">
                  <w:pPr>
                    <w:pStyle w:val="48"/>
                    <w:widowControl w:val="0"/>
                    <w:jc w:val="both"/>
                    <w:rPr>
                      <w:kern w:val="2"/>
                    </w:rPr>
                  </w:pPr>
                  <w:r>
                    <w:rPr>
                      <w:rFonts w:hint="eastAsia"/>
                      <w:kern w:val="2"/>
                    </w:rPr>
                    <w:t>禁止新建、扩建不符合国家石化、现代煤化工等产业布局规划的项目。</w:t>
                  </w:r>
                </w:p>
              </w:tc>
              <w:tc>
                <w:tcPr>
                  <w:tcW w:w="1393" w:type="pct"/>
                  <w:tcBorders>
                    <w:tl2br w:val="nil"/>
                    <w:tr2bl w:val="nil"/>
                  </w:tcBorders>
                  <w:vAlign w:val="center"/>
                </w:tcPr>
                <w:p w14:paraId="6D05FBC0">
                  <w:pPr>
                    <w:pStyle w:val="97"/>
                    <w:widowControl w:val="0"/>
                    <w:ind w:firstLine="0" w:firstLineChars="0"/>
                    <w:jc w:val="center"/>
                  </w:pPr>
                  <w:r>
                    <w:rPr>
                      <w:rFonts w:hint="eastAsia"/>
                    </w:rPr>
                    <w:t>本项目不涉及不符合国家石化、现代煤化工等产业布局规划的项目</w:t>
                  </w:r>
                </w:p>
              </w:tc>
              <w:tc>
                <w:tcPr>
                  <w:tcW w:w="371" w:type="pct"/>
                  <w:tcBorders>
                    <w:tl2br w:val="nil"/>
                    <w:tr2bl w:val="nil"/>
                  </w:tcBorders>
                  <w:vAlign w:val="center"/>
                </w:tcPr>
                <w:p w14:paraId="1997DB2E">
                  <w:pPr>
                    <w:pStyle w:val="48"/>
                    <w:widowControl w:val="0"/>
                    <w:jc w:val="center"/>
                    <w:rPr>
                      <w:kern w:val="2"/>
                    </w:rPr>
                  </w:pPr>
                  <w:r>
                    <w:rPr>
                      <w:rFonts w:hint="eastAsia"/>
                      <w:kern w:val="2"/>
                    </w:rPr>
                    <w:t>符合</w:t>
                  </w:r>
                </w:p>
              </w:tc>
            </w:tr>
            <w:tr w14:paraId="2ED74C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756C99EE">
                  <w:pPr>
                    <w:pStyle w:val="48"/>
                    <w:widowControl w:val="0"/>
                    <w:jc w:val="center"/>
                    <w:rPr>
                      <w:kern w:val="2"/>
                    </w:rPr>
                  </w:pPr>
                  <w:r>
                    <w:rPr>
                      <w:rFonts w:hint="eastAsia"/>
                      <w:kern w:val="2"/>
                    </w:rPr>
                    <w:t>14</w:t>
                  </w:r>
                </w:p>
              </w:tc>
              <w:tc>
                <w:tcPr>
                  <w:tcW w:w="2879" w:type="pct"/>
                  <w:tcBorders>
                    <w:tl2br w:val="nil"/>
                    <w:tr2bl w:val="nil"/>
                  </w:tcBorders>
                  <w:vAlign w:val="center"/>
                </w:tcPr>
                <w:p w14:paraId="625A48A7">
                  <w:pPr>
                    <w:pStyle w:val="48"/>
                    <w:widowControl w:val="0"/>
                    <w:jc w:val="both"/>
                    <w:rPr>
                      <w:kern w:val="2"/>
                    </w:rPr>
                  </w:pPr>
                  <w:r>
                    <w:rPr>
                      <w:rFonts w:hint="eastAsia"/>
                      <w:kern w:val="2"/>
                    </w:rPr>
                    <w:t>禁止新建、扩建法律法规和相关政策明令禁止的落后产能项目。</w:t>
                  </w:r>
                </w:p>
              </w:tc>
              <w:tc>
                <w:tcPr>
                  <w:tcW w:w="1393" w:type="pct"/>
                  <w:tcBorders>
                    <w:tl2br w:val="nil"/>
                    <w:tr2bl w:val="nil"/>
                  </w:tcBorders>
                  <w:vAlign w:val="center"/>
                </w:tcPr>
                <w:p w14:paraId="3CA21EFC">
                  <w:pPr>
                    <w:pStyle w:val="97"/>
                    <w:widowControl w:val="0"/>
                    <w:ind w:firstLine="0" w:firstLineChars="0"/>
                    <w:jc w:val="center"/>
                  </w:pPr>
                  <w:r>
                    <w:rPr>
                      <w:rFonts w:hint="eastAsia"/>
                    </w:rPr>
                    <w:t>本项目为固体废物利用项目，不属于落后产能项目</w:t>
                  </w:r>
                </w:p>
              </w:tc>
              <w:tc>
                <w:tcPr>
                  <w:tcW w:w="371" w:type="pct"/>
                  <w:tcBorders>
                    <w:tl2br w:val="nil"/>
                    <w:tr2bl w:val="nil"/>
                  </w:tcBorders>
                  <w:vAlign w:val="center"/>
                </w:tcPr>
                <w:p w14:paraId="328B8E1A">
                  <w:pPr>
                    <w:pStyle w:val="48"/>
                    <w:widowControl w:val="0"/>
                    <w:jc w:val="center"/>
                    <w:rPr>
                      <w:kern w:val="2"/>
                    </w:rPr>
                  </w:pPr>
                  <w:r>
                    <w:rPr>
                      <w:rFonts w:hint="eastAsia"/>
                      <w:kern w:val="2"/>
                    </w:rPr>
                    <w:t>符合</w:t>
                  </w:r>
                </w:p>
              </w:tc>
            </w:tr>
            <w:tr w14:paraId="5D39A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1490F2F9">
                  <w:pPr>
                    <w:pStyle w:val="48"/>
                    <w:widowControl w:val="0"/>
                    <w:jc w:val="center"/>
                    <w:rPr>
                      <w:kern w:val="2"/>
                    </w:rPr>
                  </w:pPr>
                  <w:r>
                    <w:rPr>
                      <w:rFonts w:hint="eastAsia"/>
                      <w:kern w:val="2"/>
                    </w:rPr>
                    <w:t>15</w:t>
                  </w:r>
                </w:p>
              </w:tc>
              <w:tc>
                <w:tcPr>
                  <w:tcW w:w="2879" w:type="pct"/>
                  <w:tcBorders>
                    <w:tl2br w:val="nil"/>
                    <w:tr2bl w:val="nil"/>
                  </w:tcBorders>
                  <w:vAlign w:val="center"/>
                </w:tcPr>
                <w:p w14:paraId="17C5F188">
                  <w:pPr>
                    <w:pStyle w:val="48"/>
                    <w:widowControl w:val="0"/>
                    <w:jc w:val="both"/>
                    <w:rPr>
                      <w:kern w:val="2"/>
                    </w:rPr>
                  </w:pPr>
                  <w:r>
                    <w:rPr>
                      <w:rFonts w:hint="eastAsia"/>
                      <w:kern w:val="2"/>
                    </w:rPr>
                    <w:t>对不符合要求的落后产能项目，依法依规退出；对最新版《产业结构调整指导目录》中限制类的新建项目，禁止投资；对淘汰类项目，禁止投资。国家级重点生态功能区，要严格执行国家重点生态功能区产业准入负面清单。</w:t>
                  </w:r>
                </w:p>
              </w:tc>
              <w:tc>
                <w:tcPr>
                  <w:tcW w:w="1393" w:type="pct"/>
                  <w:tcBorders>
                    <w:tl2br w:val="nil"/>
                    <w:tr2bl w:val="nil"/>
                  </w:tcBorders>
                  <w:vAlign w:val="center"/>
                </w:tcPr>
                <w:p w14:paraId="1FCFB54A">
                  <w:pPr>
                    <w:pStyle w:val="97"/>
                    <w:widowControl w:val="0"/>
                    <w:ind w:firstLine="0" w:firstLineChars="0"/>
                    <w:jc w:val="center"/>
                  </w:pPr>
                  <w:r>
                    <w:rPr>
                      <w:rFonts w:hint="eastAsia"/>
                    </w:rPr>
                    <w:t>本项目不属于不符合要求的落后产能项目，不属于《产业结构调整指导目录》中限制类和淘汰类项目</w:t>
                  </w:r>
                </w:p>
              </w:tc>
              <w:tc>
                <w:tcPr>
                  <w:tcW w:w="371" w:type="pct"/>
                  <w:tcBorders>
                    <w:tl2br w:val="nil"/>
                    <w:tr2bl w:val="nil"/>
                  </w:tcBorders>
                  <w:vAlign w:val="center"/>
                </w:tcPr>
                <w:p w14:paraId="7E6AAB46">
                  <w:pPr>
                    <w:pStyle w:val="48"/>
                    <w:widowControl w:val="0"/>
                    <w:jc w:val="center"/>
                    <w:rPr>
                      <w:kern w:val="2"/>
                    </w:rPr>
                  </w:pPr>
                  <w:r>
                    <w:rPr>
                      <w:rFonts w:hint="eastAsia"/>
                      <w:kern w:val="2"/>
                    </w:rPr>
                    <w:t>符合</w:t>
                  </w:r>
                </w:p>
              </w:tc>
            </w:tr>
            <w:tr w14:paraId="1CC926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072F1989">
                  <w:pPr>
                    <w:pStyle w:val="48"/>
                    <w:widowControl w:val="0"/>
                    <w:jc w:val="center"/>
                    <w:rPr>
                      <w:kern w:val="2"/>
                    </w:rPr>
                  </w:pPr>
                  <w:r>
                    <w:rPr>
                      <w:rFonts w:hint="eastAsia"/>
                      <w:kern w:val="2"/>
                    </w:rPr>
                    <w:t>16</w:t>
                  </w:r>
                </w:p>
              </w:tc>
              <w:tc>
                <w:tcPr>
                  <w:tcW w:w="2879" w:type="pct"/>
                  <w:tcBorders>
                    <w:tl2br w:val="nil"/>
                    <w:tr2bl w:val="nil"/>
                  </w:tcBorders>
                  <w:vAlign w:val="center"/>
                </w:tcPr>
                <w:p w14:paraId="34F34AC7">
                  <w:pPr>
                    <w:pStyle w:val="48"/>
                    <w:widowControl w:val="0"/>
                    <w:jc w:val="both"/>
                    <w:rPr>
                      <w:kern w:val="2"/>
                    </w:rPr>
                  </w:pPr>
                  <w:r>
                    <w:rPr>
                      <w:rFonts w:hint="eastAsia"/>
                      <w:kern w:val="2"/>
                    </w:rPr>
                    <w:t>禁止新建、扩建不符合国家产能置换要求的严重过剩产能行业（钢铁、水泥、电解铝、平板玻璃、船舶等行业）的项目。</w:t>
                  </w:r>
                </w:p>
              </w:tc>
              <w:tc>
                <w:tcPr>
                  <w:tcW w:w="1393" w:type="pct"/>
                  <w:tcBorders>
                    <w:tl2br w:val="nil"/>
                    <w:tr2bl w:val="nil"/>
                  </w:tcBorders>
                  <w:vAlign w:val="center"/>
                </w:tcPr>
                <w:p w14:paraId="74887BFF">
                  <w:pPr>
                    <w:pStyle w:val="97"/>
                    <w:widowControl w:val="0"/>
                    <w:ind w:firstLine="0" w:firstLineChars="0"/>
                    <w:jc w:val="center"/>
                  </w:pPr>
                  <w:r>
                    <w:rPr>
                      <w:rFonts w:hint="eastAsia"/>
                    </w:rPr>
                    <w:t>本项目不属于国家产能置换要求严重过剩产能行业</w:t>
                  </w:r>
                </w:p>
              </w:tc>
              <w:tc>
                <w:tcPr>
                  <w:tcW w:w="371" w:type="pct"/>
                  <w:tcBorders>
                    <w:tl2br w:val="nil"/>
                    <w:tr2bl w:val="nil"/>
                  </w:tcBorders>
                  <w:vAlign w:val="center"/>
                </w:tcPr>
                <w:p w14:paraId="3309DF52">
                  <w:pPr>
                    <w:pStyle w:val="48"/>
                    <w:widowControl w:val="0"/>
                    <w:jc w:val="center"/>
                    <w:rPr>
                      <w:kern w:val="2"/>
                    </w:rPr>
                  </w:pPr>
                  <w:r>
                    <w:rPr>
                      <w:rFonts w:hint="eastAsia"/>
                      <w:kern w:val="2"/>
                    </w:rPr>
                    <w:t>符合</w:t>
                  </w:r>
                </w:p>
              </w:tc>
            </w:tr>
            <w:tr w14:paraId="097826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6BC4C131">
                  <w:pPr>
                    <w:pStyle w:val="48"/>
                    <w:widowControl w:val="0"/>
                    <w:jc w:val="center"/>
                    <w:rPr>
                      <w:kern w:val="2"/>
                    </w:rPr>
                  </w:pPr>
                  <w:r>
                    <w:rPr>
                      <w:rFonts w:hint="eastAsia"/>
                      <w:kern w:val="2"/>
                    </w:rPr>
                    <w:t>17</w:t>
                  </w:r>
                </w:p>
              </w:tc>
              <w:tc>
                <w:tcPr>
                  <w:tcW w:w="2879" w:type="pct"/>
                  <w:tcBorders>
                    <w:tl2br w:val="nil"/>
                    <w:tr2bl w:val="nil"/>
                  </w:tcBorders>
                  <w:vAlign w:val="center"/>
                </w:tcPr>
                <w:p w14:paraId="76346F28">
                  <w:pPr>
                    <w:pStyle w:val="48"/>
                    <w:widowControl w:val="0"/>
                    <w:jc w:val="both"/>
                    <w:rPr>
                      <w:kern w:val="2"/>
                    </w:rPr>
                  </w:pPr>
                  <w:r>
                    <w:rPr>
                      <w:rFonts w:hint="eastAsia"/>
                      <w:kern w:val="2"/>
                    </w:rPr>
                    <w:t>高污染项目应严格按照环境保护综合名录等有关要求执行。</w:t>
                  </w:r>
                </w:p>
              </w:tc>
              <w:tc>
                <w:tcPr>
                  <w:tcW w:w="1393" w:type="pct"/>
                  <w:tcBorders>
                    <w:tl2br w:val="nil"/>
                    <w:tr2bl w:val="nil"/>
                  </w:tcBorders>
                  <w:vAlign w:val="center"/>
                </w:tcPr>
                <w:p w14:paraId="54994332">
                  <w:pPr>
                    <w:pStyle w:val="97"/>
                    <w:widowControl w:val="0"/>
                    <w:ind w:firstLine="0" w:firstLineChars="0"/>
                    <w:jc w:val="center"/>
                  </w:pPr>
                  <w:r>
                    <w:rPr>
                      <w:rFonts w:hint="eastAsia"/>
                    </w:rPr>
                    <w:t>本项目不涉及高污染项目</w:t>
                  </w:r>
                </w:p>
              </w:tc>
              <w:tc>
                <w:tcPr>
                  <w:tcW w:w="371" w:type="pct"/>
                  <w:tcBorders>
                    <w:tl2br w:val="nil"/>
                    <w:tr2bl w:val="nil"/>
                  </w:tcBorders>
                  <w:vAlign w:val="center"/>
                </w:tcPr>
                <w:p w14:paraId="16B3C423">
                  <w:pPr>
                    <w:pStyle w:val="48"/>
                    <w:widowControl w:val="0"/>
                    <w:jc w:val="center"/>
                    <w:rPr>
                      <w:kern w:val="2"/>
                    </w:rPr>
                  </w:pPr>
                  <w:r>
                    <w:rPr>
                      <w:rFonts w:hint="eastAsia"/>
                      <w:kern w:val="2"/>
                    </w:rPr>
                    <w:t>符合</w:t>
                  </w:r>
                </w:p>
              </w:tc>
            </w:tr>
          </w:tbl>
          <w:p w14:paraId="616C56D3">
            <w:pPr>
              <w:spacing w:before="120" w:beforeLines="50"/>
              <w:ind w:firstLine="480"/>
              <w:jc w:val="left"/>
            </w:pPr>
            <w:r>
              <w:rPr>
                <w:rFonts w:hint="eastAsia"/>
              </w:rPr>
              <w:t>由上表可知，本项目符合《湖南省长江经济带发展负面清单实施细则》（试行，2022年版）相关要求。</w:t>
            </w:r>
          </w:p>
          <w:p w14:paraId="32F34D17">
            <w:pPr>
              <w:numPr>
                <w:ilvl w:val="0"/>
                <w:numId w:val="10"/>
              </w:numPr>
              <w:autoSpaceDE w:val="0"/>
              <w:autoSpaceDN w:val="0"/>
              <w:adjustRightInd w:val="0"/>
              <w:snapToGrid w:val="0"/>
              <w:ind w:left="0" w:firstLine="0" w:firstLineChars="0"/>
              <w:jc w:val="both"/>
              <w:rPr>
                <w:b/>
                <w:bCs/>
                <w:highlight w:val="none"/>
                <w:u w:val="none"/>
              </w:rPr>
            </w:pPr>
            <w:r>
              <w:rPr>
                <w:rFonts w:hint="eastAsia"/>
                <w:b/>
                <w:bCs/>
                <w:highlight w:val="none"/>
                <w:u w:val="none"/>
                <w:lang w:val="en-US" w:eastAsia="zh-CN"/>
              </w:rPr>
              <w:t>与《关于“十四五”大宗固体废物综合利用的指导意见》（发改环资〔2021〕381号）的相符性分析</w:t>
            </w:r>
          </w:p>
          <w:p w14:paraId="643E29B5">
            <w:pPr>
              <w:keepNext w:val="0"/>
              <w:keepLines w:val="0"/>
              <w:pageBreakBefore w:val="0"/>
              <w:widowControl/>
              <w:numPr>
                <w:ilvl w:val="0"/>
                <w:numId w:val="0"/>
              </w:numPr>
              <w:kinsoku/>
              <w:wordWrap/>
              <w:overflowPunct/>
              <w:topLinePunct w:val="0"/>
              <w:autoSpaceDE w:val="0"/>
              <w:autoSpaceDN w:val="0"/>
              <w:bidi w:val="0"/>
              <w:adjustRightInd w:val="0"/>
              <w:snapToGrid w:val="0"/>
              <w:ind w:leftChars="0" w:firstLine="480" w:firstLineChars="200"/>
              <w:jc w:val="both"/>
              <w:textAlignment w:val="auto"/>
              <w:rPr>
                <w:b/>
                <w:bCs/>
                <w:highlight w:val="yellow"/>
                <w:u w:val="none"/>
              </w:rPr>
            </w:pPr>
            <w:r>
              <w:rPr>
                <w:rFonts w:hint="eastAsia"/>
              </w:rPr>
              <w:t>本项目与《关于“十四五”大宗固体废物综合利用的指导意见》</w:t>
            </w:r>
            <w:r>
              <w:rPr>
                <w:rFonts w:hint="eastAsia"/>
                <w:lang w:eastAsia="zh-CN"/>
              </w:rPr>
              <w:t>（</w:t>
            </w:r>
            <w:r>
              <w:rPr>
                <w:rFonts w:hint="eastAsia"/>
              </w:rPr>
              <w:t>发改环资</w:t>
            </w:r>
            <w:r>
              <w:rPr>
                <w:rFonts w:hint="eastAsia"/>
                <w:lang w:eastAsia="zh-CN"/>
              </w:rPr>
              <w:t>〔2021〕381号）</w:t>
            </w:r>
            <w:r>
              <w:rPr>
                <w:rFonts w:hint="eastAsia"/>
              </w:rPr>
              <w:t>相关要求的符合性分析见下表。</w:t>
            </w:r>
          </w:p>
          <w:p w14:paraId="229FF9E4">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right="0" w:rightChars="0" w:firstLine="482" w:firstLineChars="200"/>
              <w:jc w:val="center"/>
              <w:textAlignment w:val="auto"/>
              <w:rPr>
                <w:rFonts w:hint="eastAsia"/>
                <w:b/>
                <w:bCs/>
              </w:rPr>
            </w:pPr>
            <w:r>
              <w:rPr>
                <w:rFonts w:hint="eastAsia"/>
                <w:b/>
                <w:bCs/>
                <w:lang w:val="en-US" w:eastAsia="zh-CN"/>
              </w:rPr>
              <w:t>与《关于“十四五”大宗固体废物综合利用的指导意见》（发改环资〔2021〕381号）的相符性分析一览表</w:t>
            </w:r>
          </w:p>
          <w:tbl>
            <w:tblPr>
              <w:tblStyle w:val="32"/>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4000"/>
              <w:gridCol w:w="1919"/>
              <w:gridCol w:w="1018"/>
            </w:tblGrid>
            <w:tr w14:paraId="6E157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tcBorders>
                    <w:tl2br w:val="nil"/>
                    <w:tr2bl w:val="nil"/>
                  </w:tcBorders>
                  <w:vAlign w:val="center"/>
                </w:tcPr>
                <w:p w14:paraId="6F9D74C5">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文件</w:t>
                  </w:r>
                </w:p>
              </w:tc>
              <w:tc>
                <w:tcPr>
                  <w:tcW w:w="4000" w:type="dxa"/>
                  <w:tcBorders>
                    <w:tl2br w:val="nil"/>
                    <w:tr2bl w:val="nil"/>
                  </w:tcBorders>
                  <w:vAlign w:val="center"/>
                </w:tcPr>
                <w:p w14:paraId="614174AF">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内容或要求</w:t>
                  </w:r>
                </w:p>
              </w:tc>
              <w:tc>
                <w:tcPr>
                  <w:tcW w:w="1919" w:type="dxa"/>
                  <w:tcBorders>
                    <w:tl2br w:val="nil"/>
                    <w:tr2bl w:val="nil"/>
                  </w:tcBorders>
                  <w:vAlign w:val="center"/>
                </w:tcPr>
                <w:p w14:paraId="4CF3E868">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本项目情况</w:t>
                  </w:r>
                </w:p>
              </w:tc>
              <w:tc>
                <w:tcPr>
                  <w:tcW w:w="1018" w:type="dxa"/>
                  <w:tcBorders>
                    <w:tl2br w:val="nil"/>
                    <w:tr2bl w:val="nil"/>
                  </w:tcBorders>
                  <w:vAlign w:val="center"/>
                </w:tcPr>
                <w:p w14:paraId="43E4C966">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相符性</w:t>
                  </w:r>
                </w:p>
              </w:tc>
            </w:tr>
            <w:tr w14:paraId="312F56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restart"/>
                  <w:tcBorders>
                    <w:tl2br w:val="nil"/>
                    <w:tr2bl w:val="nil"/>
                  </w:tcBorders>
                  <w:vAlign w:val="center"/>
                </w:tcPr>
                <w:p w14:paraId="47400D03">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sz w:val="21"/>
                      <w:szCs w:val="21"/>
                      <w:lang w:eastAsia="zh-CN"/>
                    </w:rPr>
                    <w:t>《</w:t>
                  </w:r>
                  <w:r>
                    <w:rPr>
                      <w:rFonts w:hint="eastAsia"/>
                      <w:sz w:val="21"/>
                      <w:szCs w:val="21"/>
                    </w:rPr>
                    <w:t>“十四五”大宗固体废物综合利用的指导意见</w:t>
                  </w:r>
                  <w:r>
                    <w:rPr>
                      <w:rFonts w:hint="eastAsia"/>
                      <w:sz w:val="21"/>
                      <w:szCs w:val="21"/>
                      <w:lang w:eastAsia="zh-CN"/>
                    </w:rPr>
                    <w:t>》</w:t>
                  </w:r>
                </w:p>
              </w:tc>
              <w:tc>
                <w:tcPr>
                  <w:tcW w:w="5919" w:type="dxa"/>
                  <w:gridSpan w:val="2"/>
                  <w:tcBorders>
                    <w:tl2br w:val="nil"/>
                    <w:tr2bl w:val="nil"/>
                  </w:tcBorders>
                  <w:vAlign w:val="center"/>
                </w:tcPr>
                <w:p w14:paraId="59D182BC">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三、提高大宗固体废物资源利用效率</w:t>
                  </w:r>
                </w:p>
              </w:tc>
              <w:tc>
                <w:tcPr>
                  <w:tcW w:w="1018" w:type="dxa"/>
                  <w:vMerge w:val="restart"/>
                  <w:tcBorders>
                    <w:tl2br w:val="nil"/>
                    <w:tr2bl w:val="nil"/>
                  </w:tcBorders>
                  <w:vAlign w:val="center"/>
                </w:tcPr>
                <w:p w14:paraId="39A95761">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符合</w:t>
                  </w:r>
                </w:p>
              </w:tc>
            </w:tr>
            <w:tr w14:paraId="4D11F0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0F3F4192">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4000" w:type="dxa"/>
                  <w:tcBorders>
                    <w:tl2br w:val="nil"/>
                    <w:tr2bl w:val="nil"/>
                  </w:tcBorders>
                  <w:vAlign w:val="center"/>
                </w:tcPr>
                <w:p w14:paraId="102FB036">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六）煤矸石和粉煤灰。持续提高煤矸石和粉煤灰综合利用水平，推进煤矸石和粉煤灰在工程建设、塌陷区治理、矿井充填以及盐碱地、沙漠化土地生态修复等领域的利用，有序引导利用煤矸石、粉煤灰生产新型墙体材料、装饰装修材料等绿色建材，在风险可控前提下深入推动农业领域应用和有价组分提取，加入大掺量和高附加值产品应用推广</w:t>
                  </w:r>
                </w:p>
              </w:tc>
              <w:tc>
                <w:tcPr>
                  <w:tcW w:w="1919" w:type="dxa"/>
                  <w:tcBorders>
                    <w:tl2br w:val="nil"/>
                    <w:tr2bl w:val="nil"/>
                  </w:tcBorders>
                  <w:vAlign w:val="center"/>
                </w:tcPr>
                <w:p w14:paraId="1F38AF88">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本项目粉煤灰通过负压闭路循环分选出粉煤灰超细灰，可用作拌制砂浆和混凝土的原料；</w:t>
                  </w:r>
                </w:p>
              </w:tc>
              <w:tc>
                <w:tcPr>
                  <w:tcW w:w="1018" w:type="dxa"/>
                  <w:vMerge w:val="continue"/>
                  <w:tcBorders>
                    <w:tl2br w:val="nil"/>
                    <w:tr2bl w:val="nil"/>
                  </w:tcBorders>
                  <w:vAlign w:val="center"/>
                </w:tcPr>
                <w:p w14:paraId="1ADC643F">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val="0"/>
                      <w:bCs w:val="0"/>
                      <w:sz w:val="21"/>
                      <w:szCs w:val="21"/>
                      <w:highlight w:val="none"/>
                      <w:u w:val="none"/>
                      <w:vertAlign w:val="baseline"/>
                      <w:lang w:val="en-US" w:eastAsia="zh-CN"/>
                    </w:rPr>
                  </w:pPr>
                </w:p>
              </w:tc>
            </w:tr>
            <w:tr w14:paraId="54D1A4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1DFA7D36">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5919" w:type="dxa"/>
                  <w:gridSpan w:val="2"/>
                  <w:tcBorders>
                    <w:tl2br w:val="nil"/>
                    <w:tr2bl w:val="nil"/>
                  </w:tcBorders>
                  <w:vAlign w:val="center"/>
                </w:tcPr>
                <w:p w14:paraId="1757D585">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四、推动大宗固体废物综合利用绿色发展</w:t>
                  </w:r>
                </w:p>
              </w:tc>
              <w:tc>
                <w:tcPr>
                  <w:tcW w:w="1018" w:type="dxa"/>
                  <w:vMerge w:val="restart"/>
                  <w:tcBorders>
                    <w:tl2br w:val="nil"/>
                    <w:tr2bl w:val="nil"/>
                  </w:tcBorders>
                  <w:vAlign w:val="center"/>
                </w:tcPr>
                <w:p w14:paraId="7321FB26">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符合</w:t>
                  </w:r>
                </w:p>
              </w:tc>
            </w:tr>
            <w:tr w14:paraId="40F825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174E3744">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4000" w:type="dxa"/>
                  <w:tcBorders>
                    <w:tl2br w:val="nil"/>
                    <w:tr2bl w:val="nil"/>
                  </w:tcBorders>
                  <w:vAlign w:val="center"/>
                </w:tcPr>
                <w:p w14:paraId="1DBF4533">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十三）推动利废行业绿色生产，强化过程控制。持续提升利废企业技术装备水平，加大小散乱污企业整治力度。强化大宗固体废物综合利用全流程管理，严格落实全过程环境污染防治责任。推行大宗固体废物绿色运输，鼓励使用专用运输设备和车辆，加强大宗固体废物运输过程管理。鼓励利废企业开展清洁生产审核，严格执行污染物排放标准，完善环境保护措施，防止二次污染</w:t>
                  </w:r>
                </w:p>
              </w:tc>
              <w:tc>
                <w:tcPr>
                  <w:tcW w:w="1919" w:type="dxa"/>
                  <w:tcBorders>
                    <w:tl2br w:val="nil"/>
                    <w:tr2bl w:val="nil"/>
                  </w:tcBorders>
                  <w:vAlign w:val="center"/>
                </w:tcPr>
                <w:p w14:paraId="3FD65686">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本项目为粉煤灰综合利用项目，其中通过负压闭路循环分选出粉煤灰超细粉用作拌制砂浆和混凝土的原料；</w:t>
                  </w:r>
                </w:p>
                <w:p w14:paraId="29683E19">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本项目原料及最终产物均储存在封闭筒仓中，物料外运采用专用罐车运输，厂区道路定期洒水抑尘。</w:t>
                  </w:r>
                </w:p>
              </w:tc>
              <w:tc>
                <w:tcPr>
                  <w:tcW w:w="1018" w:type="dxa"/>
                  <w:vMerge w:val="continue"/>
                  <w:tcBorders>
                    <w:tl2br w:val="nil"/>
                    <w:tr2bl w:val="nil"/>
                  </w:tcBorders>
                  <w:vAlign w:val="center"/>
                </w:tcPr>
                <w:p w14:paraId="3B204BFF">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val="0"/>
                      <w:bCs w:val="0"/>
                      <w:sz w:val="21"/>
                      <w:szCs w:val="21"/>
                      <w:highlight w:val="none"/>
                      <w:u w:val="none"/>
                      <w:vertAlign w:val="baseline"/>
                      <w:lang w:val="en-US" w:eastAsia="zh-CN"/>
                    </w:rPr>
                  </w:pPr>
                </w:p>
              </w:tc>
            </w:tr>
          </w:tbl>
          <w:p w14:paraId="7E7BD3AC">
            <w:pPr>
              <w:keepNext w:val="0"/>
              <w:keepLines w:val="0"/>
              <w:pageBreakBefore w:val="0"/>
              <w:widowControl/>
              <w:numPr>
                <w:ilvl w:val="0"/>
                <w:numId w:val="0"/>
              </w:numPr>
              <w:kinsoku/>
              <w:wordWrap/>
              <w:overflowPunct/>
              <w:topLinePunct w:val="0"/>
              <w:autoSpaceDE w:val="0"/>
              <w:autoSpaceDN w:val="0"/>
              <w:bidi w:val="0"/>
              <w:adjustRightInd w:val="0"/>
              <w:snapToGrid w:val="0"/>
              <w:spacing w:before="164" w:beforeLines="50"/>
              <w:ind w:leftChars="0" w:firstLine="480" w:firstLineChars="200"/>
              <w:jc w:val="both"/>
              <w:textAlignment w:val="auto"/>
              <w:rPr>
                <w:rFonts w:hint="eastAsia"/>
                <w:lang w:eastAsia="zh-CN"/>
              </w:rPr>
            </w:pPr>
            <w:r>
              <w:rPr>
                <w:rFonts w:hint="eastAsia"/>
                <w:lang w:val="en-US" w:eastAsia="zh-CN"/>
              </w:rPr>
              <w:t>综上，</w:t>
            </w:r>
            <w:r>
              <w:rPr>
                <w:rFonts w:hint="eastAsia"/>
              </w:rPr>
              <w:t>本项目</w:t>
            </w:r>
            <w:r>
              <w:rPr>
                <w:rFonts w:hint="eastAsia"/>
                <w:lang w:val="en-US" w:eastAsia="zh-CN"/>
              </w:rPr>
              <w:t>符合</w:t>
            </w:r>
            <w:r>
              <w:rPr>
                <w:rFonts w:hint="eastAsia"/>
              </w:rPr>
              <w:t>《关于“十四五”大宗固体废物综合利用的指导意见》发改环资</w:t>
            </w:r>
            <w:r>
              <w:rPr>
                <w:rFonts w:hint="eastAsia"/>
                <w:lang w:eastAsia="zh-CN"/>
              </w:rPr>
              <w:t>〔2021〕381号</w:t>
            </w:r>
            <w:r>
              <w:rPr>
                <w:rFonts w:hint="eastAsia"/>
              </w:rPr>
              <w:t>相关要求</w:t>
            </w:r>
            <w:r>
              <w:rPr>
                <w:rFonts w:hint="eastAsia"/>
                <w:lang w:eastAsia="zh-CN"/>
              </w:rPr>
              <w:t>。</w:t>
            </w:r>
          </w:p>
          <w:p w14:paraId="138C9DDD">
            <w:pPr>
              <w:numPr>
                <w:ilvl w:val="0"/>
                <w:numId w:val="10"/>
              </w:numPr>
              <w:autoSpaceDE w:val="0"/>
              <w:autoSpaceDN w:val="0"/>
              <w:adjustRightInd w:val="0"/>
              <w:snapToGrid w:val="0"/>
              <w:ind w:left="0" w:firstLine="0" w:firstLineChars="0"/>
              <w:jc w:val="left"/>
              <w:rPr>
                <w:b/>
                <w:bCs/>
              </w:rPr>
            </w:pPr>
            <w:r>
              <w:rPr>
                <w:rFonts w:hint="eastAsia"/>
                <w:b/>
                <w:bCs/>
                <w:highlight w:val="none"/>
                <w:u w:val="none"/>
                <w:lang w:val="en-US" w:eastAsia="zh-CN"/>
              </w:rPr>
              <w:t>与《一般固体废物环境管理工作指南》（环办固体函〔2026〕18号）的相符性分析</w:t>
            </w:r>
          </w:p>
          <w:p w14:paraId="0C8D0623">
            <w:pPr>
              <w:keepNext w:val="0"/>
              <w:keepLines w:val="0"/>
              <w:pageBreakBefore w:val="0"/>
              <w:widowControl/>
              <w:numPr>
                <w:ilvl w:val="0"/>
                <w:numId w:val="0"/>
              </w:numPr>
              <w:kinsoku/>
              <w:wordWrap/>
              <w:overflowPunct/>
              <w:topLinePunct w:val="0"/>
              <w:autoSpaceDE w:val="0"/>
              <w:autoSpaceDN w:val="0"/>
              <w:bidi w:val="0"/>
              <w:adjustRightInd w:val="0"/>
              <w:snapToGrid w:val="0"/>
              <w:ind w:leftChars="0" w:firstLine="480" w:firstLineChars="200"/>
              <w:jc w:val="left"/>
              <w:textAlignment w:val="auto"/>
              <w:rPr>
                <w:rFonts w:hint="eastAsia"/>
                <w:b w:val="0"/>
                <w:bCs w:val="0"/>
                <w:highlight w:val="none"/>
                <w:u w:val="none"/>
                <w:lang w:val="en-US" w:eastAsia="zh-CN"/>
              </w:rPr>
            </w:pPr>
            <w:r>
              <w:rPr>
                <w:rFonts w:hint="eastAsia"/>
                <w:b w:val="0"/>
                <w:bCs w:val="0"/>
                <w:highlight w:val="none"/>
                <w:u w:val="none"/>
                <w:lang w:val="en-US" w:eastAsia="zh-CN"/>
              </w:rPr>
              <w:t>本项目与《一般固体废物环境管理工作指南》（环办固体函〔2026〕18号）的相符性分析见下表。</w:t>
            </w:r>
          </w:p>
          <w:p w14:paraId="18EBF458">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right="0" w:rightChars="0" w:firstLine="482" w:firstLineChars="200"/>
              <w:jc w:val="center"/>
              <w:textAlignment w:val="auto"/>
              <w:rPr>
                <w:rFonts w:hint="default"/>
                <w:b/>
                <w:bCs/>
                <w:lang w:val="en-US" w:eastAsia="zh-CN"/>
              </w:rPr>
            </w:pPr>
            <w:r>
              <w:rPr>
                <w:rFonts w:hint="default"/>
                <w:b/>
                <w:bCs/>
                <w:lang w:val="en-US" w:eastAsia="zh-CN"/>
              </w:rPr>
              <w:t>与《一般固体废物环境管理工作指南》的相符性分析</w:t>
            </w:r>
            <w:r>
              <w:rPr>
                <w:rFonts w:hint="eastAsia"/>
                <w:b/>
                <w:bCs/>
                <w:lang w:val="en-US" w:eastAsia="zh-CN"/>
              </w:rPr>
              <w:t>一览表</w:t>
            </w:r>
          </w:p>
          <w:tbl>
            <w:tblPr>
              <w:tblStyle w:val="32"/>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4522"/>
              <w:gridCol w:w="2188"/>
              <w:gridCol w:w="583"/>
            </w:tblGrid>
            <w:tr w14:paraId="50D5A2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77EEF4C1">
                  <w:pPr>
                    <w:pStyle w:val="48"/>
                    <w:widowControl/>
                    <w:jc w:val="center"/>
                    <w:rPr>
                      <w:rFonts w:hint="default" w:eastAsia="宋体"/>
                      <w:b/>
                      <w:bCs/>
                      <w:kern w:val="2"/>
                      <w:lang w:val="en-US" w:eastAsia="zh-CN"/>
                    </w:rPr>
                  </w:pPr>
                  <w:r>
                    <w:rPr>
                      <w:rFonts w:hint="eastAsia"/>
                      <w:b/>
                      <w:bCs/>
                      <w:kern w:val="2"/>
                      <w:lang w:val="en-US" w:eastAsia="zh-CN"/>
                    </w:rPr>
                    <w:t>序号</w:t>
                  </w:r>
                </w:p>
              </w:tc>
              <w:tc>
                <w:tcPr>
                  <w:tcW w:w="2879" w:type="pct"/>
                  <w:tcBorders>
                    <w:tl2br w:val="nil"/>
                    <w:tr2bl w:val="nil"/>
                  </w:tcBorders>
                  <w:vAlign w:val="center"/>
                </w:tcPr>
                <w:p w14:paraId="4AF2863C">
                  <w:pPr>
                    <w:pStyle w:val="48"/>
                    <w:widowControl/>
                    <w:ind w:left="0" w:leftChars="0" w:right="0" w:rightChars="0" w:firstLine="0" w:firstLineChars="0"/>
                    <w:jc w:val="center"/>
                    <w:rPr>
                      <w:b/>
                      <w:bCs/>
                      <w:kern w:val="2"/>
                    </w:rPr>
                  </w:pPr>
                  <w:r>
                    <w:rPr>
                      <w:rFonts w:hint="eastAsia" w:cstheme="minorBidi"/>
                      <w:b/>
                      <w:bCs/>
                      <w:kern w:val="2"/>
                      <w:lang w:val="en-US" w:eastAsia="zh-CN"/>
                    </w:rPr>
                    <w:t>指南</w:t>
                  </w:r>
                  <w:r>
                    <w:rPr>
                      <w:rFonts w:hint="eastAsia" w:cstheme="minorBidi"/>
                      <w:b/>
                      <w:bCs/>
                      <w:kern w:val="2"/>
                    </w:rPr>
                    <w:t>要求</w:t>
                  </w:r>
                </w:p>
              </w:tc>
              <w:tc>
                <w:tcPr>
                  <w:tcW w:w="1393" w:type="pct"/>
                  <w:tcBorders>
                    <w:tl2br w:val="nil"/>
                    <w:tr2bl w:val="nil"/>
                  </w:tcBorders>
                  <w:vAlign w:val="center"/>
                </w:tcPr>
                <w:p w14:paraId="5ACB7147">
                  <w:pPr>
                    <w:pStyle w:val="48"/>
                    <w:widowControl/>
                    <w:jc w:val="center"/>
                    <w:rPr>
                      <w:b/>
                      <w:bCs/>
                      <w:kern w:val="2"/>
                    </w:rPr>
                  </w:pPr>
                  <w:r>
                    <w:rPr>
                      <w:rFonts w:hint="eastAsia" w:cstheme="minorBidi"/>
                      <w:b/>
                      <w:bCs/>
                      <w:kern w:val="2"/>
                    </w:rPr>
                    <w:t>项目情况</w:t>
                  </w:r>
                </w:p>
              </w:tc>
              <w:tc>
                <w:tcPr>
                  <w:tcW w:w="371" w:type="pct"/>
                  <w:tcBorders>
                    <w:tl2br w:val="nil"/>
                    <w:tr2bl w:val="nil"/>
                  </w:tcBorders>
                  <w:vAlign w:val="center"/>
                </w:tcPr>
                <w:p w14:paraId="61031723">
                  <w:pPr>
                    <w:pStyle w:val="48"/>
                    <w:widowControl/>
                    <w:jc w:val="center"/>
                    <w:rPr>
                      <w:b/>
                      <w:bCs/>
                      <w:kern w:val="2"/>
                    </w:rPr>
                  </w:pPr>
                  <w:r>
                    <w:rPr>
                      <w:rFonts w:hint="eastAsia"/>
                      <w:b/>
                      <w:bCs/>
                      <w:kern w:val="2"/>
                    </w:rPr>
                    <w:t>符合性</w:t>
                  </w:r>
                </w:p>
              </w:tc>
            </w:tr>
            <w:tr w14:paraId="3DFEF0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4C0FE119">
                  <w:pPr>
                    <w:pStyle w:val="48"/>
                    <w:widowControl w:val="0"/>
                    <w:jc w:val="center"/>
                    <w:rPr>
                      <w:kern w:val="2"/>
                    </w:rPr>
                  </w:pPr>
                  <w:r>
                    <w:rPr>
                      <w:rFonts w:hint="eastAsia"/>
                      <w:kern w:val="2"/>
                    </w:rPr>
                    <w:t>1</w:t>
                  </w:r>
                </w:p>
              </w:tc>
              <w:tc>
                <w:tcPr>
                  <w:tcW w:w="2879" w:type="pct"/>
                  <w:tcBorders>
                    <w:tl2br w:val="nil"/>
                    <w:tr2bl w:val="nil"/>
                  </w:tcBorders>
                  <w:vAlign w:val="center"/>
                </w:tcPr>
                <w:p w14:paraId="70F0C1D2">
                  <w:pPr>
                    <w:pStyle w:val="48"/>
                    <w:widowControl w:val="0"/>
                    <w:jc w:val="both"/>
                    <w:rPr>
                      <w:rFonts w:hint="default" w:eastAsia="宋体"/>
                      <w:kern w:val="2"/>
                      <w:lang w:val="en-US" w:eastAsia="zh-CN"/>
                    </w:rPr>
                  </w:pPr>
                  <w:r>
                    <w:rPr>
                      <w:rFonts w:hint="eastAsia"/>
                      <w:b/>
                      <w:bCs/>
                      <w:kern w:val="2"/>
                      <w:lang w:val="en-US" w:eastAsia="zh-CN"/>
                    </w:rPr>
                    <w:t>一、落实主体责任。</w:t>
                  </w:r>
                  <w:r>
                    <w:rPr>
                      <w:rFonts w:hint="eastAsia"/>
                      <w:kern w:val="2"/>
                      <w:lang w:val="en-US" w:eastAsia="zh-CN"/>
                    </w:rPr>
                    <w:t>坚持污染担责原则，产废单位应建立健全一般工业固体废物产生、收集、贮存、运输、利用、处置全过程污染环境防治责任制度，减少固体废物产生量，促进固体废物综合利用，降低固体废物危害性。规范建立一般工业固体废物环境管理台账，鼓励使用电子台账，强化全过程跟踪管控。产废单位不得擅自倾倒、堆放、丢弃、遗撒一般工业固体废物。</w:t>
                  </w:r>
                </w:p>
              </w:tc>
              <w:tc>
                <w:tcPr>
                  <w:tcW w:w="1393" w:type="pct"/>
                  <w:tcBorders>
                    <w:tl2br w:val="nil"/>
                    <w:tr2bl w:val="nil"/>
                  </w:tcBorders>
                  <w:vAlign w:val="center"/>
                </w:tcPr>
                <w:p w14:paraId="773AD382">
                  <w:pPr>
                    <w:pStyle w:val="9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rPr>
                  </w:pPr>
                  <w:r>
                    <w:rPr>
                      <w:rFonts w:hint="eastAsia"/>
                    </w:rPr>
                    <w:t>华能湖南岳阳发电有限责任公司已建立固体废物污染环境防治责任制度，对粉煤灰的产生、收集、贮存、运输、利用全过程实施管理。</w:t>
                  </w:r>
                </w:p>
                <w:p w14:paraId="5548A44F">
                  <w:pPr>
                    <w:pStyle w:val="9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pPr>
                  <w:r>
                    <w:rPr>
                      <w:rFonts w:hint="eastAsia"/>
                    </w:rPr>
                    <w:t>本项目为粉煤灰综合利用项目，通过分级加工提升粉煤灰品质等级，促进粉煤灰高值化利用，符合“促进固体废物综合利用”的要求。项目运行后将按要求完善粉煤灰分级加工环节的环境管理台账。</w:t>
                  </w:r>
                </w:p>
              </w:tc>
              <w:tc>
                <w:tcPr>
                  <w:tcW w:w="371" w:type="pct"/>
                  <w:tcBorders>
                    <w:tl2br w:val="nil"/>
                    <w:tr2bl w:val="nil"/>
                  </w:tcBorders>
                  <w:vAlign w:val="center"/>
                </w:tcPr>
                <w:p w14:paraId="392EFA21">
                  <w:pPr>
                    <w:pStyle w:val="48"/>
                    <w:widowControl w:val="0"/>
                    <w:jc w:val="center"/>
                    <w:rPr>
                      <w:kern w:val="2"/>
                    </w:rPr>
                  </w:pPr>
                  <w:r>
                    <w:rPr>
                      <w:rFonts w:hint="eastAsia"/>
                      <w:kern w:val="2"/>
                    </w:rPr>
                    <w:t>符合</w:t>
                  </w:r>
                </w:p>
              </w:tc>
            </w:tr>
            <w:tr w14:paraId="7DFAB0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702BF3AE">
                  <w:pPr>
                    <w:pStyle w:val="48"/>
                    <w:widowControl w:val="0"/>
                    <w:jc w:val="center"/>
                    <w:rPr>
                      <w:kern w:val="2"/>
                    </w:rPr>
                  </w:pPr>
                  <w:r>
                    <w:rPr>
                      <w:rFonts w:hint="eastAsia"/>
                      <w:kern w:val="2"/>
                    </w:rPr>
                    <w:t>2</w:t>
                  </w:r>
                </w:p>
              </w:tc>
              <w:tc>
                <w:tcPr>
                  <w:tcW w:w="2879" w:type="pct"/>
                  <w:tcBorders>
                    <w:tl2br w:val="nil"/>
                    <w:tr2bl w:val="nil"/>
                  </w:tcBorders>
                  <w:vAlign w:val="center"/>
                </w:tcPr>
                <w:p w14:paraId="4B052BE8">
                  <w:pPr>
                    <w:pStyle w:val="48"/>
                    <w:widowControl w:val="0"/>
                    <w:jc w:val="both"/>
                    <w:rPr>
                      <w:rFonts w:hint="default" w:eastAsia="宋体"/>
                      <w:kern w:val="2"/>
                      <w:lang w:val="en-US" w:eastAsia="zh-CN"/>
                    </w:rPr>
                  </w:pPr>
                  <w:r>
                    <w:rPr>
                      <w:rFonts w:hint="eastAsia"/>
                      <w:b/>
                      <w:bCs/>
                      <w:kern w:val="2"/>
                      <w:lang w:val="en-US" w:eastAsia="zh-CN"/>
                    </w:rPr>
                    <w:t>二、注重源头管理。</w:t>
                  </w:r>
                  <w:r>
                    <w:rPr>
                      <w:rFonts w:hint="eastAsia"/>
                      <w:kern w:val="2"/>
                      <w:lang w:val="en-US" w:eastAsia="zh-CN"/>
                    </w:rPr>
                    <w:t>在建设项目环境影响评价文件中明确工业固体废物的种类、名称、产生量、利用和处置方式等内容。提高排污许可证和执行报告以及排放源统计年报中一般工业固体废物信息填报的准确率。推进产废单位依法实施清洁生产审核。依法限期淘汰产生严重污染环境的工业固体废物的落后生产工艺和设备。产废单位应当按照工业固体废物的污染特性进行分类管理，采取必要措施防止工业固体废物污染产废单位应当按照工业固体废物的污染特性进行分类管理，采取必要措施防止工业固体废物污染。</w:t>
                  </w:r>
                </w:p>
              </w:tc>
              <w:tc>
                <w:tcPr>
                  <w:tcW w:w="1393" w:type="pct"/>
                  <w:tcBorders>
                    <w:tl2br w:val="nil"/>
                    <w:tr2bl w:val="nil"/>
                  </w:tcBorders>
                  <w:vAlign w:val="center"/>
                </w:tcPr>
                <w:p w14:paraId="24CEACE3">
                  <w:pPr>
                    <w:pStyle w:val="9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pPr>
                  <w:r>
                    <w:rPr>
                      <w:rFonts w:hint="eastAsia"/>
                    </w:rPr>
                    <w:t>本项目</w:t>
                  </w:r>
                  <w:r>
                    <w:rPr>
                      <w:rFonts w:hint="eastAsia"/>
                      <w:lang w:val="en-US" w:eastAsia="zh-CN"/>
                    </w:rPr>
                    <w:t>粉煤灰</w:t>
                  </w:r>
                  <w:r>
                    <w:rPr>
                      <w:rFonts w:hint="eastAsia"/>
                    </w:rPr>
                    <w:t>分级加工后用作水泥和混凝土原料。</w:t>
                  </w:r>
                  <w:r>
                    <w:rPr>
                      <w:rFonts w:hint="default" w:ascii="Times New Roman" w:hAnsi="Times New Roman" w:cs="Times New Roman"/>
                    </w:rPr>
                    <w:t>本项目对粉煤灰按Ⅰ、Ⅱ、Ⅲ级进行分类管理，</w:t>
                  </w:r>
                  <w:r>
                    <w:rPr>
                      <w:rFonts w:hint="eastAsia"/>
                    </w:rPr>
                    <w:t>不同等级粉煤灰分别贮存于筒仓</w:t>
                  </w:r>
                  <w:r>
                    <w:rPr>
                      <w:rFonts w:hint="eastAsia"/>
                      <w:lang w:eastAsia="zh-CN"/>
                    </w:rPr>
                    <w:t>，</w:t>
                  </w:r>
                  <w:r>
                    <w:rPr>
                      <w:rFonts w:hint="eastAsia"/>
                    </w:rPr>
                    <w:t>实现了按污染特性分类管理的要求。</w:t>
                  </w:r>
                </w:p>
              </w:tc>
              <w:tc>
                <w:tcPr>
                  <w:tcW w:w="371" w:type="pct"/>
                  <w:tcBorders>
                    <w:tl2br w:val="nil"/>
                    <w:tr2bl w:val="nil"/>
                  </w:tcBorders>
                  <w:vAlign w:val="center"/>
                </w:tcPr>
                <w:p w14:paraId="39BC652D">
                  <w:pPr>
                    <w:pStyle w:val="48"/>
                    <w:widowControl w:val="0"/>
                    <w:jc w:val="center"/>
                    <w:rPr>
                      <w:kern w:val="2"/>
                    </w:rPr>
                  </w:pPr>
                  <w:r>
                    <w:rPr>
                      <w:rFonts w:hint="eastAsia"/>
                      <w:kern w:val="2"/>
                    </w:rPr>
                    <w:t>符合</w:t>
                  </w:r>
                </w:p>
              </w:tc>
            </w:tr>
            <w:tr w14:paraId="44AF29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0BE6CBEA">
                  <w:pPr>
                    <w:pStyle w:val="48"/>
                    <w:widowControl w:val="0"/>
                    <w:jc w:val="center"/>
                    <w:rPr>
                      <w:kern w:val="2"/>
                    </w:rPr>
                  </w:pPr>
                  <w:r>
                    <w:rPr>
                      <w:rFonts w:hint="eastAsia"/>
                      <w:kern w:val="2"/>
                    </w:rPr>
                    <w:t>3</w:t>
                  </w:r>
                </w:p>
              </w:tc>
              <w:tc>
                <w:tcPr>
                  <w:tcW w:w="2879" w:type="pct"/>
                  <w:tcBorders>
                    <w:tl2br w:val="nil"/>
                    <w:tr2bl w:val="nil"/>
                  </w:tcBorders>
                  <w:vAlign w:val="center"/>
                </w:tcPr>
                <w:p w14:paraId="52132A26">
                  <w:pPr>
                    <w:pStyle w:val="48"/>
                    <w:widowControl w:val="0"/>
                    <w:jc w:val="both"/>
                    <w:rPr>
                      <w:kern w:val="2"/>
                    </w:rPr>
                  </w:pPr>
                  <w:r>
                    <w:rPr>
                      <w:rFonts w:hint="eastAsia"/>
                      <w:b/>
                      <w:bCs/>
                      <w:kern w:val="2"/>
                      <w:lang w:val="en-US" w:eastAsia="zh-CN"/>
                    </w:rPr>
                    <w:t>三、</w:t>
                  </w:r>
                  <w:r>
                    <w:rPr>
                      <w:rFonts w:hint="eastAsia"/>
                      <w:b/>
                      <w:bCs/>
                      <w:kern w:val="2"/>
                    </w:rPr>
                    <w:t>规范转移管理。</w:t>
                  </w:r>
                  <w:r>
                    <w:rPr>
                      <w:rFonts w:hint="eastAsia"/>
                      <w:kern w:val="2"/>
                    </w:rPr>
                    <w:t>产废单位委托他人运输、利用、处置一般工业固体废物的，应当对受托方的主体资格和技术能力进行核实。涉及转委托的，应按照民法典相关规定履行有关义务。跨省转移贮存、处置一般工业固体废物的，应依法履行申请批准程序</w:t>
                  </w:r>
                </w:p>
              </w:tc>
              <w:tc>
                <w:tcPr>
                  <w:tcW w:w="1393" w:type="pct"/>
                  <w:tcBorders>
                    <w:tl2br w:val="nil"/>
                    <w:tr2bl w:val="nil"/>
                  </w:tcBorders>
                  <w:vAlign w:val="center"/>
                </w:tcPr>
                <w:p w14:paraId="607668C5">
                  <w:pPr>
                    <w:pStyle w:val="9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pPr>
                  <w:r>
                    <w:rPr>
                      <w:rFonts w:hint="eastAsia"/>
                    </w:rPr>
                    <w:t>本项目粉煤灰</w:t>
                  </w:r>
                  <w:r>
                    <w:rPr>
                      <w:rFonts w:hint="eastAsia"/>
                      <w:lang w:val="en-US" w:eastAsia="zh-CN"/>
                    </w:rPr>
                    <w:t>的</w:t>
                  </w:r>
                  <w:r>
                    <w:rPr>
                      <w:rFonts w:hint="eastAsia"/>
                    </w:rPr>
                    <w:t>外运依托有资质的运输单位</w:t>
                  </w:r>
                  <w:r>
                    <w:rPr>
                      <w:rFonts w:hint="eastAsia"/>
                      <w:lang w:eastAsia="zh-CN"/>
                    </w:rPr>
                    <w:t>。</w:t>
                  </w:r>
                  <w:r>
                    <w:rPr>
                      <w:rFonts w:hint="eastAsia"/>
                    </w:rPr>
                    <w:t>建设单位将按照指南要求，对受托运输、利用单位的主体资格和技术能力进行核实，确保转移过程合规。</w:t>
                  </w:r>
                </w:p>
              </w:tc>
              <w:tc>
                <w:tcPr>
                  <w:tcW w:w="371" w:type="pct"/>
                  <w:tcBorders>
                    <w:tl2br w:val="nil"/>
                    <w:tr2bl w:val="nil"/>
                  </w:tcBorders>
                  <w:vAlign w:val="center"/>
                </w:tcPr>
                <w:p w14:paraId="275FF141">
                  <w:pPr>
                    <w:pStyle w:val="48"/>
                    <w:widowControl w:val="0"/>
                    <w:jc w:val="center"/>
                    <w:rPr>
                      <w:kern w:val="2"/>
                    </w:rPr>
                  </w:pPr>
                  <w:r>
                    <w:rPr>
                      <w:rFonts w:hint="eastAsia"/>
                      <w:kern w:val="2"/>
                    </w:rPr>
                    <w:t>符合</w:t>
                  </w:r>
                </w:p>
              </w:tc>
            </w:tr>
            <w:tr w14:paraId="549D81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0B6418BC">
                  <w:pPr>
                    <w:pStyle w:val="48"/>
                    <w:widowControl w:val="0"/>
                    <w:jc w:val="center"/>
                    <w:rPr>
                      <w:kern w:val="2"/>
                    </w:rPr>
                  </w:pPr>
                  <w:r>
                    <w:rPr>
                      <w:rFonts w:hint="eastAsia"/>
                      <w:kern w:val="2"/>
                    </w:rPr>
                    <w:t>4</w:t>
                  </w:r>
                </w:p>
              </w:tc>
              <w:tc>
                <w:tcPr>
                  <w:tcW w:w="2879" w:type="pct"/>
                  <w:tcBorders>
                    <w:tl2br w:val="nil"/>
                    <w:tr2bl w:val="nil"/>
                  </w:tcBorders>
                  <w:vAlign w:val="center"/>
                </w:tcPr>
                <w:p w14:paraId="43A2450E">
                  <w:pPr>
                    <w:pStyle w:val="48"/>
                    <w:widowControl w:val="0"/>
                    <w:jc w:val="both"/>
                    <w:rPr>
                      <w:kern w:val="2"/>
                    </w:rPr>
                  </w:pPr>
                  <w:r>
                    <w:rPr>
                      <w:rFonts w:hint="eastAsia"/>
                      <w:b/>
                      <w:bCs/>
                      <w:kern w:val="2"/>
                      <w:lang w:val="en-US" w:eastAsia="zh-CN"/>
                    </w:rPr>
                    <w:t>四、</w:t>
                  </w:r>
                  <w:r>
                    <w:rPr>
                      <w:rFonts w:hint="eastAsia"/>
                      <w:b/>
                      <w:bCs/>
                      <w:kern w:val="2"/>
                    </w:rPr>
                    <w:t>加强利用处置管理。</w:t>
                  </w:r>
                  <w:r>
                    <w:rPr>
                      <w:rFonts w:hint="eastAsia"/>
                      <w:kern w:val="2"/>
                    </w:rPr>
                    <w:t>产废单位依法依规对一般工业固体废物加以利用，减少贮存量和填埋量。产废单位利用、处置一般工业固体废物的，应当遵守生态环境法律法规，符合有关环境保护标准规范要求。鼓励产废单位按照“科学论证、制定规范、主动公开、全程监督”等程序，积极开展一般工业固体废物规模化消纳利用</w:t>
                  </w:r>
                </w:p>
              </w:tc>
              <w:tc>
                <w:tcPr>
                  <w:tcW w:w="1393" w:type="pct"/>
                  <w:tcBorders>
                    <w:tl2br w:val="nil"/>
                    <w:tr2bl w:val="nil"/>
                  </w:tcBorders>
                  <w:vAlign w:val="center"/>
                </w:tcPr>
                <w:p w14:paraId="163853FA">
                  <w:pPr>
                    <w:pStyle w:val="9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eastAsia="宋体"/>
                      <w:sz w:val="21"/>
                      <w:szCs w:val="21"/>
                      <w:lang w:val="en-US" w:eastAsia="zh-CN"/>
                    </w:rPr>
                  </w:pPr>
                  <w:r>
                    <w:rPr>
                      <w:rFonts w:hint="default" w:ascii="Times New Roman" w:hAnsi="Times New Roman" w:cs="Times New Roman"/>
                    </w:rPr>
                    <w:t>本项目年综合利用90万吨粉煤灰，通过负压闭路循环分选系统将Ⅲ级粉煤灰</w:t>
                  </w:r>
                  <w:r>
                    <w:rPr>
                      <w:rFonts w:hint="eastAsia" w:cs="Times New Roman"/>
                      <w:lang w:val="en-US" w:eastAsia="zh-CN"/>
                    </w:rPr>
                    <w:t>进一步细分</w:t>
                  </w:r>
                  <w:r>
                    <w:rPr>
                      <w:rFonts w:hint="default" w:ascii="Times New Roman" w:hAnsi="Times New Roman" w:cs="Times New Roman"/>
                    </w:rPr>
                    <w:t>为Ⅰ、Ⅱ级粉煤灰，用作拌制砂浆和混凝土的原料，大幅提升了粉煤灰的综合利用价值。分级后的粉煤灰执行《用于水泥和混凝土中的粉煤灰》（GB/T1596-2017）相关标准，符合环境保护标准规范要求。项目投产后可减少粉煤灰低效堆存，实现规模化消纳利用。</w:t>
                  </w:r>
                </w:p>
              </w:tc>
              <w:tc>
                <w:tcPr>
                  <w:tcW w:w="371" w:type="pct"/>
                  <w:tcBorders>
                    <w:tl2br w:val="nil"/>
                    <w:tr2bl w:val="nil"/>
                  </w:tcBorders>
                  <w:vAlign w:val="center"/>
                </w:tcPr>
                <w:p w14:paraId="0D16929E">
                  <w:pPr>
                    <w:pStyle w:val="48"/>
                    <w:widowControl w:val="0"/>
                    <w:jc w:val="center"/>
                    <w:rPr>
                      <w:kern w:val="2"/>
                    </w:rPr>
                  </w:pPr>
                  <w:r>
                    <w:rPr>
                      <w:rFonts w:hint="eastAsia"/>
                      <w:kern w:val="2"/>
                    </w:rPr>
                    <w:t>符合</w:t>
                  </w:r>
                </w:p>
              </w:tc>
            </w:tr>
          </w:tbl>
          <w:p w14:paraId="2C947114">
            <w:pPr>
              <w:keepNext w:val="0"/>
              <w:keepLines w:val="0"/>
              <w:pageBreakBefore w:val="0"/>
              <w:widowControl/>
              <w:numPr>
                <w:ilvl w:val="0"/>
                <w:numId w:val="0"/>
              </w:numPr>
              <w:kinsoku/>
              <w:wordWrap/>
              <w:overflowPunct/>
              <w:topLinePunct w:val="0"/>
              <w:autoSpaceDE w:val="0"/>
              <w:autoSpaceDN w:val="0"/>
              <w:bidi w:val="0"/>
              <w:adjustRightInd w:val="0"/>
              <w:snapToGrid w:val="0"/>
              <w:spacing w:before="164" w:beforeLines="50"/>
              <w:ind w:leftChars="0" w:firstLine="480" w:firstLineChars="200"/>
              <w:jc w:val="left"/>
              <w:textAlignment w:val="auto"/>
              <w:rPr>
                <w:rFonts w:hint="default"/>
                <w:b w:val="0"/>
                <w:bCs w:val="0"/>
                <w:highlight w:val="none"/>
                <w:u w:val="none"/>
                <w:lang w:val="en-US" w:eastAsia="zh-CN"/>
              </w:rPr>
            </w:pPr>
            <w:r>
              <w:rPr>
                <w:rFonts w:hint="default"/>
                <w:b w:val="0"/>
                <w:bCs w:val="0"/>
                <w:highlight w:val="none"/>
                <w:u w:val="none"/>
                <w:lang w:val="en-US" w:eastAsia="zh-CN"/>
              </w:rPr>
              <w:t>综上分析，本项目在落实主体责任、注重源头管理、规范转移管理、加强利用处置管理等方面均符合《一般工业固体废物环境管理工作指南》（环办固体函〔2026〕18号）的相关要求。</w:t>
            </w:r>
          </w:p>
          <w:p w14:paraId="027353CF">
            <w:pPr>
              <w:numPr>
                <w:ilvl w:val="0"/>
                <w:numId w:val="10"/>
              </w:numPr>
              <w:autoSpaceDE w:val="0"/>
              <w:autoSpaceDN w:val="0"/>
              <w:adjustRightInd w:val="0"/>
              <w:snapToGrid w:val="0"/>
              <w:ind w:left="0" w:firstLine="0" w:firstLineChars="0"/>
              <w:jc w:val="left"/>
              <w:rPr>
                <w:b/>
                <w:bCs/>
              </w:rPr>
            </w:pPr>
            <w:r>
              <w:rPr>
                <w:rFonts w:hint="eastAsia"/>
                <w:b/>
                <w:bCs/>
              </w:rPr>
              <w:t>是否属于“两高”</w:t>
            </w:r>
            <w:r>
              <w:rPr>
                <w:rFonts w:hint="eastAsia"/>
                <w:b/>
              </w:rPr>
              <w:t>项目</w:t>
            </w:r>
          </w:p>
          <w:p w14:paraId="1D62CF0B">
            <w:pPr>
              <w:ind w:firstLine="480"/>
              <w:jc w:val="left"/>
            </w:pPr>
            <w:r>
              <w:t>根据湖南省发改委《关于印发</w:t>
            </w:r>
            <w:r>
              <w:rPr>
                <w:rFonts w:hint="eastAsia"/>
              </w:rPr>
              <w:t>〈</w:t>
            </w:r>
            <w:r>
              <w:t>湖南省“两高”项目管理目录</w:t>
            </w:r>
            <w:r>
              <w:rPr>
                <w:rFonts w:hint="eastAsia"/>
              </w:rPr>
              <w:t>〉</w:t>
            </w:r>
            <w:r>
              <w:t>的通知》</w:t>
            </w:r>
            <w:r>
              <w:rPr>
                <w:rFonts w:hint="eastAsia"/>
              </w:rPr>
              <w:t>（</w:t>
            </w:r>
            <w:r>
              <w:t xml:space="preserve">湘发改环资 </w:t>
            </w:r>
            <w:r>
              <w:rPr>
                <w:rFonts w:hint="eastAsia"/>
              </w:rPr>
              <w:t>〔2021〕968号）</w:t>
            </w:r>
            <w:r>
              <w:t>，湖南省“两高”项目包括石化、化工、煤化工、焦化等行业，其中石化行业中的原油加工及石油制品制造（2511）；化工行业的无机酸制造（2611）、无机碱制造（2612）、无机盐制造（2613）行业（涉及的主要产品及工序为：烧碱、纯碱、工业硫酸、黄磷、合成氨、尿素、磷铵、电石、聚氯乙烯、聚丙烯、精对苯二甲酸、对二甲苯、苯乙烯、乙酸乙烯酯、二苯基甲烷二异氰酸酯、1,4-丁二醇）；煤化工行业的煤制合成气生产（2522）、煤制液体燃料生产（2523）等属于“两高”项目，同时涉煤及煤制品、石油焦、渣油、重油等高污染物燃料使用的工业炉窑、锅炉项目也属于“两高”项目。</w:t>
            </w:r>
          </w:p>
          <w:p w14:paraId="72AD9E3B">
            <w:pPr>
              <w:ind w:firstLine="480"/>
              <w:jc w:val="left"/>
            </w:pPr>
            <w:r>
              <w:t>本项目</w:t>
            </w:r>
            <w:r>
              <w:rPr>
                <w:rFonts w:hint="eastAsia"/>
              </w:rPr>
              <w:t>为固体废物治理</w:t>
            </w:r>
            <w:r>
              <w:t>，</w:t>
            </w:r>
            <w:r>
              <w:rPr>
                <w:rFonts w:hint="eastAsia"/>
              </w:rPr>
              <w:t>不使用煤及煤制品、石油焦、渣油、重油等高污染物燃料</w:t>
            </w:r>
            <w:r>
              <w:t>，因此根据《关于印发</w:t>
            </w:r>
            <w:r>
              <w:rPr>
                <w:rFonts w:hint="eastAsia"/>
              </w:rPr>
              <w:t>〈</w:t>
            </w:r>
            <w:r>
              <w:t>湖南省“两高”项目管理目录</w:t>
            </w:r>
            <w:r>
              <w:rPr>
                <w:rFonts w:hint="eastAsia"/>
              </w:rPr>
              <w:t>〉</w:t>
            </w:r>
            <w:r>
              <w:t>的通知》（湘发改环资</w:t>
            </w:r>
            <w:r>
              <w:rPr>
                <w:rFonts w:hint="eastAsia"/>
              </w:rPr>
              <w:t>〔2021〕968号</w:t>
            </w:r>
            <w:r>
              <w:t>），本项目不属于“两高”项目。</w:t>
            </w:r>
          </w:p>
          <w:p w14:paraId="099C27FC">
            <w:pPr>
              <w:numPr>
                <w:ilvl w:val="0"/>
                <w:numId w:val="10"/>
              </w:numPr>
              <w:autoSpaceDE w:val="0"/>
              <w:autoSpaceDN w:val="0"/>
              <w:adjustRightInd w:val="0"/>
              <w:snapToGrid w:val="0"/>
              <w:ind w:left="0" w:firstLine="0" w:firstLineChars="0"/>
              <w:jc w:val="left"/>
              <w:rPr>
                <w:b/>
                <w:bCs/>
              </w:rPr>
            </w:pPr>
            <w:r>
              <w:rPr>
                <w:rFonts w:hint="eastAsia"/>
                <w:b/>
                <w:bCs/>
              </w:rPr>
              <w:t>选址合理性分析</w:t>
            </w:r>
          </w:p>
          <w:p w14:paraId="69277E31">
            <w:pPr>
              <w:ind w:firstLine="480"/>
              <w:jc w:val="both"/>
              <w:rPr>
                <w:rFonts w:hint="default"/>
                <w:highlight w:val="none"/>
                <w:u w:val="none"/>
                <w:lang w:val="en-US"/>
              </w:rPr>
            </w:pPr>
            <w:r>
              <w:rPr>
                <w:rFonts w:hint="eastAsia"/>
                <w:highlight w:val="none"/>
                <w:u w:val="none"/>
              </w:rPr>
              <w:t>本项目位于湖南省岳阳市岳阳楼区月冲路</w:t>
            </w:r>
            <w:r>
              <w:rPr>
                <w:rFonts w:hint="eastAsia"/>
                <w:highlight w:val="none"/>
                <w:u w:val="none"/>
                <w:lang w:val="en-US" w:eastAsia="zh-CN"/>
              </w:rPr>
              <w:t>华能湖南岳阳发电有限责任公司现有厂区内</w:t>
            </w:r>
            <w:r>
              <w:rPr>
                <w:rFonts w:hint="eastAsia"/>
                <w:highlight w:val="none"/>
                <w:u w:val="none"/>
              </w:rPr>
              <w:t>，选址符合土地规划要求。</w:t>
            </w:r>
            <w:r>
              <w:rPr>
                <w:rFonts w:hint="eastAsia"/>
                <w:b w:val="0"/>
                <w:bCs w:val="0"/>
                <w:sz w:val="24"/>
                <w:szCs w:val="24"/>
                <w:highlight w:val="none"/>
                <w:u w:val="none"/>
                <w:vertAlign w:val="baseline"/>
                <w:lang w:val="en-US" w:eastAsia="zh-CN"/>
              </w:rPr>
              <w:t>本项目为固体废物治理，其中通过负压闭路循环分选出粉煤灰超细粉用作拌制砂浆和混凝土的原料。本项目在现有厂区内建设改造，不新增用地。项目原料及最终产物均储存在密闭容器中，物料由专用运输设备和车辆输送。粉煤灰综合利用生产线筒仓仓顶布置除尘器收集处理筒仓呼吸粉尘，罐车气力输送系统配套使用散装机布袋除尘器收集处理粉尘经过上述措施处理后，本项目生产过程中的废气对周边环境的影响较小。</w:t>
            </w:r>
          </w:p>
          <w:p w14:paraId="2B2110F8">
            <w:pPr>
              <w:ind w:firstLine="480"/>
              <w:jc w:val="left"/>
              <w:rPr>
                <w:u w:val="none"/>
              </w:rPr>
            </w:pPr>
            <w:r>
              <w:rPr>
                <w:rFonts w:hint="eastAsia"/>
                <w:highlight w:val="none"/>
                <w:u w:val="none"/>
              </w:rPr>
              <w:t>综上，根据项目周边环境状况、场地条件、环境可行性等方面综合分析后，本评价认为项目选址是可行的。</w:t>
            </w:r>
          </w:p>
          <w:p w14:paraId="2E94B48A">
            <w:pPr>
              <w:ind w:firstLine="482"/>
              <w:jc w:val="both"/>
              <w:rPr>
                <w:b/>
                <w:bCs/>
                <w:highlight w:val="none"/>
                <w:u w:val="none"/>
              </w:rPr>
            </w:pPr>
            <w:r>
              <w:rPr>
                <w:rFonts w:hint="eastAsia"/>
                <w:b/>
                <w:bCs/>
                <w:highlight w:val="none"/>
                <w:u w:val="none"/>
              </w:rPr>
              <w:t>平面布局合理性分析</w:t>
            </w:r>
          </w:p>
          <w:p w14:paraId="16381657">
            <w:pPr>
              <w:ind w:firstLine="480"/>
              <w:jc w:val="both"/>
              <w:rPr>
                <w:rFonts w:hint="default" w:eastAsia="宋体"/>
                <w:highlight w:val="yellow"/>
                <w:u w:val="none"/>
                <w:lang w:val="en-US" w:eastAsia="zh-CN"/>
              </w:rPr>
            </w:pPr>
            <w:r>
              <w:rPr>
                <w:highlight w:val="none"/>
              </w:rPr>
              <w:t>本项目</w:t>
            </w:r>
            <w:r>
              <w:rPr>
                <w:rFonts w:hint="eastAsia"/>
                <w:highlight w:val="none"/>
              </w:rPr>
              <w:t>建设地点位于</w:t>
            </w:r>
            <w:r>
              <w:rPr>
                <w:rFonts w:hint="eastAsia"/>
                <w:bCs/>
                <w:highlight w:val="none"/>
                <w:lang w:val="en-US" w:eastAsia="zh-CN"/>
              </w:rPr>
              <w:t>湖南省岳阳市岳阳楼区月冲路华能湖南岳阳发电有限责任公司现有厂区内</w:t>
            </w:r>
            <w:r>
              <w:rPr>
                <w:rFonts w:hint="eastAsia"/>
                <w:highlight w:val="none"/>
              </w:rPr>
              <w:t>，根据</w:t>
            </w:r>
            <w:r>
              <w:rPr>
                <w:rFonts w:hint="eastAsia"/>
                <w:highlight w:val="none"/>
                <w:lang w:val="en-US" w:eastAsia="zh-CN"/>
              </w:rPr>
              <w:t>厂区</w:t>
            </w:r>
            <w:r>
              <w:rPr>
                <w:rFonts w:hint="eastAsia"/>
                <w:highlight w:val="none"/>
              </w:rPr>
              <w:t>总平面布置图，厂区由</w:t>
            </w:r>
            <w:r>
              <w:rPr>
                <w:rFonts w:hint="eastAsia"/>
                <w:highlight w:val="none"/>
                <w:lang w:val="en-US" w:eastAsia="zh-CN"/>
              </w:rPr>
              <w:t>西南方</w:t>
            </w:r>
            <w:r>
              <w:rPr>
                <w:rFonts w:hint="eastAsia"/>
                <w:highlight w:val="none"/>
              </w:rPr>
              <w:t>作为主入口，</w:t>
            </w:r>
            <w:r>
              <w:rPr>
                <w:rFonts w:hint="eastAsia"/>
                <w:highlight w:val="none"/>
                <w:lang w:val="en-US" w:eastAsia="zh-CN"/>
              </w:rPr>
              <w:t>其中一期灰库及粉煤灰超细灰生产装置布设在厂区大门外东侧约175米处，三期灰库及粉煤灰超细灰生产装置布设在煤场对面，二期灰库及粉煤灰超细灰生产装置布设在4#机组和5#机组中间</w:t>
            </w:r>
            <w:r>
              <w:rPr>
                <w:rFonts w:hint="eastAsia"/>
                <w:highlight w:val="none"/>
              </w:rPr>
              <w:t>。</w:t>
            </w:r>
            <w:r>
              <w:rPr>
                <w:rFonts w:hint="eastAsia"/>
                <w:highlight w:val="none"/>
                <w:lang w:val="en-US" w:eastAsia="zh-CN"/>
              </w:rPr>
              <w:t>本项目新增粉煤灰超细灰分选系统布设于厂区现有用地内，不新增用地。</w:t>
            </w:r>
          </w:p>
          <w:p w14:paraId="00BDD250">
            <w:pPr>
              <w:ind w:firstLine="480"/>
              <w:jc w:val="left"/>
            </w:pPr>
            <w:r>
              <w:rPr>
                <w:highlight w:val="none"/>
                <w:u w:val="none"/>
              </w:rPr>
              <w:t>厂区内部平面布置考虑了企业生产的特点，</w:t>
            </w:r>
            <w:r>
              <w:rPr>
                <w:rFonts w:hint="eastAsia"/>
                <w:highlight w:val="none"/>
                <w:u w:val="none"/>
              </w:rPr>
              <w:t>总平面布置</w:t>
            </w:r>
            <w:r>
              <w:rPr>
                <w:highlight w:val="none"/>
                <w:u w:val="none"/>
              </w:rPr>
              <w:t>按生产性质、规模、产品工艺流程、交通运输</w:t>
            </w:r>
            <w:r>
              <w:rPr>
                <w:rFonts w:hint="eastAsia"/>
                <w:highlight w:val="none"/>
                <w:u w:val="none"/>
              </w:rPr>
              <w:t>及</w:t>
            </w:r>
            <w:r>
              <w:rPr>
                <w:highlight w:val="none"/>
                <w:u w:val="none"/>
              </w:rPr>
              <w:t>卫生等要求进行，工艺顺畅，各工序衔接紧凑</w:t>
            </w:r>
            <w:r>
              <w:rPr>
                <w:rFonts w:hint="eastAsia"/>
                <w:highlight w:val="none"/>
                <w:u w:val="none"/>
              </w:rPr>
              <w:t>，有</w:t>
            </w:r>
            <w:r>
              <w:rPr>
                <w:highlight w:val="none"/>
                <w:u w:val="none"/>
              </w:rPr>
              <w:t>利于生产活动。厂区内功能分区明确，人流货流通畅短捷。综上所述本项目平面布置可行。</w:t>
            </w:r>
          </w:p>
        </w:tc>
      </w:tr>
    </w:tbl>
    <w:p w14:paraId="04DA2B79">
      <w:pPr>
        <w:ind w:firstLine="600"/>
        <w:rPr>
          <w:rFonts w:eastAsia="黑体"/>
          <w:sz w:val="30"/>
        </w:rPr>
        <w:sectPr>
          <w:headerReference r:id="rId13" w:type="default"/>
          <w:footerReference r:id="rId14" w:type="default"/>
          <w:pgSz w:w="11906" w:h="16838"/>
          <w:pgMar w:top="1418" w:right="1418" w:bottom="1418" w:left="1701" w:header="851" w:footer="992" w:gutter="0"/>
          <w:pgBorders>
            <w:top w:val="none" w:sz="0" w:space="0"/>
            <w:left w:val="none" w:sz="0" w:space="0"/>
            <w:bottom w:val="none" w:sz="0" w:space="0"/>
            <w:right w:val="none" w:sz="0" w:space="0"/>
          </w:pgBorders>
          <w:pgNumType w:start="1"/>
          <w:cols w:space="720" w:num="1"/>
          <w:docGrid w:linePitch="326" w:charSpace="0"/>
        </w:sectPr>
      </w:pPr>
    </w:p>
    <w:p w14:paraId="40C2755F">
      <w:pPr>
        <w:pStyle w:val="2"/>
        <w:numPr>
          <w:ilvl w:val="255"/>
          <w:numId w:val="0"/>
        </w:numPr>
        <w:spacing w:before="0" w:beforeLines="0" w:after="120" w:afterLines="50"/>
        <w:jc w:val="center"/>
        <w:rPr>
          <w:snapToGrid w:val="0"/>
        </w:rPr>
      </w:pPr>
      <w:bookmarkStart w:id="62" w:name="_Toc9648"/>
      <w:bookmarkStart w:id="63" w:name="_Toc25613"/>
      <w:bookmarkStart w:id="64" w:name="_Toc15897"/>
      <w:bookmarkStart w:id="65" w:name="_Toc31276"/>
      <w:bookmarkStart w:id="66" w:name="_Toc10657"/>
      <w:bookmarkStart w:id="67" w:name="_Toc4836"/>
      <w:bookmarkStart w:id="68" w:name="_Toc19484"/>
      <w:bookmarkStart w:id="69" w:name="_Toc13996"/>
      <w:bookmarkStart w:id="70" w:name="_Toc3392"/>
      <w:bookmarkStart w:id="71" w:name="_Toc7787"/>
      <w:bookmarkStart w:id="72" w:name="_Toc25818"/>
      <w:bookmarkStart w:id="73" w:name="_Toc31683"/>
      <w:bookmarkStart w:id="74" w:name="_Toc24788"/>
      <w:bookmarkStart w:id="75" w:name="_Toc30169"/>
      <w:bookmarkStart w:id="76" w:name="_Toc29588"/>
      <w:bookmarkStart w:id="77" w:name="_Toc16193"/>
      <w:bookmarkStart w:id="78" w:name="_Toc7207"/>
      <w:r>
        <w:rPr>
          <w:snapToGrid w:val="0"/>
        </w:rPr>
        <w:t>二、建设项目工程分析</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tbl>
      <w:tblPr>
        <w:tblStyle w:val="3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614"/>
        <w:gridCol w:w="7933"/>
      </w:tblGrid>
      <w:tr w14:paraId="1522E3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253" w:type="pct"/>
            <w:vAlign w:val="center"/>
          </w:tcPr>
          <w:p w14:paraId="7F1D8660">
            <w:pPr>
              <w:pStyle w:val="25"/>
              <w:autoSpaceDE w:val="0"/>
              <w:autoSpaceDN w:val="0"/>
              <w:adjustRightInd w:val="0"/>
              <w:snapToGrid w:val="0"/>
              <w:spacing w:before="0" w:beforeAutospacing="0" w:after="0" w:afterAutospacing="0" w:line="240" w:lineRule="auto"/>
              <w:ind w:firstLine="0" w:firstLineChars="0"/>
              <w:jc w:val="center"/>
            </w:pPr>
            <w:r>
              <w:t>建设内容</w:t>
            </w:r>
          </w:p>
        </w:tc>
        <w:tc>
          <w:tcPr>
            <w:tcW w:w="4746" w:type="pct"/>
            <w:gridSpan w:val="2"/>
          </w:tcPr>
          <w:p w14:paraId="2AB916B3">
            <w:pPr>
              <w:numPr>
                <w:ilvl w:val="0"/>
                <w:numId w:val="17"/>
              </w:numPr>
              <w:autoSpaceDE w:val="0"/>
              <w:autoSpaceDN w:val="0"/>
              <w:adjustRightInd w:val="0"/>
              <w:snapToGrid w:val="0"/>
              <w:ind w:firstLineChars="0"/>
              <w:rPr>
                <w:b/>
              </w:rPr>
            </w:pPr>
            <w:r>
              <w:rPr>
                <w:rFonts w:hint="eastAsia"/>
                <w:b/>
                <w:sz w:val="28"/>
                <w:szCs w:val="28"/>
              </w:rPr>
              <w:t>项目由来</w:t>
            </w:r>
          </w:p>
          <w:p w14:paraId="26A02334">
            <w:pPr>
              <w:keepNext w:val="0"/>
              <w:keepLines w:val="0"/>
              <w:pageBreakBefore w:val="0"/>
              <w:widowControl/>
              <w:kinsoku/>
              <w:wordWrap/>
              <w:overflowPunct/>
              <w:topLinePunct w:val="0"/>
              <w:autoSpaceDE/>
              <w:autoSpaceDN/>
              <w:bidi w:val="0"/>
              <w:adjustRightInd/>
              <w:snapToGrid/>
              <w:ind w:firstLine="480"/>
              <w:textAlignment w:val="auto"/>
              <w:rPr>
                <w:rFonts w:hint="default" w:ascii="Times New Roman" w:hAnsi="Times New Roman" w:cs="Times New Roman"/>
                <w:u w:val="single"/>
                <w:lang w:eastAsia="zh-CN"/>
              </w:rPr>
            </w:pPr>
            <w:r>
              <w:rPr>
                <w:rFonts w:hint="default" w:ascii="Times New Roman" w:hAnsi="Times New Roman" w:cs="Times New Roman"/>
                <w:u w:val="single"/>
              </w:rPr>
              <w:t>工业固体废物是指在工业生产活动中产生的固体废物。当前工业固体废物已成为我国建材行业的一大材料来源，大力发展固废综合利用有利于减少原生资源消耗，提高资源利用率，增加有效供应量，创造良好的经济效益，实现资源可持续利用。同时工业固体废物综合利用有利于缓解固体废物污染、保护生态环境、减少土地占用、促进可持续发展</w:t>
            </w:r>
            <w:r>
              <w:rPr>
                <w:rFonts w:hint="default" w:ascii="Times New Roman" w:hAnsi="Times New Roman" w:cs="Times New Roman"/>
                <w:u w:val="single"/>
                <w:lang w:eastAsia="zh-CN"/>
              </w:rPr>
              <w:t>。</w:t>
            </w:r>
          </w:p>
          <w:p w14:paraId="414FA2FC">
            <w:pPr>
              <w:keepNext w:val="0"/>
              <w:keepLines w:val="0"/>
              <w:pageBreakBefore w:val="0"/>
              <w:widowControl/>
              <w:kinsoku/>
              <w:wordWrap/>
              <w:overflowPunct/>
              <w:topLinePunct w:val="0"/>
              <w:autoSpaceDE/>
              <w:autoSpaceDN/>
              <w:bidi w:val="0"/>
              <w:adjustRightInd/>
              <w:snapToGrid/>
              <w:ind w:firstLine="480"/>
              <w:textAlignment w:val="auto"/>
              <w:rPr>
                <w:rFonts w:hint="default" w:ascii="Times New Roman" w:hAnsi="Times New Roman" w:eastAsia="宋体" w:cs="Times New Roman"/>
                <w:u w:val="single"/>
                <w:lang w:val="en-US" w:eastAsia="zh-CN"/>
              </w:rPr>
            </w:pPr>
            <w:r>
              <w:rPr>
                <w:rFonts w:hint="default" w:ascii="Times New Roman" w:hAnsi="Times New Roman" w:cs="Times New Roman"/>
                <w:u w:val="single"/>
              </w:rPr>
              <w:t>华能湖南岳阳发电有限责任公司</w:t>
            </w:r>
            <w:r>
              <w:rPr>
                <w:rFonts w:ascii="Times New Roman" w:hAnsi="Times New Roman" w:eastAsia="Segoe UI" w:cs="Times New Roman"/>
                <w:i w:val="0"/>
                <w:iCs w:val="0"/>
                <w:caps w:val="0"/>
                <w:color w:val="0F1115"/>
                <w:spacing w:val="0"/>
                <w:sz w:val="24"/>
                <w:szCs w:val="24"/>
                <w:u w:val="single"/>
                <w:shd w:val="clear" w:fill="FFFFFF"/>
              </w:rPr>
              <w:t>现有粉煤灰产品主要为满足</w:t>
            </w:r>
            <w:r>
              <w:rPr>
                <w:rFonts w:hint="eastAsia"/>
                <w:u w:val="single"/>
                <w:lang w:val="en-US" w:eastAsia="zh-CN"/>
              </w:rPr>
              <w:t>《</w:t>
            </w:r>
            <w:r>
              <w:rPr>
                <w:rFonts w:hint="eastAsia"/>
                <w:u w:val="single"/>
              </w:rPr>
              <w:t>用于水泥和混凝土中的粉煤灰</w:t>
            </w:r>
            <w:r>
              <w:rPr>
                <w:rFonts w:hint="eastAsia"/>
                <w:u w:val="single"/>
                <w:lang w:eastAsia="zh-CN"/>
              </w:rPr>
              <w:t>》（</w:t>
            </w:r>
            <w:r>
              <w:rPr>
                <w:rFonts w:hint="eastAsia"/>
                <w:u w:val="single"/>
              </w:rPr>
              <w:t>GB/T 1596-2017</w:t>
            </w:r>
            <w:r>
              <w:rPr>
                <w:rFonts w:hint="eastAsia"/>
                <w:u w:val="single"/>
                <w:lang w:eastAsia="zh-CN"/>
              </w:rPr>
              <w:t>）</w:t>
            </w:r>
            <w:r>
              <w:rPr>
                <w:rFonts w:hint="eastAsia"/>
                <w:u w:val="single"/>
                <w:lang w:val="en-US" w:eastAsia="zh-CN"/>
              </w:rPr>
              <w:t>中</w:t>
            </w:r>
            <w:r>
              <w:rPr>
                <w:rFonts w:ascii="Times New Roman" w:hAnsi="Times New Roman" w:eastAsia="Segoe UI" w:cs="Times New Roman"/>
                <w:i w:val="0"/>
                <w:iCs w:val="0"/>
                <w:caps w:val="0"/>
                <w:color w:val="0F1115"/>
                <w:spacing w:val="0"/>
                <w:sz w:val="24"/>
                <w:szCs w:val="24"/>
                <w:u w:val="single"/>
                <w:shd w:val="clear" w:fill="FFFFFF"/>
              </w:rPr>
              <w:t>F类</w:t>
            </w:r>
            <w:r>
              <w:rPr>
                <w:rFonts w:hint="default" w:ascii="Times New Roman" w:hAnsi="Times New Roman" w:eastAsia="宋体" w:cs="Times New Roman"/>
                <w:i w:val="0"/>
                <w:iCs w:val="0"/>
                <w:caps w:val="0"/>
                <w:color w:val="0F1115"/>
                <w:spacing w:val="0"/>
                <w:sz w:val="24"/>
                <w:szCs w:val="24"/>
                <w:u w:val="single"/>
                <w:shd w:val="clear" w:fill="FFFFFF"/>
                <w:lang w:val="en-US" w:eastAsia="zh-CN"/>
              </w:rPr>
              <w:t>Ⅲ</w:t>
            </w:r>
            <w:r>
              <w:rPr>
                <w:rFonts w:ascii="Times New Roman" w:hAnsi="Times New Roman" w:eastAsia="Segoe UI" w:cs="Times New Roman"/>
                <w:i w:val="0"/>
                <w:iCs w:val="0"/>
                <w:caps w:val="0"/>
                <w:color w:val="0F1115"/>
                <w:spacing w:val="0"/>
                <w:sz w:val="24"/>
                <w:szCs w:val="24"/>
                <w:u w:val="single"/>
                <w:shd w:val="clear" w:fill="FFFFFF"/>
              </w:rPr>
              <w:t>级标准的原状灰，品质等级偏低，难以满足高端建材市场和重点工程对高等级粉煤灰的需求</w:t>
            </w:r>
            <w:r>
              <w:rPr>
                <w:rFonts w:hint="default" w:ascii="Times New Roman" w:hAnsi="Times New Roman" w:eastAsia="宋体" w:cs="Times New Roman"/>
                <w:i w:val="0"/>
                <w:iCs w:val="0"/>
                <w:caps w:val="0"/>
                <w:color w:val="0F1115"/>
                <w:spacing w:val="0"/>
                <w:sz w:val="24"/>
                <w:szCs w:val="24"/>
                <w:u w:val="single"/>
                <w:shd w:val="clear" w:fill="FFFFFF"/>
                <w:lang w:eastAsia="zh-CN"/>
              </w:rPr>
              <w:t>，</w:t>
            </w:r>
            <w:r>
              <w:rPr>
                <w:rFonts w:ascii="Times New Roman" w:hAnsi="Times New Roman" w:eastAsia="Segoe UI" w:cs="Times New Roman"/>
                <w:i w:val="0"/>
                <w:iCs w:val="0"/>
                <w:caps w:val="0"/>
                <w:color w:val="0F1115"/>
                <w:spacing w:val="0"/>
                <w:sz w:val="24"/>
                <w:szCs w:val="24"/>
                <w:u w:val="single"/>
                <w:shd w:val="clear" w:fill="FFFFFF"/>
              </w:rPr>
              <w:t>在工业固废资源化利用政策日益趋严的背景下，单纯以Ⅲ级灰形式消纳粉煤灰已难以适应行业发展和政策要求。</w:t>
            </w:r>
            <w:r>
              <w:rPr>
                <w:rFonts w:hint="default" w:ascii="Times New Roman" w:hAnsi="Times New Roman" w:cs="Times New Roman"/>
                <w:u w:val="single"/>
                <w:lang w:val="en-US" w:eastAsia="zh-CN"/>
              </w:rPr>
              <w:t>因此</w:t>
            </w:r>
            <w:r>
              <w:rPr>
                <w:rFonts w:hint="default" w:ascii="Times New Roman" w:hAnsi="Times New Roman" w:cs="Times New Roman"/>
                <w:u w:val="single"/>
              </w:rPr>
              <w:t>华能湖南岳阳发电有限责任公司</w:t>
            </w:r>
            <w:r>
              <w:rPr>
                <w:rFonts w:hint="default" w:ascii="Times New Roman" w:hAnsi="Times New Roman" w:cs="Times New Roman"/>
                <w:u w:val="single"/>
                <w:lang w:val="en-US" w:eastAsia="zh-CN"/>
              </w:rPr>
              <w:t>拟在厂区内建设90万吨</w:t>
            </w:r>
            <w:r>
              <w:rPr>
                <w:rFonts w:hint="eastAsia" w:cs="Times New Roman"/>
                <w:u w:val="single"/>
                <w:lang w:val="en-US" w:eastAsia="zh-CN"/>
              </w:rPr>
              <w:t>/年</w:t>
            </w:r>
            <w:r>
              <w:rPr>
                <w:rFonts w:hint="default" w:ascii="Times New Roman" w:hAnsi="Times New Roman" w:cs="Times New Roman"/>
                <w:u w:val="single"/>
                <w:lang w:val="en-US" w:eastAsia="zh-CN"/>
              </w:rPr>
              <w:t>粉煤灰</w:t>
            </w:r>
            <w:r>
              <w:rPr>
                <w:rFonts w:hint="eastAsia" w:cs="Times New Roman"/>
                <w:u w:val="single"/>
                <w:lang w:val="en-US" w:eastAsia="zh-CN"/>
              </w:rPr>
              <w:t>分级综合利用</w:t>
            </w:r>
            <w:r>
              <w:rPr>
                <w:rFonts w:hint="default" w:ascii="Times New Roman" w:hAnsi="Times New Roman" w:cs="Times New Roman"/>
                <w:u w:val="single"/>
                <w:lang w:val="en-US" w:eastAsia="zh-CN"/>
              </w:rPr>
              <w:t>生产线，通过增加分级机等设备</w:t>
            </w:r>
            <w:r>
              <w:rPr>
                <w:rFonts w:hint="eastAsia" w:ascii="Times New Roman" w:hAnsi="Times New Roman" w:cs="Times New Roman"/>
                <w:u w:val="single"/>
                <w:lang w:val="en-US" w:eastAsia="zh-CN"/>
              </w:rPr>
              <w:t>，</w:t>
            </w:r>
            <w:r>
              <w:rPr>
                <w:rFonts w:ascii="Times New Roman" w:hAnsi="Times New Roman" w:eastAsia="Segoe UI" w:cs="Times New Roman"/>
                <w:i w:val="0"/>
                <w:iCs w:val="0"/>
                <w:caps w:val="0"/>
                <w:color w:val="0F1115"/>
                <w:spacing w:val="0"/>
                <w:sz w:val="24"/>
                <w:szCs w:val="24"/>
                <w:u w:val="single"/>
                <w:shd w:val="clear" w:fill="FFFFFF"/>
              </w:rPr>
              <w:t>在现有满足F类三级标准粉煤灰的基础上，分选出</w:t>
            </w:r>
            <w:r>
              <w:rPr>
                <w:rFonts w:hint="default" w:ascii="Times New Roman" w:hAnsi="Times New Roman" w:eastAsia="宋体" w:cs="Times New Roman"/>
                <w:i w:val="0"/>
                <w:iCs w:val="0"/>
                <w:caps w:val="0"/>
                <w:color w:val="0F1115"/>
                <w:spacing w:val="0"/>
                <w:sz w:val="24"/>
                <w:szCs w:val="24"/>
                <w:u w:val="single"/>
                <w:shd w:val="clear" w:fill="FFFFFF"/>
                <w:lang w:val="en-US" w:eastAsia="zh-CN"/>
              </w:rPr>
              <w:t>Ⅰ</w:t>
            </w:r>
            <w:r>
              <w:rPr>
                <w:rFonts w:ascii="Times New Roman" w:hAnsi="Times New Roman" w:eastAsia="Segoe UI" w:cs="Times New Roman"/>
                <w:i w:val="0"/>
                <w:iCs w:val="0"/>
                <w:caps w:val="0"/>
                <w:color w:val="0F1115"/>
                <w:spacing w:val="0"/>
                <w:sz w:val="24"/>
                <w:szCs w:val="24"/>
                <w:u w:val="single"/>
                <w:shd w:val="clear" w:fill="FFFFFF"/>
              </w:rPr>
              <w:t>级、</w:t>
            </w:r>
            <w:r>
              <w:rPr>
                <w:rFonts w:hint="default" w:ascii="Times New Roman" w:hAnsi="Times New Roman" w:eastAsia="宋体" w:cs="Times New Roman"/>
                <w:i w:val="0"/>
                <w:iCs w:val="0"/>
                <w:caps w:val="0"/>
                <w:color w:val="0F1115"/>
                <w:spacing w:val="0"/>
                <w:sz w:val="24"/>
                <w:szCs w:val="24"/>
                <w:u w:val="single"/>
                <w:shd w:val="clear" w:fill="FFFFFF"/>
                <w:lang w:val="en-US" w:eastAsia="zh-CN"/>
              </w:rPr>
              <w:t>Ⅱ</w:t>
            </w:r>
            <w:r>
              <w:rPr>
                <w:rFonts w:ascii="Times New Roman" w:hAnsi="Times New Roman" w:eastAsia="Segoe UI" w:cs="Times New Roman"/>
                <w:i w:val="0"/>
                <w:iCs w:val="0"/>
                <w:caps w:val="0"/>
                <w:color w:val="0F1115"/>
                <w:spacing w:val="0"/>
                <w:sz w:val="24"/>
                <w:szCs w:val="24"/>
                <w:u w:val="single"/>
                <w:shd w:val="clear" w:fill="FFFFFF"/>
              </w:rPr>
              <w:t>级粉煤灰</w:t>
            </w:r>
            <w:r>
              <w:rPr>
                <w:rFonts w:hint="default" w:ascii="Times New Roman" w:hAnsi="Times New Roman" w:cs="Times New Roman"/>
                <w:u w:val="single"/>
                <w:lang w:val="en-US" w:eastAsia="zh-CN"/>
              </w:rPr>
              <w:t>，</w:t>
            </w:r>
            <w:r>
              <w:rPr>
                <w:rFonts w:hint="eastAsia" w:ascii="Times New Roman" w:hAnsi="Times New Roman" w:cs="Times New Roman"/>
                <w:u w:val="single"/>
                <w:lang w:val="en-US" w:eastAsia="zh-CN"/>
              </w:rPr>
              <w:t>其中</w:t>
            </w:r>
            <w:r>
              <w:rPr>
                <w:rFonts w:hint="default" w:ascii="Times New Roman" w:hAnsi="Times New Roman" w:cs="Times New Roman"/>
                <w:u w:val="single"/>
                <w:lang w:val="en-US" w:eastAsia="zh-CN"/>
              </w:rPr>
              <w:t>Ⅰ级粉煤灰</w:t>
            </w:r>
            <w:r>
              <w:rPr>
                <w:rFonts w:hint="default" w:ascii="Times New Roman" w:hAnsi="Times New Roman" w:eastAsia="Segoe UI" w:cs="Times New Roman"/>
                <w:i w:val="0"/>
                <w:iCs w:val="0"/>
                <w:caps w:val="0"/>
                <w:color w:val="0F1115"/>
                <w:spacing w:val="0"/>
                <w:sz w:val="24"/>
                <w:szCs w:val="24"/>
                <w:u w:val="single"/>
                <w:shd w:val="clear" w:fill="FFFFFF"/>
              </w:rPr>
              <w:t>活性</w:t>
            </w:r>
            <w:r>
              <w:rPr>
                <w:rFonts w:ascii="Times New Roman" w:hAnsi="Times New Roman" w:eastAsia="Segoe UI" w:cs="Times New Roman"/>
                <w:i w:val="0"/>
                <w:iCs w:val="0"/>
                <w:caps w:val="0"/>
                <w:color w:val="0F1115"/>
                <w:spacing w:val="0"/>
                <w:sz w:val="24"/>
                <w:szCs w:val="24"/>
                <w:u w:val="single"/>
                <w:shd w:val="clear" w:fill="FFFFFF"/>
              </w:rPr>
              <w:t>高、性能稳定，</w:t>
            </w:r>
            <w:r>
              <w:rPr>
                <w:rFonts w:hint="default" w:ascii="Times New Roman" w:hAnsi="Times New Roman" w:eastAsia="宋体" w:cs="Times New Roman"/>
                <w:i w:val="0"/>
                <w:iCs w:val="0"/>
                <w:caps w:val="0"/>
                <w:color w:val="0F1115"/>
                <w:spacing w:val="0"/>
                <w:sz w:val="24"/>
                <w:szCs w:val="24"/>
                <w:u w:val="single"/>
                <w:shd w:val="clear" w:fill="FFFFFF"/>
                <w:lang w:val="en-US" w:eastAsia="zh-CN"/>
              </w:rPr>
              <w:t>可用于</w:t>
            </w:r>
            <w:r>
              <w:rPr>
                <w:rFonts w:ascii="Times New Roman" w:hAnsi="Times New Roman" w:eastAsia="Segoe UI" w:cs="Times New Roman"/>
                <w:i w:val="0"/>
                <w:iCs w:val="0"/>
                <w:caps w:val="0"/>
                <w:color w:val="0F1115"/>
                <w:spacing w:val="0"/>
                <w:sz w:val="24"/>
                <w:szCs w:val="24"/>
                <w:u w:val="single"/>
                <w:shd w:val="clear" w:fill="FFFFFF"/>
              </w:rPr>
              <w:t>配制高性能混凝土，专供高铁、水利、高标号桥梁、重点市政工程等对质量要求苛刻的高端工程</w:t>
            </w:r>
            <w:r>
              <w:rPr>
                <w:rFonts w:hint="default" w:ascii="Times New Roman" w:hAnsi="Times New Roman" w:eastAsia="宋体" w:cs="Times New Roman"/>
                <w:i w:val="0"/>
                <w:iCs w:val="0"/>
                <w:caps w:val="0"/>
                <w:color w:val="0F1115"/>
                <w:spacing w:val="0"/>
                <w:sz w:val="24"/>
                <w:szCs w:val="24"/>
                <w:u w:val="single"/>
                <w:shd w:val="clear" w:fill="FFFFFF"/>
                <w:lang w:eastAsia="zh-CN"/>
              </w:rPr>
              <w:t>，</w:t>
            </w:r>
            <w:r>
              <w:rPr>
                <w:rFonts w:hint="default" w:ascii="Times New Roman" w:hAnsi="Times New Roman" w:eastAsia="宋体" w:cs="Times New Roman"/>
                <w:i w:val="0"/>
                <w:iCs w:val="0"/>
                <w:caps w:val="0"/>
                <w:color w:val="0F1115"/>
                <w:spacing w:val="0"/>
                <w:sz w:val="24"/>
                <w:szCs w:val="24"/>
                <w:u w:val="single"/>
                <w:shd w:val="clear" w:fill="FFFFFF"/>
                <w:lang w:val="en-US" w:eastAsia="zh-CN"/>
              </w:rPr>
              <w:t>Ⅱ级粉煤灰</w:t>
            </w:r>
            <w:r>
              <w:rPr>
                <w:rFonts w:ascii="Times New Roman" w:hAnsi="Times New Roman" w:eastAsia="Segoe UI" w:cs="Times New Roman"/>
                <w:i w:val="0"/>
                <w:iCs w:val="0"/>
                <w:caps w:val="0"/>
                <w:color w:val="0F1115"/>
                <w:spacing w:val="0"/>
                <w:sz w:val="24"/>
                <w:szCs w:val="24"/>
                <w:u w:val="single"/>
                <w:shd w:val="clear" w:fill="FFFFFF"/>
              </w:rPr>
              <w:t>兼具经济性与实用性，广泛应用于普通商品混凝土、民用建筑、市政道路等常规基建领域</w:t>
            </w:r>
            <w:r>
              <w:rPr>
                <w:rFonts w:hint="default" w:ascii="Times New Roman" w:hAnsi="Times New Roman" w:eastAsia="宋体" w:cs="Times New Roman"/>
                <w:i w:val="0"/>
                <w:iCs w:val="0"/>
                <w:caps w:val="0"/>
                <w:color w:val="0F1115"/>
                <w:spacing w:val="0"/>
                <w:sz w:val="24"/>
                <w:szCs w:val="24"/>
                <w:u w:val="single"/>
                <w:shd w:val="clear" w:fill="FFFFFF"/>
                <w:lang w:eastAsia="zh-CN"/>
              </w:rPr>
              <w:t>，</w:t>
            </w:r>
            <w:r>
              <w:rPr>
                <w:rFonts w:hint="eastAsia" w:ascii="Times New Roman" w:hAnsi="Times New Roman" w:eastAsia="宋体" w:cs="Times New Roman"/>
                <w:i w:val="0"/>
                <w:iCs w:val="0"/>
                <w:caps w:val="0"/>
                <w:color w:val="0F1115"/>
                <w:spacing w:val="0"/>
                <w:sz w:val="24"/>
                <w:szCs w:val="24"/>
                <w:u w:val="single"/>
                <w:shd w:val="clear" w:fill="FFFFFF"/>
                <w:lang w:val="en-US" w:eastAsia="zh-CN"/>
              </w:rPr>
              <w:t>建设粉煤灰分选系统可</w:t>
            </w:r>
            <w:r>
              <w:rPr>
                <w:rFonts w:hint="default" w:ascii="Times New Roman" w:hAnsi="Times New Roman" w:cs="Times New Roman"/>
                <w:u w:val="single"/>
                <w:lang w:val="en-US" w:eastAsia="zh-CN"/>
              </w:rPr>
              <w:t>提高粉煤灰综合开发利用水平和综合利用率。</w:t>
            </w:r>
            <w:r>
              <w:rPr>
                <w:rFonts w:hint="eastAsia" w:cs="Times New Roman"/>
                <w:u w:val="single"/>
                <w:lang w:val="en-US" w:eastAsia="zh-CN"/>
              </w:rPr>
              <w:t>根据《</w:t>
            </w:r>
            <w:r>
              <w:rPr>
                <w:rFonts w:hint="eastAsia"/>
                <w:u w:val="single"/>
              </w:rPr>
              <w:t>中华人民共和国固体废物污染环境防治法</w:t>
            </w:r>
            <w:r>
              <w:rPr>
                <w:rFonts w:hint="eastAsia" w:cs="Times New Roman"/>
                <w:u w:val="single"/>
                <w:lang w:val="en-US" w:eastAsia="zh-CN"/>
              </w:rPr>
              <w:t>》“</w:t>
            </w:r>
            <w:r>
              <w:rPr>
                <w:rFonts w:hint="eastAsia"/>
                <w:u w:val="single"/>
              </w:rPr>
              <w:t>利用，是指从固体废物中提取物质作为原材料或者燃料的活动。</w:t>
            </w:r>
            <w:r>
              <w:rPr>
                <w:rFonts w:hint="eastAsia"/>
                <w:u w:val="single"/>
                <w:lang w:eastAsia="zh-CN"/>
              </w:rPr>
              <w:t>”</w:t>
            </w:r>
            <w:r>
              <w:rPr>
                <w:rFonts w:hint="eastAsia"/>
                <w:u w:val="single"/>
                <w:lang w:val="en-US" w:eastAsia="zh-CN"/>
              </w:rPr>
              <w:t>本项目是对华能电厂现有粉煤灰进一步分级加工，分离提取得到满足国家标准《</w:t>
            </w:r>
            <w:r>
              <w:rPr>
                <w:rFonts w:hint="eastAsia"/>
                <w:u w:val="single"/>
              </w:rPr>
              <w:t>用于水泥和混凝土中的粉煤灰</w:t>
            </w:r>
            <w:r>
              <w:rPr>
                <w:rFonts w:hint="eastAsia"/>
                <w:u w:val="single"/>
                <w:lang w:eastAsia="zh-CN"/>
              </w:rPr>
              <w:t>》（</w:t>
            </w:r>
            <w:r>
              <w:rPr>
                <w:rFonts w:hint="eastAsia"/>
                <w:u w:val="single"/>
              </w:rPr>
              <w:t>GB/T 1596-2017</w:t>
            </w:r>
            <w:r>
              <w:rPr>
                <w:rFonts w:hint="eastAsia"/>
                <w:u w:val="single"/>
                <w:lang w:eastAsia="zh-CN"/>
              </w:rPr>
              <w:t>）</w:t>
            </w:r>
            <w:r>
              <w:rPr>
                <w:rFonts w:hint="eastAsia"/>
                <w:u w:val="single"/>
                <w:lang w:val="en-US" w:eastAsia="zh-CN"/>
              </w:rPr>
              <w:t>要求的F类I、II和III级三个等级要求的粉煤灰，按不同品质要求作为水泥和混凝土生产的原料。本项目粉煤灰的分级满足</w:t>
            </w:r>
            <w:r>
              <w:rPr>
                <w:rFonts w:hint="eastAsia" w:cs="Times New Roman"/>
                <w:u w:val="single"/>
                <w:lang w:val="en-US" w:eastAsia="zh-CN"/>
              </w:rPr>
              <w:t>《</w:t>
            </w:r>
            <w:r>
              <w:rPr>
                <w:rFonts w:hint="eastAsia"/>
                <w:u w:val="single"/>
              </w:rPr>
              <w:t>中华人民共和国固体废物污染环境防治法</w:t>
            </w:r>
            <w:r>
              <w:rPr>
                <w:rFonts w:hint="eastAsia" w:cs="Times New Roman"/>
                <w:u w:val="single"/>
                <w:lang w:val="en-US" w:eastAsia="zh-CN"/>
              </w:rPr>
              <w:t>》中</w:t>
            </w:r>
            <w:r>
              <w:rPr>
                <w:rFonts w:hint="eastAsia"/>
                <w:u w:val="single"/>
              </w:rPr>
              <w:t>利用</w:t>
            </w:r>
            <w:r>
              <w:rPr>
                <w:rFonts w:hint="eastAsia"/>
                <w:u w:val="single"/>
                <w:lang w:val="en-US" w:eastAsia="zh-CN"/>
              </w:rPr>
              <w:t>的定义，属于一般工业固体废物的综合利用。</w:t>
            </w:r>
          </w:p>
          <w:p w14:paraId="73517F1D">
            <w:pPr>
              <w:ind w:firstLine="480"/>
            </w:pPr>
            <w:r>
              <w:t>根据《建设项目环境影响评价分类管理名录》（2021年版），本项目属于其中的</w:t>
            </w:r>
            <w:r>
              <w:rPr>
                <w:rFonts w:hint="eastAsia"/>
              </w:rPr>
              <w:t>“四十七、生态保护和环境治理业中—103 一般工业固体废弃物（含污水处理污泥）建筑施工废弃物处置及综合利用—其他”</w:t>
            </w:r>
            <w:r>
              <w:t>，应编制环境影响报告表</w:t>
            </w:r>
            <w:r>
              <w:rPr>
                <w:rFonts w:hint="eastAsia"/>
              </w:rPr>
              <w:t>。因</w:t>
            </w:r>
            <w:r>
              <w:t>此，</w:t>
            </w:r>
            <w:r>
              <w:rPr>
                <w:rFonts w:hint="eastAsia"/>
              </w:rPr>
              <w:t>华能湖南岳阳发电有限责任公司</w:t>
            </w:r>
            <w:r>
              <w:t>委托</w:t>
            </w:r>
            <w:r>
              <w:rPr>
                <w:rFonts w:hint="eastAsia"/>
              </w:rPr>
              <w:t>岳阳中泽润</w:t>
            </w:r>
            <w:r>
              <w:t>科技有限公司承担该项目的环境影响评价工作（</w:t>
            </w:r>
            <w:r>
              <w:rPr>
                <w:rFonts w:hint="eastAsia"/>
              </w:rPr>
              <w:t>详</w:t>
            </w:r>
            <w:r>
              <w:t>见附件1）。在接受委托后，评价单位立即组织有关技术人员对建设项目场地进行了现场勘察，收集了相关基础资料，根据项目地周围环境特征，结合本项目的排污特性，编制了该项目的环境影响报告表。</w:t>
            </w:r>
          </w:p>
          <w:p w14:paraId="188683FB">
            <w:pPr>
              <w:numPr>
                <w:ilvl w:val="0"/>
                <w:numId w:val="17"/>
              </w:numPr>
              <w:autoSpaceDE w:val="0"/>
              <w:autoSpaceDN w:val="0"/>
              <w:adjustRightInd w:val="0"/>
              <w:snapToGrid w:val="0"/>
              <w:ind w:firstLineChars="0"/>
              <w:rPr>
                <w:b/>
              </w:rPr>
            </w:pPr>
            <w:r>
              <w:rPr>
                <w:rFonts w:hint="eastAsia"/>
                <w:b/>
                <w:sz w:val="28"/>
                <w:szCs w:val="28"/>
              </w:rPr>
              <w:t>项目建设内容</w:t>
            </w:r>
          </w:p>
          <w:p w14:paraId="7B82052E">
            <w:pPr>
              <w:adjustRightInd w:val="0"/>
              <w:snapToGrid w:val="0"/>
              <w:ind w:firstLine="480"/>
            </w:pPr>
            <w:r>
              <w:rPr>
                <w:rFonts w:hint="eastAsia"/>
              </w:rPr>
              <w:t>本项目总占地面积</w:t>
            </w:r>
            <w:r>
              <w:rPr>
                <w:rFonts w:hint="eastAsia"/>
                <w:lang w:val="en-US" w:eastAsia="zh-CN"/>
              </w:rPr>
              <w:t>6600</w:t>
            </w:r>
            <w:r>
              <w:rPr>
                <w:rFonts w:hint="eastAsia"/>
              </w:rPr>
              <w:t>m</w:t>
            </w:r>
            <w:r>
              <w:rPr>
                <w:rFonts w:hint="eastAsia"/>
                <w:vertAlign w:val="superscript"/>
              </w:rPr>
              <w:t>2</w:t>
            </w:r>
            <w:r>
              <w:rPr>
                <w:rFonts w:hint="eastAsia"/>
              </w:rPr>
              <w:t>，主要建设内容见下表。</w:t>
            </w:r>
          </w:p>
          <w:p w14:paraId="460D9D1D">
            <w:pPr>
              <w:widowControl w:val="0"/>
              <w:numPr>
                <w:ilvl w:val="0"/>
                <w:numId w:val="18"/>
              </w:numPr>
              <w:spacing w:line="240" w:lineRule="auto"/>
              <w:ind w:firstLineChars="0"/>
              <w:jc w:val="center"/>
              <w:rPr>
                <w:b/>
                <w:kern w:val="2"/>
              </w:rPr>
            </w:pPr>
            <w:r>
              <w:rPr>
                <w:rFonts w:hint="eastAsia"/>
                <w:b/>
                <w:bCs/>
              </w:rPr>
              <w:t>项目主要建设内容及规模</w:t>
            </w:r>
          </w:p>
          <w:tbl>
            <w:tblPr>
              <w:tblStyle w:val="31"/>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7" w:type="dxa"/>
                <w:bottom w:w="0" w:type="dxa"/>
                <w:right w:w="57" w:type="dxa"/>
              </w:tblCellMar>
            </w:tblPr>
            <w:tblGrid>
              <w:gridCol w:w="655"/>
              <w:gridCol w:w="1273"/>
              <w:gridCol w:w="5392"/>
              <w:gridCol w:w="978"/>
            </w:tblGrid>
            <w:tr w14:paraId="3C78B4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95" w:type="pct"/>
                  <w:tcBorders>
                    <w:tl2br w:val="nil"/>
                    <w:tr2bl w:val="nil"/>
                  </w:tcBorders>
                  <w:vAlign w:val="center"/>
                </w:tcPr>
                <w:p w14:paraId="13512E7D">
                  <w:pPr>
                    <w:pStyle w:val="48"/>
                    <w:rPr>
                      <w:b/>
                      <w:bCs/>
                      <w:kern w:val="2"/>
                      <w:u w:val="none"/>
                    </w:rPr>
                  </w:pPr>
                  <w:r>
                    <w:rPr>
                      <w:rFonts w:hint="eastAsia"/>
                      <w:b/>
                      <w:bCs/>
                      <w:kern w:val="2"/>
                      <w:u w:val="none"/>
                    </w:rPr>
                    <w:t>工程类型</w:t>
                  </w:r>
                </w:p>
              </w:tc>
              <w:tc>
                <w:tcPr>
                  <w:tcW w:w="767" w:type="pct"/>
                  <w:tcBorders>
                    <w:tl2br w:val="nil"/>
                    <w:tr2bl w:val="nil"/>
                  </w:tcBorders>
                  <w:vAlign w:val="center"/>
                </w:tcPr>
                <w:p w14:paraId="2C7139CB">
                  <w:pPr>
                    <w:pStyle w:val="48"/>
                    <w:rPr>
                      <w:b/>
                      <w:bCs/>
                      <w:kern w:val="2"/>
                      <w:u w:val="none"/>
                    </w:rPr>
                  </w:pPr>
                  <w:r>
                    <w:rPr>
                      <w:rFonts w:hint="eastAsia"/>
                      <w:b/>
                      <w:bCs/>
                      <w:kern w:val="2"/>
                      <w:u w:val="none"/>
                    </w:rPr>
                    <w:t>项目</w:t>
                  </w:r>
                </w:p>
              </w:tc>
              <w:tc>
                <w:tcPr>
                  <w:tcW w:w="3248" w:type="pct"/>
                  <w:tcBorders>
                    <w:tl2br w:val="nil"/>
                    <w:tr2bl w:val="nil"/>
                  </w:tcBorders>
                  <w:vAlign w:val="center"/>
                </w:tcPr>
                <w:p w14:paraId="0EC2E60F">
                  <w:pPr>
                    <w:pStyle w:val="48"/>
                    <w:rPr>
                      <w:b/>
                      <w:bCs/>
                      <w:kern w:val="2"/>
                      <w:u w:val="none"/>
                    </w:rPr>
                  </w:pPr>
                  <w:r>
                    <w:rPr>
                      <w:rFonts w:hint="eastAsia"/>
                      <w:b/>
                      <w:bCs/>
                      <w:kern w:val="2"/>
                      <w:u w:val="none"/>
                    </w:rPr>
                    <w:t>建设内容</w:t>
                  </w:r>
                </w:p>
              </w:tc>
              <w:tc>
                <w:tcPr>
                  <w:tcW w:w="589" w:type="pct"/>
                  <w:tcBorders>
                    <w:tl2br w:val="nil"/>
                    <w:tr2bl w:val="nil"/>
                  </w:tcBorders>
                  <w:vAlign w:val="center"/>
                </w:tcPr>
                <w:p w14:paraId="66008199">
                  <w:pPr>
                    <w:pStyle w:val="48"/>
                    <w:rPr>
                      <w:b/>
                      <w:bCs/>
                      <w:kern w:val="2"/>
                      <w:u w:val="none"/>
                    </w:rPr>
                  </w:pPr>
                  <w:r>
                    <w:rPr>
                      <w:rFonts w:hint="eastAsia"/>
                      <w:b/>
                      <w:bCs/>
                      <w:kern w:val="2"/>
                      <w:u w:val="none"/>
                    </w:rPr>
                    <w:t>备注</w:t>
                  </w:r>
                </w:p>
              </w:tc>
            </w:tr>
            <w:tr w14:paraId="23C25A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395" w:type="pct"/>
                  <w:tcBorders>
                    <w:tl2br w:val="nil"/>
                    <w:tr2bl w:val="nil"/>
                  </w:tcBorders>
                  <w:vAlign w:val="center"/>
                </w:tcPr>
                <w:p w14:paraId="7DB578F8">
                  <w:pPr>
                    <w:pStyle w:val="48"/>
                    <w:rPr>
                      <w:kern w:val="2"/>
                      <w:u w:val="single"/>
                    </w:rPr>
                  </w:pPr>
                  <w:r>
                    <w:rPr>
                      <w:rFonts w:hint="eastAsia"/>
                      <w:kern w:val="2"/>
                      <w:u w:val="single"/>
                    </w:rPr>
                    <w:t>主体工程</w:t>
                  </w:r>
                </w:p>
              </w:tc>
              <w:tc>
                <w:tcPr>
                  <w:tcW w:w="767" w:type="pct"/>
                  <w:tcBorders>
                    <w:tl2br w:val="nil"/>
                    <w:tr2bl w:val="nil"/>
                  </w:tcBorders>
                  <w:vAlign w:val="center"/>
                </w:tcPr>
                <w:p w14:paraId="35EEBA0E">
                  <w:pPr>
                    <w:pStyle w:val="48"/>
                    <w:rPr>
                      <w:rFonts w:hint="default" w:eastAsia="宋体"/>
                      <w:kern w:val="2"/>
                      <w:u w:val="single"/>
                      <w:lang w:val="en-US" w:eastAsia="zh-CN"/>
                    </w:rPr>
                  </w:pPr>
                  <w:r>
                    <w:rPr>
                      <w:rFonts w:hint="eastAsia"/>
                      <w:kern w:val="2"/>
                      <w:u w:val="single"/>
                      <w:lang w:val="en-US" w:eastAsia="zh-CN"/>
                    </w:rPr>
                    <w:t>粉煤灰超细灰分选系统</w:t>
                  </w:r>
                </w:p>
              </w:tc>
              <w:tc>
                <w:tcPr>
                  <w:tcW w:w="3248" w:type="pct"/>
                  <w:tcBorders>
                    <w:tl2br w:val="nil"/>
                    <w:tr2bl w:val="nil"/>
                  </w:tcBorders>
                  <w:vAlign w:val="center"/>
                </w:tcPr>
                <w:p w14:paraId="22647D96">
                  <w:pPr>
                    <w:pStyle w:val="97"/>
                    <w:ind w:firstLine="0" w:firstLineChars="0"/>
                    <w:jc w:val="center"/>
                    <w:rPr>
                      <w:rFonts w:hint="default" w:eastAsia="宋体"/>
                      <w:u w:val="single"/>
                      <w:lang w:val="en-US" w:eastAsia="zh-CN"/>
                    </w:rPr>
                  </w:pPr>
                  <w:r>
                    <w:rPr>
                      <w:rFonts w:hint="eastAsia"/>
                      <w:u w:val="single"/>
                      <w:lang w:val="en-US" w:eastAsia="zh-CN"/>
                    </w:rPr>
                    <w:t>一期、二期灰库各建设一套出力100t/h粉煤灰超细灰分选装置，三期灰库建设两套出力40t/h粉煤灰超细灰分选装置</w:t>
                  </w:r>
                </w:p>
              </w:tc>
              <w:tc>
                <w:tcPr>
                  <w:tcW w:w="589" w:type="pct"/>
                  <w:tcBorders>
                    <w:tl2br w:val="nil"/>
                    <w:tr2bl w:val="nil"/>
                  </w:tcBorders>
                  <w:vAlign w:val="center"/>
                </w:tcPr>
                <w:p w14:paraId="04329673">
                  <w:pPr>
                    <w:pStyle w:val="9"/>
                    <w:widowControl w:val="0"/>
                    <w:rPr>
                      <w:rFonts w:hint="eastAsia" w:eastAsia="宋体"/>
                      <w:u w:val="single"/>
                      <w:lang w:val="en-US" w:eastAsia="zh-CN"/>
                    </w:rPr>
                  </w:pPr>
                  <w:r>
                    <w:rPr>
                      <w:rFonts w:hint="eastAsia"/>
                      <w:u w:val="single"/>
                      <w:lang w:val="en-US" w:eastAsia="zh-CN"/>
                    </w:rPr>
                    <w:t>灰库和筒仓均依托现有，新建分选装置</w:t>
                  </w:r>
                </w:p>
              </w:tc>
            </w:tr>
            <w:tr w14:paraId="5BD2CA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395" w:type="pct"/>
                  <w:tcBorders>
                    <w:tl2br w:val="nil"/>
                    <w:tr2bl w:val="nil"/>
                  </w:tcBorders>
                  <w:vAlign w:val="center"/>
                </w:tcPr>
                <w:p w14:paraId="6EB03BEA">
                  <w:pPr>
                    <w:pStyle w:val="48"/>
                    <w:rPr>
                      <w:kern w:val="2"/>
                      <w:u w:val="none"/>
                    </w:rPr>
                  </w:pPr>
                  <w:r>
                    <w:rPr>
                      <w:rFonts w:hint="eastAsia"/>
                      <w:kern w:val="2"/>
                      <w:u w:val="none"/>
                    </w:rPr>
                    <w:t>储运工程</w:t>
                  </w:r>
                </w:p>
              </w:tc>
              <w:tc>
                <w:tcPr>
                  <w:tcW w:w="767" w:type="pct"/>
                  <w:tcBorders>
                    <w:tl2br w:val="nil"/>
                    <w:tr2bl w:val="nil"/>
                  </w:tcBorders>
                  <w:vAlign w:val="center"/>
                </w:tcPr>
                <w:p w14:paraId="20178AE0">
                  <w:pPr>
                    <w:pStyle w:val="48"/>
                    <w:rPr>
                      <w:rFonts w:hint="default"/>
                      <w:kern w:val="2"/>
                      <w:u w:val="none"/>
                      <w:lang w:val="en-US" w:eastAsia="zh-CN"/>
                    </w:rPr>
                  </w:pPr>
                  <w:r>
                    <w:rPr>
                      <w:rFonts w:hint="eastAsia"/>
                      <w:kern w:val="2"/>
                      <w:u w:val="none"/>
                      <w:lang w:val="en-US" w:eastAsia="zh-CN"/>
                    </w:rPr>
                    <w:t>粉煤灰筒仓</w:t>
                  </w:r>
                </w:p>
              </w:tc>
              <w:tc>
                <w:tcPr>
                  <w:tcW w:w="3248" w:type="pct"/>
                  <w:tcBorders>
                    <w:tl2br w:val="nil"/>
                    <w:tr2bl w:val="nil"/>
                  </w:tcBorders>
                  <w:vAlign w:val="center"/>
                </w:tcPr>
                <w:p w14:paraId="2692F852">
                  <w:pPr>
                    <w:pStyle w:val="48"/>
                    <w:keepNext w:val="0"/>
                    <w:keepLines w:val="0"/>
                    <w:pageBreakBefore w:val="0"/>
                    <w:kinsoku/>
                    <w:wordWrap/>
                    <w:overflowPunct/>
                    <w:topLinePunct w:val="0"/>
                    <w:autoSpaceDE/>
                    <w:autoSpaceDN/>
                    <w:bidi w:val="0"/>
                    <w:adjustRightInd w:val="0"/>
                    <w:ind w:left="0" w:leftChars="0" w:right="0" w:rightChars="0" w:firstLine="0" w:firstLineChars="0"/>
                    <w:jc w:val="center"/>
                    <w:rPr>
                      <w:rFonts w:hint="default" w:ascii="Times New Roman" w:hAnsi="Times New Roman" w:eastAsia="宋体" w:cs="Times New Roman"/>
                      <w:kern w:val="2"/>
                      <w:sz w:val="21"/>
                      <w:szCs w:val="21"/>
                      <w:highlight w:val="none"/>
                      <w:u w:val="none"/>
                      <w:lang w:val="en-US" w:eastAsia="zh-CN"/>
                    </w:rPr>
                  </w:pPr>
                  <w:r>
                    <w:rPr>
                      <w:rFonts w:hint="default" w:ascii="Times New Roman" w:hAnsi="Times New Roman" w:cs="Times New Roman"/>
                      <w:kern w:val="2"/>
                      <w:sz w:val="21"/>
                      <w:szCs w:val="21"/>
                      <w:highlight w:val="none"/>
                      <w:u w:val="none"/>
                      <w:lang w:val="en-US" w:eastAsia="zh-CN"/>
                    </w:rPr>
                    <w:t>一期</w:t>
                  </w:r>
                  <w:r>
                    <w:rPr>
                      <w:rStyle w:val="178"/>
                      <w:rFonts w:hint="default" w:ascii="Times New Roman" w:hAnsi="Times New Roman" w:cs="Times New Roman"/>
                      <w:sz w:val="21"/>
                      <w:szCs w:val="21"/>
                      <w:highlight w:val="none"/>
                      <w:u w:val="none"/>
                      <w:lang w:val="en-US" w:eastAsia="zh-CN" w:bidi="ar"/>
                    </w:rPr>
                    <w:t>设有5座筒仓，</w:t>
                  </w:r>
                  <w:r>
                    <w:rPr>
                      <w:rStyle w:val="178"/>
                      <w:rFonts w:hint="default" w:ascii="Times New Roman" w:hAnsi="Times New Roman" w:cs="Times New Roman"/>
                      <w:sz w:val="21"/>
                      <w:szCs w:val="21"/>
                      <w:highlight w:val="none"/>
                      <w:lang w:val="en-US" w:eastAsia="zh-CN" w:bidi="ar"/>
                    </w:rPr>
                    <w:t>共6100m</w:t>
                  </w:r>
                  <w:r>
                    <w:rPr>
                      <w:rStyle w:val="178"/>
                      <w:rFonts w:hint="default" w:ascii="Times New Roman" w:hAnsi="Times New Roman" w:cs="Times New Roman"/>
                      <w:sz w:val="21"/>
                      <w:szCs w:val="21"/>
                      <w:highlight w:val="none"/>
                      <w:vertAlign w:val="superscript"/>
                      <w:lang w:val="en-US" w:eastAsia="zh-CN" w:bidi="ar"/>
                    </w:rPr>
                    <w:t>3</w:t>
                  </w:r>
                  <w:r>
                    <w:rPr>
                      <w:rStyle w:val="178"/>
                      <w:rFonts w:hint="default" w:ascii="Times New Roman" w:hAnsi="Times New Roman" w:cs="Times New Roman"/>
                      <w:sz w:val="21"/>
                      <w:szCs w:val="21"/>
                      <w:highlight w:val="none"/>
                      <w:u w:val="none"/>
                      <w:lang w:val="en-US" w:eastAsia="zh-CN" w:bidi="ar"/>
                    </w:rPr>
                    <w:t>，二期设有</w:t>
                  </w:r>
                  <w:r>
                    <w:rPr>
                      <w:rStyle w:val="178"/>
                      <w:rFonts w:hint="eastAsia" w:cs="Times New Roman"/>
                      <w:sz w:val="21"/>
                      <w:szCs w:val="21"/>
                      <w:highlight w:val="none"/>
                      <w:u w:val="none"/>
                      <w:lang w:val="en-US" w:eastAsia="zh-CN" w:bidi="ar"/>
                    </w:rPr>
                    <w:t>4</w:t>
                  </w:r>
                  <w:r>
                    <w:rPr>
                      <w:rStyle w:val="178"/>
                      <w:rFonts w:hint="default" w:ascii="Times New Roman" w:hAnsi="Times New Roman" w:cs="Times New Roman"/>
                      <w:sz w:val="21"/>
                      <w:szCs w:val="21"/>
                      <w:highlight w:val="none"/>
                      <w:u w:val="none"/>
                      <w:lang w:val="en-US" w:eastAsia="zh-CN" w:bidi="ar"/>
                    </w:rPr>
                    <w:t>座筒仓共3</w:t>
                  </w:r>
                  <w:r>
                    <w:rPr>
                      <w:rStyle w:val="178"/>
                      <w:rFonts w:hint="eastAsia" w:cs="Times New Roman"/>
                      <w:sz w:val="21"/>
                      <w:szCs w:val="21"/>
                      <w:highlight w:val="none"/>
                      <w:u w:val="none"/>
                      <w:lang w:val="en-US" w:eastAsia="zh-CN" w:bidi="ar"/>
                    </w:rPr>
                    <w:t>3</w:t>
                  </w:r>
                  <w:r>
                    <w:rPr>
                      <w:rStyle w:val="178"/>
                      <w:rFonts w:hint="default" w:ascii="Times New Roman" w:hAnsi="Times New Roman" w:cs="Times New Roman"/>
                      <w:sz w:val="21"/>
                      <w:szCs w:val="21"/>
                      <w:highlight w:val="none"/>
                      <w:u w:val="none"/>
                      <w:lang w:val="en-US" w:eastAsia="zh-CN" w:bidi="ar"/>
                    </w:rPr>
                    <w:t>00m</w:t>
                  </w:r>
                  <w:r>
                    <w:rPr>
                      <w:rFonts w:hint="default" w:ascii="Times New Roman" w:hAnsi="Times New Roman" w:eastAsia="宋体" w:cs="Times New Roman"/>
                      <w:kern w:val="2"/>
                      <w:u w:val="none"/>
                      <w:vertAlign w:val="superscript"/>
                      <w:lang w:val="en-US" w:eastAsia="zh-CN"/>
                    </w:rPr>
                    <w:t>3</w:t>
                  </w:r>
                  <w:r>
                    <w:rPr>
                      <w:rStyle w:val="178"/>
                      <w:rFonts w:hint="default" w:ascii="Times New Roman" w:hAnsi="Times New Roman" w:cs="Times New Roman"/>
                      <w:sz w:val="21"/>
                      <w:szCs w:val="21"/>
                      <w:highlight w:val="none"/>
                      <w:u w:val="none"/>
                      <w:lang w:val="en-US" w:eastAsia="zh-CN" w:bidi="ar"/>
                    </w:rPr>
                    <w:t>，三期设有3座筒仓共6000m</w:t>
                  </w:r>
                  <w:r>
                    <w:rPr>
                      <w:rFonts w:hint="default" w:ascii="Times New Roman" w:hAnsi="Times New Roman" w:eastAsia="宋体" w:cs="Times New Roman"/>
                      <w:kern w:val="2"/>
                      <w:u w:val="none"/>
                      <w:vertAlign w:val="superscript"/>
                      <w:lang w:val="en-US" w:eastAsia="zh-CN"/>
                    </w:rPr>
                    <w:t>3</w:t>
                  </w:r>
                </w:p>
              </w:tc>
              <w:tc>
                <w:tcPr>
                  <w:tcW w:w="589" w:type="pct"/>
                  <w:tcBorders>
                    <w:tl2br w:val="nil"/>
                    <w:tr2bl w:val="nil"/>
                  </w:tcBorders>
                  <w:vAlign w:val="center"/>
                </w:tcPr>
                <w:p w14:paraId="54D98302">
                  <w:pPr>
                    <w:pStyle w:val="48"/>
                    <w:rPr>
                      <w:rFonts w:hint="default" w:ascii="Times New Roman" w:hAnsi="Times New Roman" w:eastAsia="宋体" w:cs="Times New Roman"/>
                      <w:kern w:val="2"/>
                      <w:sz w:val="21"/>
                      <w:szCs w:val="21"/>
                      <w:highlight w:val="none"/>
                      <w:u w:val="none"/>
                      <w:lang w:val="en-US" w:eastAsia="zh-CN"/>
                    </w:rPr>
                  </w:pPr>
                  <w:r>
                    <w:rPr>
                      <w:rFonts w:hint="default" w:ascii="Times New Roman" w:hAnsi="Times New Roman" w:cs="Times New Roman"/>
                      <w:kern w:val="2"/>
                      <w:sz w:val="21"/>
                      <w:szCs w:val="21"/>
                      <w:highlight w:val="none"/>
                      <w:u w:val="none"/>
                      <w:lang w:val="en-US" w:eastAsia="zh-CN"/>
                    </w:rPr>
                    <w:t>依托现有</w:t>
                  </w:r>
                </w:p>
              </w:tc>
            </w:tr>
            <w:tr w14:paraId="3CA61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95" w:type="pct"/>
                  <w:vMerge w:val="restart"/>
                  <w:tcBorders>
                    <w:tl2br w:val="nil"/>
                    <w:tr2bl w:val="nil"/>
                  </w:tcBorders>
                  <w:vAlign w:val="center"/>
                </w:tcPr>
                <w:p w14:paraId="5A757BEA">
                  <w:pPr>
                    <w:pStyle w:val="48"/>
                    <w:rPr>
                      <w:kern w:val="2"/>
                      <w:u w:val="none"/>
                    </w:rPr>
                  </w:pPr>
                  <w:r>
                    <w:rPr>
                      <w:rFonts w:hint="eastAsia"/>
                      <w:kern w:val="2"/>
                      <w:u w:val="none"/>
                    </w:rPr>
                    <w:t>公用工程</w:t>
                  </w:r>
                </w:p>
              </w:tc>
              <w:tc>
                <w:tcPr>
                  <w:tcW w:w="767" w:type="pct"/>
                  <w:tcBorders>
                    <w:tl2br w:val="nil"/>
                    <w:tr2bl w:val="nil"/>
                  </w:tcBorders>
                  <w:vAlign w:val="center"/>
                </w:tcPr>
                <w:p w14:paraId="681FB532">
                  <w:pPr>
                    <w:pStyle w:val="48"/>
                    <w:rPr>
                      <w:kern w:val="2"/>
                      <w:u w:val="none"/>
                    </w:rPr>
                  </w:pPr>
                  <w:r>
                    <w:rPr>
                      <w:rFonts w:hint="eastAsia"/>
                      <w:kern w:val="2"/>
                      <w:u w:val="none"/>
                    </w:rPr>
                    <w:t>给水</w:t>
                  </w:r>
                </w:p>
              </w:tc>
              <w:tc>
                <w:tcPr>
                  <w:tcW w:w="3248" w:type="pct"/>
                  <w:tcBorders>
                    <w:tl2br w:val="nil"/>
                    <w:tr2bl w:val="nil"/>
                  </w:tcBorders>
                  <w:vAlign w:val="center"/>
                </w:tcPr>
                <w:p w14:paraId="23771C4D">
                  <w:pPr>
                    <w:pStyle w:val="48"/>
                    <w:keepNext w:val="0"/>
                    <w:keepLines w:val="0"/>
                    <w:pageBreakBefore w:val="0"/>
                    <w:kinsoku/>
                    <w:wordWrap/>
                    <w:overflowPunct/>
                    <w:topLinePunct w:val="0"/>
                    <w:autoSpaceDE/>
                    <w:autoSpaceDN/>
                    <w:bidi w:val="0"/>
                    <w:adjustRightInd w:val="0"/>
                    <w:ind w:left="0" w:leftChars="0" w:right="0" w:rightChars="0" w:firstLine="0" w:firstLineChars="0"/>
                    <w:jc w:val="center"/>
                    <w:rPr>
                      <w:rFonts w:hint="default" w:eastAsia="宋体"/>
                      <w:kern w:val="2"/>
                      <w:u w:val="none"/>
                      <w:lang w:val="en-US" w:eastAsia="zh-CN"/>
                    </w:rPr>
                  </w:pPr>
                  <w:r>
                    <w:rPr>
                      <w:rFonts w:hint="eastAsia"/>
                      <w:kern w:val="2"/>
                      <w:u w:val="none"/>
                      <w:lang w:val="en-US" w:eastAsia="zh-CN"/>
                    </w:rPr>
                    <w:t>市政自来水管网</w:t>
                  </w:r>
                </w:p>
              </w:tc>
              <w:tc>
                <w:tcPr>
                  <w:tcW w:w="589" w:type="pct"/>
                  <w:tcBorders>
                    <w:tl2br w:val="nil"/>
                    <w:tr2bl w:val="nil"/>
                  </w:tcBorders>
                  <w:vAlign w:val="center"/>
                </w:tcPr>
                <w:p w14:paraId="2B858759">
                  <w:pPr>
                    <w:pStyle w:val="48"/>
                    <w:rPr>
                      <w:rFonts w:hint="eastAsia" w:eastAsia="宋体"/>
                      <w:kern w:val="2"/>
                      <w:u w:val="none"/>
                      <w:lang w:val="en-US" w:eastAsia="zh-CN"/>
                    </w:rPr>
                  </w:pPr>
                  <w:r>
                    <w:rPr>
                      <w:rFonts w:hint="eastAsia"/>
                      <w:kern w:val="2"/>
                      <w:u w:val="none"/>
                      <w:lang w:val="en-US" w:eastAsia="zh-CN"/>
                    </w:rPr>
                    <w:t>/</w:t>
                  </w:r>
                </w:p>
              </w:tc>
            </w:tr>
            <w:tr w14:paraId="139E4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95" w:type="pct"/>
                  <w:vMerge w:val="continue"/>
                  <w:tcBorders>
                    <w:tl2br w:val="nil"/>
                    <w:tr2bl w:val="nil"/>
                  </w:tcBorders>
                  <w:vAlign w:val="center"/>
                </w:tcPr>
                <w:p w14:paraId="4BFA498A">
                  <w:pPr>
                    <w:pStyle w:val="48"/>
                    <w:rPr>
                      <w:kern w:val="2"/>
                      <w:u w:val="none"/>
                    </w:rPr>
                  </w:pPr>
                </w:p>
              </w:tc>
              <w:tc>
                <w:tcPr>
                  <w:tcW w:w="767" w:type="pct"/>
                  <w:tcBorders>
                    <w:tl2br w:val="nil"/>
                    <w:tr2bl w:val="nil"/>
                  </w:tcBorders>
                  <w:vAlign w:val="center"/>
                </w:tcPr>
                <w:p w14:paraId="5BE423C0">
                  <w:pPr>
                    <w:pStyle w:val="48"/>
                    <w:rPr>
                      <w:kern w:val="2"/>
                      <w:u w:val="none"/>
                    </w:rPr>
                  </w:pPr>
                  <w:r>
                    <w:rPr>
                      <w:rFonts w:hint="eastAsia"/>
                      <w:kern w:val="2"/>
                      <w:u w:val="none"/>
                    </w:rPr>
                    <w:t>排水</w:t>
                  </w:r>
                </w:p>
              </w:tc>
              <w:tc>
                <w:tcPr>
                  <w:tcW w:w="3248" w:type="pct"/>
                  <w:tcBorders>
                    <w:tl2br w:val="nil"/>
                    <w:tr2bl w:val="nil"/>
                  </w:tcBorders>
                  <w:vAlign w:val="center"/>
                </w:tcPr>
                <w:p w14:paraId="11E55D44">
                  <w:pPr>
                    <w:pStyle w:val="48"/>
                    <w:keepNext w:val="0"/>
                    <w:keepLines w:val="0"/>
                    <w:pageBreakBefore w:val="0"/>
                    <w:kinsoku/>
                    <w:wordWrap/>
                    <w:overflowPunct/>
                    <w:topLinePunct w:val="0"/>
                    <w:autoSpaceDE/>
                    <w:autoSpaceDN/>
                    <w:bidi w:val="0"/>
                    <w:adjustRightInd w:val="0"/>
                    <w:ind w:left="0" w:leftChars="0" w:right="0" w:rightChars="0" w:firstLine="0" w:firstLineChars="0"/>
                    <w:jc w:val="both"/>
                    <w:rPr>
                      <w:rFonts w:hint="eastAsia" w:cs="Times New Roman"/>
                      <w:b w:val="0"/>
                      <w:i w:val="0"/>
                      <w:caps w:val="0"/>
                      <w:spacing w:val="0"/>
                      <w:w w:val="100"/>
                      <w:sz w:val="21"/>
                      <w:szCs w:val="21"/>
                      <w:lang w:val="en-US" w:eastAsia="zh-CN"/>
                    </w:rPr>
                  </w:pPr>
                  <w:r>
                    <w:rPr>
                      <w:rFonts w:hint="eastAsia" w:cs="Times New Roman"/>
                      <w:b w:val="0"/>
                      <w:i w:val="0"/>
                      <w:caps w:val="0"/>
                      <w:spacing w:val="0"/>
                      <w:w w:val="100"/>
                      <w:sz w:val="21"/>
                      <w:szCs w:val="21"/>
                      <w:lang w:val="en-US" w:eastAsia="zh-CN"/>
                    </w:rPr>
                    <w:t>厂区已进行雨污分流。</w:t>
                  </w:r>
                </w:p>
                <w:p w14:paraId="5A3C56D0">
                  <w:pPr>
                    <w:pStyle w:val="48"/>
                    <w:keepNext w:val="0"/>
                    <w:keepLines w:val="0"/>
                    <w:pageBreakBefore w:val="0"/>
                    <w:kinsoku/>
                    <w:wordWrap/>
                    <w:overflowPunct/>
                    <w:topLinePunct w:val="0"/>
                    <w:autoSpaceDE/>
                    <w:autoSpaceDN/>
                    <w:bidi w:val="0"/>
                    <w:adjustRightInd w:val="0"/>
                    <w:ind w:left="0" w:leftChars="0" w:right="0" w:rightChars="0" w:firstLine="0" w:firstLineChars="0"/>
                    <w:jc w:val="both"/>
                    <w:rPr>
                      <w:rFonts w:hint="default"/>
                      <w:kern w:val="2"/>
                      <w:u w:val="none"/>
                      <w:lang w:val="en-US"/>
                    </w:rPr>
                  </w:pPr>
                  <w:r>
                    <w:rPr>
                      <w:rFonts w:hint="eastAsia" w:ascii="Times New Roman" w:hAnsi="Times New Roman" w:eastAsia="宋体" w:cs="Times New Roman"/>
                      <w:b w:val="0"/>
                      <w:i w:val="0"/>
                      <w:caps w:val="0"/>
                      <w:spacing w:val="0"/>
                      <w:w w:val="100"/>
                      <w:sz w:val="21"/>
                      <w:szCs w:val="21"/>
                      <w:lang w:val="en-US" w:eastAsia="zh-CN"/>
                    </w:rPr>
                    <w:t>地面清洗废水、洗车废水</w:t>
                  </w:r>
                  <w:r>
                    <w:rPr>
                      <w:rFonts w:hint="eastAsia" w:cs="Times New Roman"/>
                      <w:b w:val="0"/>
                      <w:i w:val="0"/>
                      <w:caps w:val="0"/>
                      <w:spacing w:val="0"/>
                      <w:w w:val="100"/>
                      <w:sz w:val="21"/>
                      <w:szCs w:val="21"/>
                      <w:lang w:val="en-US" w:eastAsia="zh-CN"/>
                    </w:rPr>
                    <w:t>收集至沉淀池后回用，不外排；厂区二期雨水排入芭蕉湖，一期和三期雨水排入长江</w:t>
                  </w:r>
                </w:p>
              </w:tc>
              <w:tc>
                <w:tcPr>
                  <w:tcW w:w="589" w:type="pct"/>
                  <w:tcBorders>
                    <w:tl2br w:val="nil"/>
                    <w:tr2bl w:val="nil"/>
                  </w:tcBorders>
                  <w:vAlign w:val="center"/>
                </w:tcPr>
                <w:p w14:paraId="57DB5023">
                  <w:pPr>
                    <w:pStyle w:val="48"/>
                    <w:rPr>
                      <w:rFonts w:hint="default" w:eastAsia="宋体"/>
                      <w:kern w:val="2"/>
                      <w:u w:val="none"/>
                      <w:lang w:val="en-US" w:eastAsia="zh-CN"/>
                    </w:rPr>
                  </w:pPr>
                  <w:r>
                    <w:rPr>
                      <w:rFonts w:hint="eastAsia"/>
                      <w:kern w:val="2"/>
                      <w:u w:val="none"/>
                      <w:lang w:val="en-US" w:eastAsia="zh-CN"/>
                    </w:rPr>
                    <w:t>依托现有</w:t>
                  </w:r>
                </w:p>
              </w:tc>
            </w:tr>
            <w:tr w14:paraId="3B4DC7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95" w:type="pct"/>
                  <w:vMerge w:val="continue"/>
                  <w:tcBorders>
                    <w:tl2br w:val="nil"/>
                    <w:tr2bl w:val="nil"/>
                  </w:tcBorders>
                  <w:vAlign w:val="center"/>
                </w:tcPr>
                <w:p w14:paraId="395AD529">
                  <w:pPr>
                    <w:pStyle w:val="48"/>
                    <w:rPr>
                      <w:kern w:val="2"/>
                      <w:u w:val="none"/>
                    </w:rPr>
                  </w:pPr>
                </w:p>
              </w:tc>
              <w:tc>
                <w:tcPr>
                  <w:tcW w:w="767" w:type="pct"/>
                  <w:tcBorders>
                    <w:tl2br w:val="nil"/>
                    <w:tr2bl w:val="nil"/>
                  </w:tcBorders>
                  <w:vAlign w:val="center"/>
                </w:tcPr>
                <w:p w14:paraId="6CB04714">
                  <w:pPr>
                    <w:pStyle w:val="48"/>
                    <w:rPr>
                      <w:kern w:val="2"/>
                      <w:u w:val="none"/>
                    </w:rPr>
                  </w:pPr>
                  <w:r>
                    <w:rPr>
                      <w:rFonts w:hint="eastAsia"/>
                      <w:kern w:val="2"/>
                      <w:u w:val="none"/>
                    </w:rPr>
                    <w:t>供电</w:t>
                  </w:r>
                </w:p>
              </w:tc>
              <w:tc>
                <w:tcPr>
                  <w:tcW w:w="3248" w:type="pct"/>
                  <w:tcBorders>
                    <w:tl2br w:val="nil"/>
                    <w:tr2bl w:val="nil"/>
                  </w:tcBorders>
                  <w:vAlign w:val="center"/>
                </w:tcPr>
                <w:p w14:paraId="41A3CB84">
                  <w:pPr>
                    <w:pStyle w:val="48"/>
                    <w:keepNext w:val="0"/>
                    <w:keepLines w:val="0"/>
                    <w:pageBreakBefore w:val="0"/>
                    <w:kinsoku/>
                    <w:wordWrap/>
                    <w:overflowPunct/>
                    <w:topLinePunct w:val="0"/>
                    <w:autoSpaceDE/>
                    <w:autoSpaceDN/>
                    <w:bidi w:val="0"/>
                    <w:adjustRightInd w:val="0"/>
                    <w:ind w:left="0" w:leftChars="0" w:right="0" w:rightChars="0" w:firstLine="0" w:firstLineChars="0"/>
                    <w:jc w:val="center"/>
                    <w:rPr>
                      <w:rFonts w:hint="default" w:eastAsia="宋体"/>
                      <w:kern w:val="2"/>
                      <w:u w:val="none"/>
                      <w:lang w:val="en-US" w:eastAsia="zh-CN"/>
                    </w:rPr>
                  </w:pPr>
                  <w:r>
                    <w:rPr>
                      <w:rFonts w:hint="eastAsia"/>
                      <w:kern w:val="2"/>
                      <w:u w:val="none"/>
                      <w:lang w:val="en-US" w:eastAsia="zh-CN"/>
                    </w:rPr>
                    <w:t>电厂厂用电</w:t>
                  </w:r>
                </w:p>
              </w:tc>
              <w:tc>
                <w:tcPr>
                  <w:tcW w:w="589" w:type="pct"/>
                  <w:tcBorders>
                    <w:tl2br w:val="nil"/>
                    <w:tr2bl w:val="nil"/>
                  </w:tcBorders>
                  <w:vAlign w:val="center"/>
                </w:tcPr>
                <w:p w14:paraId="43C36D88">
                  <w:pPr>
                    <w:pStyle w:val="48"/>
                    <w:rPr>
                      <w:rFonts w:hint="eastAsia" w:eastAsia="宋体"/>
                      <w:kern w:val="2"/>
                      <w:u w:val="none"/>
                      <w:lang w:val="en-US" w:eastAsia="zh-CN"/>
                    </w:rPr>
                  </w:pPr>
                  <w:r>
                    <w:rPr>
                      <w:rFonts w:hint="eastAsia"/>
                      <w:kern w:val="2"/>
                      <w:u w:val="none"/>
                      <w:lang w:val="en-US" w:eastAsia="zh-CN"/>
                    </w:rPr>
                    <w:t>/</w:t>
                  </w:r>
                </w:p>
              </w:tc>
            </w:tr>
            <w:tr w14:paraId="51CB06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95" w:type="pct"/>
                  <w:vMerge w:val="restart"/>
                  <w:tcBorders>
                    <w:tl2br w:val="nil"/>
                    <w:tr2bl w:val="nil"/>
                  </w:tcBorders>
                  <w:vAlign w:val="center"/>
                </w:tcPr>
                <w:p w14:paraId="31E8BCAD">
                  <w:pPr>
                    <w:pStyle w:val="48"/>
                    <w:rPr>
                      <w:kern w:val="2"/>
                      <w:u w:val="none"/>
                    </w:rPr>
                  </w:pPr>
                  <w:r>
                    <w:rPr>
                      <w:rFonts w:hint="eastAsia"/>
                      <w:kern w:val="2"/>
                      <w:u w:val="none"/>
                    </w:rPr>
                    <w:t>环保工程</w:t>
                  </w:r>
                </w:p>
              </w:tc>
              <w:tc>
                <w:tcPr>
                  <w:tcW w:w="767" w:type="pct"/>
                  <w:tcBorders>
                    <w:tl2br w:val="nil"/>
                    <w:tr2bl w:val="nil"/>
                  </w:tcBorders>
                  <w:vAlign w:val="center"/>
                </w:tcPr>
                <w:p w14:paraId="489AFA09">
                  <w:pPr>
                    <w:pStyle w:val="48"/>
                    <w:rPr>
                      <w:kern w:val="2"/>
                      <w:u w:val="none"/>
                    </w:rPr>
                  </w:pPr>
                  <w:r>
                    <w:rPr>
                      <w:rFonts w:hint="eastAsia"/>
                      <w:kern w:val="2"/>
                      <w:u w:val="none"/>
                    </w:rPr>
                    <w:t>废气</w:t>
                  </w:r>
                </w:p>
              </w:tc>
              <w:tc>
                <w:tcPr>
                  <w:tcW w:w="3248" w:type="pct"/>
                  <w:tcBorders>
                    <w:tl2br w:val="nil"/>
                    <w:tr2bl w:val="nil"/>
                  </w:tcBorders>
                  <w:vAlign w:val="center"/>
                </w:tcPr>
                <w:p w14:paraId="7C770627">
                  <w:pPr>
                    <w:pStyle w:val="9"/>
                    <w:keepNext w:val="0"/>
                    <w:keepLines w:val="0"/>
                    <w:pageBreakBefore w:val="0"/>
                    <w:widowControl w:val="0"/>
                    <w:kinsoku/>
                    <w:wordWrap/>
                    <w:overflowPunct/>
                    <w:topLinePunct w:val="0"/>
                    <w:autoSpaceDE/>
                    <w:autoSpaceDN/>
                    <w:bidi w:val="0"/>
                    <w:adjustRightInd w:val="0"/>
                    <w:snapToGrid/>
                    <w:ind w:left="0" w:leftChars="0" w:right="0" w:rightChars="0" w:firstLine="420" w:firstLineChars="200"/>
                    <w:jc w:val="both"/>
                    <w:textAlignment w:val="baseline"/>
                    <w:rPr>
                      <w:rFonts w:hint="default" w:eastAsia="宋体"/>
                      <w:u w:val="none"/>
                      <w:lang w:val="en-US" w:eastAsia="zh-CN"/>
                    </w:rPr>
                  </w:pPr>
                  <w:r>
                    <w:rPr>
                      <w:rFonts w:hint="eastAsia"/>
                      <w:u w:val="none"/>
                      <w:lang w:val="en-US" w:eastAsia="zh-CN"/>
                    </w:rPr>
                    <w:t>筒仓顶部已安装除尘器，筒仓废气经仓顶出气孔接入除尘器处理后</w:t>
                  </w:r>
                  <w:r>
                    <w:rPr>
                      <w:rFonts w:hint="eastAsia"/>
                      <w:highlight w:val="none"/>
                      <w:u w:val="none"/>
                      <w:lang w:val="en-US" w:eastAsia="zh-CN"/>
                    </w:rPr>
                    <w:t>有组织排放，</w:t>
                  </w:r>
                  <w:r>
                    <w:rPr>
                      <w:rFonts w:hint="eastAsia"/>
                      <w:u w:val="none"/>
                      <w:lang w:val="en-US" w:eastAsia="zh-CN"/>
                    </w:rPr>
                    <w:t>罐车装车过程中均使用散装机布袋除尘器除尘，未被有效收集的粉尘在厂区内无组织排放</w:t>
                  </w:r>
                </w:p>
              </w:tc>
              <w:tc>
                <w:tcPr>
                  <w:tcW w:w="589" w:type="pct"/>
                  <w:tcBorders>
                    <w:tl2br w:val="nil"/>
                    <w:tr2bl w:val="nil"/>
                  </w:tcBorders>
                  <w:vAlign w:val="center"/>
                </w:tcPr>
                <w:p w14:paraId="7D341308">
                  <w:pPr>
                    <w:pStyle w:val="9"/>
                    <w:widowControl w:val="0"/>
                    <w:rPr>
                      <w:rFonts w:hint="default" w:eastAsia="宋体"/>
                      <w:u w:val="none"/>
                      <w:lang w:val="en-US" w:eastAsia="zh-CN"/>
                    </w:rPr>
                  </w:pPr>
                  <w:r>
                    <w:rPr>
                      <w:rFonts w:hint="eastAsia"/>
                      <w:u w:val="none"/>
                      <w:lang w:val="en-US" w:eastAsia="zh-CN"/>
                    </w:rPr>
                    <w:t>依托现有</w:t>
                  </w:r>
                </w:p>
              </w:tc>
            </w:tr>
            <w:tr w14:paraId="4360E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95" w:type="pct"/>
                  <w:vMerge w:val="continue"/>
                  <w:tcBorders>
                    <w:tl2br w:val="nil"/>
                    <w:tr2bl w:val="nil"/>
                  </w:tcBorders>
                  <w:vAlign w:val="center"/>
                </w:tcPr>
                <w:p w14:paraId="74BE980F">
                  <w:pPr>
                    <w:pStyle w:val="48"/>
                    <w:rPr>
                      <w:kern w:val="2"/>
                      <w:u w:val="none"/>
                    </w:rPr>
                  </w:pPr>
                </w:p>
              </w:tc>
              <w:tc>
                <w:tcPr>
                  <w:tcW w:w="767" w:type="pct"/>
                  <w:tcBorders>
                    <w:tl2br w:val="nil"/>
                    <w:tr2bl w:val="nil"/>
                  </w:tcBorders>
                  <w:vAlign w:val="center"/>
                </w:tcPr>
                <w:p w14:paraId="4EDC6598">
                  <w:pPr>
                    <w:pStyle w:val="48"/>
                    <w:rPr>
                      <w:kern w:val="2"/>
                      <w:u w:val="none"/>
                    </w:rPr>
                  </w:pPr>
                  <w:r>
                    <w:rPr>
                      <w:rFonts w:hint="eastAsia"/>
                      <w:kern w:val="2"/>
                      <w:u w:val="none"/>
                    </w:rPr>
                    <w:t>废水</w:t>
                  </w:r>
                </w:p>
              </w:tc>
              <w:tc>
                <w:tcPr>
                  <w:tcW w:w="3248" w:type="pct"/>
                  <w:tcBorders>
                    <w:tl2br w:val="nil"/>
                    <w:tr2bl w:val="nil"/>
                  </w:tcBorders>
                  <w:vAlign w:val="center"/>
                </w:tcPr>
                <w:p w14:paraId="52505CED">
                  <w:pPr>
                    <w:pStyle w:val="97"/>
                    <w:keepNext w:val="0"/>
                    <w:keepLines w:val="0"/>
                    <w:pageBreakBefore w:val="0"/>
                    <w:kinsoku/>
                    <w:wordWrap/>
                    <w:overflowPunct/>
                    <w:topLinePunct w:val="0"/>
                    <w:autoSpaceDE/>
                    <w:autoSpaceDN/>
                    <w:bidi w:val="0"/>
                    <w:adjustRightInd w:val="0"/>
                    <w:ind w:left="0" w:leftChars="0" w:right="0" w:rightChars="0" w:firstLine="0" w:firstLineChars="0"/>
                    <w:jc w:val="center"/>
                    <w:rPr>
                      <w:rFonts w:hint="default" w:eastAsia="宋体"/>
                      <w:u w:val="none"/>
                      <w:lang w:val="en-US" w:eastAsia="zh-CN"/>
                    </w:rPr>
                  </w:pPr>
                  <w:r>
                    <w:rPr>
                      <w:rFonts w:hint="eastAsia" w:ascii="Times New Roman" w:hAnsi="Times New Roman" w:eastAsia="宋体" w:cs="Times New Roman"/>
                      <w:b w:val="0"/>
                      <w:i w:val="0"/>
                      <w:caps w:val="0"/>
                      <w:spacing w:val="0"/>
                      <w:w w:val="100"/>
                      <w:sz w:val="21"/>
                      <w:szCs w:val="21"/>
                      <w:lang w:val="en-US" w:eastAsia="zh-CN"/>
                    </w:rPr>
                    <w:t>地面清洗废水、洗车废水</w:t>
                  </w:r>
                  <w:r>
                    <w:rPr>
                      <w:rFonts w:hint="eastAsia" w:cs="Times New Roman"/>
                      <w:b w:val="0"/>
                      <w:i w:val="0"/>
                      <w:caps w:val="0"/>
                      <w:spacing w:val="0"/>
                      <w:w w:val="100"/>
                      <w:sz w:val="21"/>
                      <w:szCs w:val="21"/>
                      <w:lang w:val="en-US" w:eastAsia="zh-CN"/>
                    </w:rPr>
                    <w:t>收集至沉淀池后回用，不外排</w:t>
                  </w:r>
                </w:p>
              </w:tc>
              <w:tc>
                <w:tcPr>
                  <w:tcW w:w="589" w:type="pct"/>
                  <w:tcBorders>
                    <w:tl2br w:val="nil"/>
                    <w:tr2bl w:val="nil"/>
                  </w:tcBorders>
                  <w:vAlign w:val="center"/>
                </w:tcPr>
                <w:p w14:paraId="7009CF41">
                  <w:pPr>
                    <w:pStyle w:val="48"/>
                    <w:rPr>
                      <w:rFonts w:hint="eastAsia" w:eastAsia="宋体"/>
                      <w:kern w:val="2"/>
                      <w:u w:val="none"/>
                      <w:lang w:val="en-US" w:eastAsia="zh-CN"/>
                    </w:rPr>
                  </w:pPr>
                  <w:r>
                    <w:rPr>
                      <w:rFonts w:hint="eastAsia"/>
                      <w:kern w:val="2"/>
                      <w:u w:val="none"/>
                      <w:lang w:val="en-US" w:eastAsia="zh-CN"/>
                    </w:rPr>
                    <w:t>依托现有</w:t>
                  </w:r>
                </w:p>
              </w:tc>
            </w:tr>
            <w:tr w14:paraId="63ECE3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95" w:type="pct"/>
                  <w:vMerge w:val="continue"/>
                  <w:tcBorders>
                    <w:tl2br w:val="nil"/>
                    <w:tr2bl w:val="nil"/>
                  </w:tcBorders>
                  <w:vAlign w:val="center"/>
                </w:tcPr>
                <w:p w14:paraId="7731A89F">
                  <w:pPr>
                    <w:pStyle w:val="48"/>
                    <w:rPr>
                      <w:kern w:val="2"/>
                      <w:u w:val="none"/>
                    </w:rPr>
                  </w:pPr>
                </w:p>
              </w:tc>
              <w:tc>
                <w:tcPr>
                  <w:tcW w:w="767" w:type="pct"/>
                  <w:tcBorders>
                    <w:tl2br w:val="nil"/>
                    <w:tr2bl w:val="nil"/>
                  </w:tcBorders>
                  <w:vAlign w:val="center"/>
                </w:tcPr>
                <w:p w14:paraId="471ECB8E">
                  <w:pPr>
                    <w:pStyle w:val="48"/>
                    <w:rPr>
                      <w:kern w:val="2"/>
                      <w:u w:val="none"/>
                    </w:rPr>
                  </w:pPr>
                  <w:r>
                    <w:rPr>
                      <w:rFonts w:hint="eastAsia"/>
                      <w:kern w:val="2"/>
                      <w:u w:val="none"/>
                    </w:rPr>
                    <w:t>噪声</w:t>
                  </w:r>
                </w:p>
              </w:tc>
              <w:tc>
                <w:tcPr>
                  <w:tcW w:w="3248" w:type="pct"/>
                  <w:tcBorders>
                    <w:tl2br w:val="nil"/>
                    <w:tr2bl w:val="nil"/>
                  </w:tcBorders>
                  <w:vAlign w:val="center"/>
                </w:tcPr>
                <w:p w14:paraId="0373E0BB">
                  <w:pPr>
                    <w:pStyle w:val="97"/>
                    <w:keepNext w:val="0"/>
                    <w:keepLines w:val="0"/>
                    <w:pageBreakBefore w:val="0"/>
                    <w:kinsoku/>
                    <w:wordWrap/>
                    <w:overflowPunct/>
                    <w:topLinePunct w:val="0"/>
                    <w:autoSpaceDE/>
                    <w:autoSpaceDN/>
                    <w:bidi w:val="0"/>
                    <w:adjustRightInd w:val="0"/>
                    <w:ind w:left="0" w:leftChars="0" w:right="0" w:rightChars="0" w:firstLine="0" w:firstLineChars="0"/>
                    <w:jc w:val="center"/>
                    <w:rPr>
                      <w:rFonts w:hint="default" w:eastAsia="宋体"/>
                      <w:u w:val="none"/>
                      <w:lang w:val="en-US" w:eastAsia="zh-CN"/>
                    </w:rPr>
                  </w:pPr>
                  <w:r>
                    <w:rPr>
                      <w:rFonts w:hint="eastAsia"/>
                      <w:kern w:val="0"/>
                      <w:szCs w:val="21"/>
                    </w:rPr>
                    <w:t>隔音、消声、减振等措施</w:t>
                  </w:r>
                </w:p>
              </w:tc>
              <w:tc>
                <w:tcPr>
                  <w:tcW w:w="589" w:type="pct"/>
                  <w:tcBorders>
                    <w:tl2br w:val="nil"/>
                    <w:tr2bl w:val="nil"/>
                  </w:tcBorders>
                  <w:vAlign w:val="center"/>
                </w:tcPr>
                <w:p w14:paraId="0F8106C1">
                  <w:pPr>
                    <w:pStyle w:val="48"/>
                    <w:rPr>
                      <w:rFonts w:hint="eastAsia" w:eastAsia="宋体"/>
                      <w:kern w:val="2"/>
                      <w:u w:val="none"/>
                      <w:lang w:val="en-US" w:eastAsia="zh-CN"/>
                    </w:rPr>
                  </w:pPr>
                  <w:r>
                    <w:rPr>
                      <w:rFonts w:hint="eastAsia"/>
                      <w:kern w:val="2"/>
                      <w:u w:val="none"/>
                      <w:lang w:val="en-US" w:eastAsia="zh-CN"/>
                    </w:rPr>
                    <w:t>新建</w:t>
                  </w:r>
                </w:p>
              </w:tc>
            </w:tr>
            <w:tr w14:paraId="1D749B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95" w:type="pct"/>
                  <w:vMerge w:val="continue"/>
                  <w:tcBorders>
                    <w:tl2br w:val="nil"/>
                    <w:tr2bl w:val="nil"/>
                  </w:tcBorders>
                  <w:vAlign w:val="center"/>
                </w:tcPr>
                <w:p w14:paraId="3F7C7036">
                  <w:pPr>
                    <w:pStyle w:val="48"/>
                    <w:rPr>
                      <w:kern w:val="2"/>
                      <w:u w:val="none"/>
                    </w:rPr>
                  </w:pPr>
                </w:p>
              </w:tc>
              <w:tc>
                <w:tcPr>
                  <w:tcW w:w="767" w:type="pct"/>
                  <w:tcBorders>
                    <w:tl2br w:val="nil"/>
                    <w:tr2bl w:val="nil"/>
                  </w:tcBorders>
                  <w:vAlign w:val="center"/>
                </w:tcPr>
                <w:p w14:paraId="2A9EBBD5">
                  <w:pPr>
                    <w:pStyle w:val="48"/>
                    <w:rPr>
                      <w:rFonts w:hint="eastAsia" w:eastAsia="宋体"/>
                      <w:kern w:val="2"/>
                      <w:u w:val="none"/>
                      <w:lang w:val="en-US" w:eastAsia="zh-CN"/>
                    </w:rPr>
                  </w:pPr>
                  <w:r>
                    <w:rPr>
                      <w:rFonts w:hint="eastAsia"/>
                      <w:kern w:val="2"/>
                      <w:u w:val="none"/>
                      <w:lang w:val="en-US" w:eastAsia="zh-CN"/>
                    </w:rPr>
                    <w:t>固废</w:t>
                  </w:r>
                </w:p>
              </w:tc>
              <w:tc>
                <w:tcPr>
                  <w:tcW w:w="3248" w:type="pct"/>
                  <w:tcBorders>
                    <w:tl2br w:val="nil"/>
                    <w:tr2bl w:val="nil"/>
                  </w:tcBorders>
                  <w:vAlign w:val="center"/>
                </w:tcPr>
                <w:p w14:paraId="03903E1C">
                  <w:pPr>
                    <w:pStyle w:val="97"/>
                    <w:keepNext w:val="0"/>
                    <w:keepLines w:val="0"/>
                    <w:pageBreakBefore w:val="0"/>
                    <w:widowControl/>
                    <w:kinsoku/>
                    <w:wordWrap/>
                    <w:overflowPunct/>
                    <w:topLinePunct w:val="0"/>
                    <w:autoSpaceDE/>
                    <w:autoSpaceDN/>
                    <w:bidi w:val="0"/>
                    <w:adjustRightInd w:val="0"/>
                    <w:snapToGrid w:val="0"/>
                    <w:ind w:left="0" w:leftChars="0" w:right="0" w:rightChars="0" w:firstLine="420" w:firstLineChars="200"/>
                    <w:jc w:val="both"/>
                    <w:textAlignment w:val="auto"/>
                    <w:rPr>
                      <w:rFonts w:hint="eastAsia"/>
                      <w:kern w:val="0"/>
                      <w:szCs w:val="21"/>
                    </w:rPr>
                  </w:pPr>
                  <w:r>
                    <w:rPr>
                      <w:rFonts w:hint="eastAsia"/>
                      <w:sz w:val="21"/>
                      <w:szCs w:val="21"/>
                      <w:highlight w:val="none"/>
                      <w:lang w:val="en-US" w:eastAsia="zh-CN"/>
                    </w:rPr>
                    <w:t>项目机器维修产生的废润滑油、废润滑油桶和非含油抹布、手套等收集暂存于危险废物暂存间，定期交由有资质单位处置，厂区已建设200m</w:t>
                  </w:r>
                  <w:r>
                    <w:rPr>
                      <w:rFonts w:hint="eastAsia"/>
                      <w:sz w:val="21"/>
                      <w:szCs w:val="21"/>
                      <w:highlight w:val="none"/>
                      <w:vertAlign w:val="superscript"/>
                      <w:lang w:val="en-US" w:eastAsia="zh-CN"/>
                    </w:rPr>
                    <w:t>2</w:t>
                  </w:r>
                  <w:r>
                    <w:rPr>
                      <w:rFonts w:hint="eastAsia"/>
                      <w:sz w:val="21"/>
                      <w:szCs w:val="21"/>
                      <w:highlight w:val="none"/>
                      <w:lang w:val="en-US" w:eastAsia="zh-CN"/>
                    </w:rPr>
                    <w:t>危险废物暂存间</w:t>
                  </w:r>
                </w:p>
              </w:tc>
              <w:tc>
                <w:tcPr>
                  <w:tcW w:w="589" w:type="pct"/>
                  <w:tcBorders>
                    <w:tl2br w:val="nil"/>
                    <w:tr2bl w:val="nil"/>
                  </w:tcBorders>
                  <w:vAlign w:val="center"/>
                </w:tcPr>
                <w:p w14:paraId="6C56F400">
                  <w:pPr>
                    <w:pStyle w:val="48"/>
                    <w:rPr>
                      <w:rFonts w:hint="default"/>
                      <w:kern w:val="2"/>
                      <w:u w:val="none"/>
                      <w:lang w:val="en-US" w:eastAsia="zh-CN"/>
                    </w:rPr>
                  </w:pPr>
                  <w:r>
                    <w:rPr>
                      <w:rFonts w:hint="eastAsia"/>
                      <w:kern w:val="2"/>
                      <w:u w:val="none"/>
                      <w:lang w:val="en-US" w:eastAsia="zh-CN"/>
                    </w:rPr>
                    <w:t>依托现有</w:t>
                  </w:r>
                </w:p>
              </w:tc>
            </w:tr>
          </w:tbl>
          <w:p w14:paraId="41F066F6">
            <w:pPr>
              <w:numPr>
                <w:ilvl w:val="0"/>
                <w:numId w:val="17"/>
              </w:numPr>
              <w:adjustRightInd w:val="0"/>
              <w:snapToGrid w:val="0"/>
              <w:spacing w:before="120" w:beforeLines="50"/>
              <w:ind w:firstLineChars="0"/>
              <w:rPr>
                <w:b/>
                <w:sz w:val="28"/>
                <w:szCs w:val="28"/>
              </w:rPr>
            </w:pPr>
            <w:r>
              <w:rPr>
                <w:rFonts w:hint="eastAsia"/>
                <w:b/>
                <w:sz w:val="28"/>
                <w:szCs w:val="28"/>
                <w:lang w:val="en-US" w:eastAsia="zh-CN"/>
              </w:rPr>
              <w:t>依托工程</w:t>
            </w:r>
          </w:p>
          <w:p w14:paraId="45AB5541">
            <w:pPr>
              <w:widowControl w:val="0"/>
              <w:numPr>
                <w:ilvl w:val="0"/>
                <w:numId w:val="18"/>
              </w:numPr>
              <w:spacing w:line="240" w:lineRule="auto"/>
              <w:ind w:firstLineChars="0"/>
              <w:jc w:val="center"/>
              <w:rPr>
                <w:rFonts w:hint="eastAsia"/>
                <w:b/>
                <w:bCs/>
              </w:rPr>
            </w:pPr>
            <w:r>
              <w:rPr>
                <w:rFonts w:hint="eastAsia"/>
                <w:b/>
                <w:bCs/>
                <w:lang w:val="en-US" w:eastAsia="zh-CN"/>
              </w:rPr>
              <w:t>本项目与厂区现有相关设施的依托情况一览表</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41"/>
              <w:gridCol w:w="746"/>
              <w:gridCol w:w="1945"/>
              <w:gridCol w:w="1535"/>
              <w:gridCol w:w="2788"/>
              <w:gridCol w:w="746"/>
            </w:tblGrid>
            <w:tr w14:paraId="111E53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26" w:type="pct"/>
                  <w:tcBorders>
                    <w:tl2br w:val="nil"/>
                    <w:tr2bl w:val="nil"/>
                  </w:tcBorders>
                  <w:vAlign w:val="center"/>
                </w:tcPr>
                <w:p w14:paraId="0C9603F1">
                  <w:pPr>
                    <w:snapToGrid w:val="0"/>
                    <w:spacing w:line="240" w:lineRule="auto"/>
                    <w:ind w:firstLine="0" w:firstLineChars="0"/>
                    <w:jc w:val="center"/>
                    <w:rPr>
                      <w:b/>
                      <w:bCs/>
                      <w:sz w:val="21"/>
                      <w:szCs w:val="21"/>
                    </w:rPr>
                  </w:pPr>
                  <w:r>
                    <w:rPr>
                      <w:b/>
                      <w:bCs/>
                      <w:sz w:val="21"/>
                      <w:szCs w:val="21"/>
                    </w:rPr>
                    <w:t>序号</w:t>
                  </w:r>
                </w:p>
              </w:tc>
              <w:tc>
                <w:tcPr>
                  <w:tcW w:w="449" w:type="pct"/>
                  <w:tcBorders>
                    <w:tl2br w:val="nil"/>
                    <w:tr2bl w:val="nil"/>
                  </w:tcBorders>
                  <w:vAlign w:val="center"/>
                </w:tcPr>
                <w:p w14:paraId="7221E853">
                  <w:pPr>
                    <w:snapToGrid w:val="0"/>
                    <w:spacing w:line="240" w:lineRule="auto"/>
                    <w:ind w:firstLine="0" w:firstLineChars="0"/>
                    <w:jc w:val="center"/>
                    <w:rPr>
                      <w:b/>
                      <w:bCs/>
                      <w:sz w:val="21"/>
                      <w:szCs w:val="21"/>
                    </w:rPr>
                  </w:pPr>
                  <w:r>
                    <w:rPr>
                      <w:b/>
                      <w:bCs/>
                      <w:sz w:val="21"/>
                      <w:szCs w:val="21"/>
                    </w:rPr>
                    <w:t>项目</w:t>
                  </w:r>
                </w:p>
              </w:tc>
              <w:tc>
                <w:tcPr>
                  <w:tcW w:w="1171" w:type="pct"/>
                  <w:tcBorders>
                    <w:tl2br w:val="nil"/>
                    <w:tr2bl w:val="nil"/>
                  </w:tcBorders>
                  <w:vAlign w:val="center"/>
                </w:tcPr>
                <w:p w14:paraId="19DAA5B3">
                  <w:pPr>
                    <w:snapToGrid w:val="0"/>
                    <w:spacing w:line="240" w:lineRule="auto"/>
                    <w:ind w:firstLine="0" w:firstLineChars="0"/>
                    <w:jc w:val="center"/>
                    <w:rPr>
                      <w:b/>
                      <w:bCs/>
                      <w:sz w:val="21"/>
                      <w:szCs w:val="21"/>
                    </w:rPr>
                  </w:pPr>
                  <w:r>
                    <w:rPr>
                      <w:b/>
                      <w:bCs/>
                      <w:sz w:val="21"/>
                      <w:szCs w:val="21"/>
                    </w:rPr>
                    <w:t>规模</w:t>
                  </w:r>
                </w:p>
              </w:tc>
              <w:tc>
                <w:tcPr>
                  <w:tcW w:w="924" w:type="pct"/>
                  <w:tcBorders>
                    <w:tl2br w:val="nil"/>
                    <w:tr2bl w:val="nil"/>
                  </w:tcBorders>
                  <w:vAlign w:val="center"/>
                </w:tcPr>
                <w:p w14:paraId="74138D14">
                  <w:pPr>
                    <w:snapToGrid w:val="0"/>
                    <w:spacing w:line="240" w:lineRule="auto"/>
                    <w:ind w:firstLine="0" w:firstLineChars="0"/>
                    <w:jc w:val="center"/>
                    <w:rPr>
                      <w:b/>
                      <w:bCs/>
                      <w:sz w:val="21"/>
                      <w:szCs w:val="21"/>
                    </w:rPr>
                  </w:pPr>
                  <w:r>
                    <w:rPr>
                      <w:b/>
                      <w:bCs/>
                      <w:sz w:val="21"/>
                      <w:szCs w:val="21"/>
                    </w:rPr>
                    <w:t>富余能力</w:t>
                  </w:r>
                </w:p>
              </w:tc>
              <w:tc>
                <w:tcPr>
                  <w:tcW w:w="1678" w:type="pct"/>
                  <w:tcBorders>
                    <w:tl2br w:val="nil"/>
                    <w:tr2bl w:val="nil"/>
                  </w:tcBorders>
                  <w:vAlign w:val="center"/>
                </w:tcPr>
                <w:p w14:paraId="2D183C4A">
                  <w:pPr>
                    <w:snapToGrid w:val="0"/>
                    <w:spacing w:line="240" w:lineRule="auto"/>
                    <w:ind w:firstLine="0" w:firstLineChars="0"/>
                    <w:jc w:val="center"/>
                    <w:rPr>
                      <w:b/>
                      <w:bCs/>
                      <w:sz w:val="21"/>
                      <w:szCs w:val="21"/>
                    </w:rPr>
                  </w:pPr>
                  <w:r>
                    <w:rPr>
                      <w:b/>
                      <w:bCs/>
                      <w:sz w:val="21"/>
                      <w:szCs w:val="21"/>
                    </w:rPr>
                    <w:t>本项目使用情况</w:t>
                  </w:r>
                </w:p>
              </w:tc>
              <w:tc>
                <w:tcPr>
                  <w:tcW w:w="449" w:type="pct"/>
                  <w:tcBorders>
                    <w:tl2br w:val="nil"/>
                    <w:tr2bl w:val="nil"/>
                  </w:tcBorders>
                  <w:vAlign w:val="center"/>
                </w:tcPr>
                <w:p w14:paraId="15CDBED3">
                  <w:pPr>
                    <w:snapToGrid w:val="0"/>
                    <w:spacing w:line="240" w:lineRule="auto"/>
                    <w:ind w:firstLine="0" w:firstLineChars="0"/>
                    <w:jc w:val="center"/>
                    <w:rPr>
                      <w:b/>
                      <w:bCs/>
                      <w:sz w:val="21"/>
                      <w:szCs w:val="21"/>
                    </w:rPr>
                  </w:pPr>
                  <w:r>
                    <w:rPr>
                      <w:b/>
                      <w:bCs/>
                      <w:sz w:val="21"/>
                      <w:szCs w:val="21"/>
                    </w:rPr>
                    <w:t>依托可行性</w:t>
                  </w:r>
                </w:p>
              </w:tc>
            </w:tr>
            <w:tr w14:paraId="300BBE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6" w:type="pct"/>
                  <w:tcBorders>
                    <w:tl2br w:val="nil"/>
                    <w:tr2bl w:val="nil"/>
                  </w:tcBorders>
                  <w:vAlign w:val="center"/>
                </w:tcPr>
                <w:p w14:paraId="3F5EB052">
                  <w:pPr>
                    <w:snapToGrid w:val="0"/>
                    <w:spacing w:line="240" w:lineRule="auto"/>
                    <w:ind w:firstLine="0" w:firstLineChars="0"/>
                    <w:jc w:val="center"/>
                    <w:rPr>
                      <w:rFonts w:hint="eastAsia" w:eastAsia="宋体"/>
                      <w:sz w:val="21"/>
                      <w:szCs w:val="21"/>
                      <w:lang w:eastAsia="zh-CN"/>
                    </w:rPr>
                  </w:pPr>
                  <w:r>
                    <w:rPr>
                      <w:rFonts w:hint="eastAsia"/>
                      <w:sz w:val="21"/>
                      <w:szCs w:val="21"/>
                      <w:lang w:val="en-US" w:eastAsia="zh-CN"/>
                    </w:rPr>
                    <w:t>1</w:t>
                  </w:r>
                </w:p>
              </w:tc>
              <w:tc>
                <w:tcPr>
                  <w:tcW w:w="449" w:type="pct"/>
                  <w:tcBorders>
                    <w:tl2br w:val="nil"/>
                    <w:tr2bl w:val="nil"/>
                  </w:tcBorders>
                  <w:vAlign w:val="center"/>
                </w:tcPr>
                <w:p w14:paraId="2E9F09E4">
                  <w:pPr>
                    <w:snapToGrid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仓顶除尘器</w:t>
                  </w:r>
                </w:p>
              </w:tc>
              <w:tc>
                <w:tcPr>
                  <w:tcW w:w="1171" w:type="pct"/>
                  <w:tcBorders>
                    <w:tl2br w:val="nil"/>
                    <w:tr2bl w:val="nil"/>
                  </w:tcBorders>
                  <w:vAlign w:val="center"/>
                </w:tcPr>
                <w:p w14:paraId="264B29F9">
                  <w:pPr>
                    <w:snapToGrid w:val="0"/>
                    <w:spacing w:line="240" w:lineRule="auto"/>
                    <w:ind w:firstLine="0" w:firstLineChars="0"/>
                    <w:jc w:val="both"/>
                    <w:rPr>
                      <w:rFonts w:hint="default" w:eastAsia="宋体"/>
                      <w:sz w:val="21"/>
                      <w:szCs w:val="21"/>
                      <w:lang w:val="en-US" w:eastAsia="zh-CN"/>
                    </w:rPr>
                  </w:pPr>
                  <w:r>
                    <w:rPr>
                      <w:rFonts w:hint="eastAsia"/>
                      <w:sz w:val="21"/>
                      <w:szCs w:val="21"/>
                      <w:lang w:val="en-US" w:eastAsia="zh-CN"/>
                    </w:rPr>
                    <w:t>一期灰库仓顶设置两台脉冲布袋除尘器，单台除尘器设计处理风量8100m</w:t>
                  </w:r>
                  <w:r>
                    <w:rPr>
                      <w:rFonts w:hint="eastAsia"/>
                      <w:sz w:val="21"/>
                      <w:szCs w:val="21"/>
                      <w:vertAlign w:val="superscript"/>
                      <w:lang w:val="en-US" w:eastAsia="zh-CN"/>
                    </w:rPr>
                    <w:t>3</w:t>
                  </w:r>
                  <w:r>
                    <w:rPr>
                      <w:rFonts w:hint="eastAsia"/>
                      <w:sz w:val="21"/>
                      <w:szCs w:val="21"/>
                      <w:lang w:val="en-US" w:eastAsia="zh-CN"/>
                    </w:rPr>
                    <w:t>/h，二期灰库仓顶设置2台侧抽模块化除尘器，单台除尘器设计处理风量10800m</w:t>
                  </w:r>
                  <w:r>
                    <w:rPr>
                      <w:rFonts w:hint="eastAsia"/>
                      <w:sz w:val="21"/>
                      <w:szCs w:val="21"/>
                      <w:vertAlign w:val="superscript"/>
                      <w:lang w:val="en-US" w:eastAsia="zh-CN"/>
                    </w:rPr>
                    <w:t>3</w:t>
                  </w:r>
                  <w:r>
                    <w:rPr>
                      <w:rFonts w:hint="eastAsia"/>
                      <w:sz w:val="21"/>
                      <w:szCs w:val="21"/>
                      <w:lang w:val="en-US" w:eastAsia="zh-CN"/>
                    </w:rPr>
                    <w:t>/h，三期设置1台侧抽模块化除尘器，处理风量17280m</w:t>
                  </w:r>
                  <w:r>
                    <w:rPr>
                      <w:rFonts w:hint="eastAsia"/>
                      <w:sz w:val="21"/>
                      <w:szCs w:val="21"/>
                      <w:vertAlign w:val="superscript"/>
                      <w:lang w:val="en-US" w:eastAsia="zh-CN"/>
                    </w:rPr>
                    <w:t>3</w:t>
                  </w:r>
                  <w:r>
                    <w:rPr>
                      <w:rFonts w:hint="eastAsia"/>
                      <w:sz w:val="21"/>
                      <w:szCs w:val="21"/>
                      <w:lang w:val="en-US" w:eastAsia="zh-CN"/>
                    </w:rPr>
                    <w:t>/h</w:t>
                  </w:r>
                </w:p>
              </w:tc>
              <w:tc>
                <w:tcPr>
                  <w:tcW w:w="2603" w:type="pct"/>
                  <w:gridSpan w:val="2"/>
                  <w:tcBorders>
                    <w:tl2br w:val="nil"/>
                    <w:tr2bl w:val="nil"/>
                  </w:tcBorders>
                  <w:vAlign w:val="center"/>
                </w:tcPr>
                <w:p w14:paraId="2C960D80">
                  <w:pPr>
                    <w:snapToGrid w:val="0"/>
                    <w:spacing w:line="240" w:lineRule="auto"/>
                    <w:ind w:firstLine="420"/>
                    <w:rPr>
                      <w:sz w:val="21"/>
                      <w:szCs w:val="21"/>
                    </w:rPr>
                  </w:pPr>
                  <w:r>
                    <w:rPr>
                      <w:rFonts w:hint="eastAsia"/>
                      <w:sz w:val="21"/>
                      <w:szCs w:val="21"/>
                    </w:rPr>
                    <w:t>本项目</w:t>
                  </w:r>
                  <w:r>
                    <w:rPr>
                      <w:rFonts w:hint="eastAsia"/>
                      <w:sz w:val="21"/>
                      <w:szCs w:val="21"/>
                      <w:lang w:val="en-US" w:eastAsia="zh-CN"/>
                    </w:rPr>
                    <w:t>灰库不新增筒仓，不新增废气量</w:t>
                  </w:r>
                  <w:r>
                    <w:rPr>
                      <w:rFonts w:hint="eastAsia"/>
                      <w:sz w:val="21"/>
                      <w:szCs w:val="21"/>
                    </w:rPr>
                    <w:t>，未超出</w:t>
                  </w:r>
                  <w:r>
                    <w:rPr>
                      <w:rFonts w:hint="eastAsia"/>
                      <w:sz w:val="21"/>
                      <w:szCs w:val="21"/>
                      <w:lang w:val="en-US" w:eastAsia="zh-CN"/>
                    </w:rPr>
                    <w:t>现有仓顶除尘器</w:t>
                  </w:r>
                  <w:r>
                    <w:rPr>
                      <w:rFonts w:hint="eastAsia"/>
                      <w:sz w:val="21"/>
                      <w:szCs w:val="21"/>
                    </w:rPr>
                    <w:t>设计处理能力</w:t>
                  </w:r>
                </w:p>
              </w:tc>
              <w:tc>
                <w:tcPr>
                  <w:tcW w:w="449" w:type="pct"/>
                  <w:tcBorders>
                    <w:tl2br w:val="nil"/>
                    <w:tr2bl w:val="nil"/>
                  </w:tcBorders>
                  <w:vAlign w:val="center"/>
                </w:tcPr>
                <w:p w14:paraId="1390AB63">
                  <w:pPr>
                    <w:pStyle w:val="4"/>
                    <w:spacing w:before="0" w:after="0" w:line="240" w:lineRule="auto"/>
                    <w:ind w:right="0" w:firstLine="0" w:firstLineChars="0"/>
                    <w:jc w:val="center"/>
                    <w:rPr>
                      <w:sz w:val="21"/>
                      <w:szCs w:val="21"/>
                    </w:rPr>
                  </w:pPr>
                  <w:r>
                    <w:rPr>
                      <w:rFonts w:hint="eastAsia"/>
                      <w:sz w:val="21"/>
                      <w:szCs w:val="21"/>
                    </w:rPr>
                    <w:t>可依托</w:t>
                  </w:r>
                </w:p>
              </w:tc>
            </w:tr>
            <w:tr w14:paraId="2B8D8F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6" w:type="pct"/>
                  <w:tcBorders>
                    <w:tl2br w:val="nil"/>
                    <w:tr2bl w:val="nil"/>
                  </w:tcBorders>
                  <w:vAlign w:val="center"/>
                </w:tcPr>
                <w:p w14:paraId="2D8AA839">
                  <w:pPr>
                    <w:snapToGrid w:val="0"/>
                    <w:spacing w:line="240" w:lineRule="auto"/>
                    <w:ind w:firstLine="0" w:firstLineChars="0"/>
                    <w:jc w:val="center"/>
                    <w:rPr>
                      <w:rFonts w:hint="eastAsia" w:eastAsia="宋体"/>
                      <w:sz w:val="21"/>
                      <w:szCs w:val="21"/>
                      <w:highlight w:val="none"/>
                      <w:lang w:eastAsia="zh-CN"/>
                    </w:rPr>
                  </w:pPr>
                  <w:r>
                    <w:rPr>
                      <w:rFonts w:hint="eastAsia"/>
                      <w:sz w:val="21"/>
                      <w:szCs w:val="21"/>
                      <w:highlight w:val="none"/>
                      <w:lang w:val="en-US" w:eastAsia="zh-CN"/>
                    </w:rPr>
                    <w:t>2</w:t>
                  </w:r>
                </w:p>
              </w:tc>
              <w:tc>
                <w:tcPr>
                  <w:tcW w:w="449" w:type="pct"/>
                  <w:tcBorders>
                    <w:tl2br w:val="nil"/>
                    <w:tr2bl w:val="nil"/>
                  </w:tcBorders>
                  <w:vAlign w:val="center"/>
                </w:tcPr>
                <w:p w14:paraId="3B64576B">
                  <w:pPr>
                    <w:snapToGrid w:val="0"/>
                    <w:spacing w:line="240" w:lineRule="auto"/>
                    <w:ind w:firstLine="0" w:firstLineChars="0"/>
                    <w:jc w:val="center"/>
                    <w:rPr>
                      <w:rFonts w:hint="default" w:eastAsia="宋体"/>
                      <w:sz w:val="21"/>
                      <w:szCs w:val="21"/>
                      <w:highlight w:val="none"/>
                      <w:lang w:val="en-US" w:eastAsia="zh-CN"/>
                    </w:rPr>
                  </w:pPr>
                  <w:r>
                    <w:rPr>
                      <w:rFonts w:hint="eastAsia"/>
                      <w:sz w:val="21"/>
                      <w:szCs w:val="21"/>
                      <w:highlight w:val="none"/>
                      <w:lang w:val="en-US" w:eastAsia="zh-CN"/>
                    </w:rPr>
                    <w:t>危废暂存间</w:t>
                  </w:r>
                </w:p>
              </w:tc>
              <w:tc>
                <w:tcPr>
                  <w:tcW w:w="1171" w:type="pct"/>
                  <w:tcBorders>
                    <w:tl2br w:val="nil"/>
                    <w:tr2bl w:val="nil"/>
                  </w:tcBorders>
                  <w:vAlign w:val="center"/>
                </w:tcPr>
                <w:p w14:paraId="137A6D01">
                  <w:pPr>
                    <w:snapToGrid w:val="0"/>
                    <w:spacing w:line="240" w:lineRule="auto"/>
                    <w:ind w:firstLine="0" w:firstLineChars="0"/>
                    <w:jc w:val="center"/>
                    <w:rPr>
                      <w:rFonts w:hint="default" w:eastAsia="宋体"/>
                      <w:sz w:val="21"/>
                      <w:szCs w:val="21"/>
                      <w:highlight w:val="none"/>
                      <w:lang w:val="en-US" w:eastAsia="zh-CN"/>
                    </w:rPr>
                  </w:pPr>
                  <w:r>
                    <w:rPr>
                      <w:rFonts w:hint="eastAsia"/>
                      <w:sz w:val="21"/>
                      <w:szCs w:val="21"/>
                      <w:highlight w:val="none"/>
                      <w:lang w:val="en-US" w:eastAsia="zh-CN"/>
                    </w:rPr>
                    <w:t>占地面积200m</w:t>
                  </w:r>
                  <w:r>
                    <w:rPr>
                      <w:rFonts w:hint="eastAsia"/>
                      <w:sz w:val="21"/>
                      <w:szCs w:val="21"/>
                      <w:highlight w:val="none"/>
                      <w:vertAlign w:val="superscript"/>
                      <w:lang w:val="en-US" w:eastAsia="zh-CN"/>
                    </w:rPr>
                    <w:t>2</w:t>
                  </w:r>
                </w:p>
              </w:tc>
              <w:tc>
                <w:tcPr>
                  <w:tcW w:w="2603" w:type="pct"/>
                  <w:gridSpan w:val="2"/>
                  <w:tcBorders>
                    <w:tl2br w:val="nil"/>
                    <w:tr2bl w:val="nil"/>
                  </w:tcBorders>
                  <w:vAlign w:val="center"/>
                </w:tcPr>
                <w:p w14:paraId="59446127">
                  <w:pPr>
                    <w:snapToGrid w:val="0"/>
                    <w:spacing w:line="240" w:lineRule="auto"/>
                    <w:ind w:firstLine="0" w:firstLineChars="0"/>
                    <w:jc w:val="center"/>
                    <w:rPr>
                      <w:rFonts w:hint="default" w:eastAsia="宋体"/>
                      <w:sz w:val="21"/>
                      <w:szCs w:val="21"/>
                      <w:highlight w:val="none"/>
                      <w:lang w:val="en-US" w:eastAsia="zh-CN"/>
                    </w:rPr>
                  </w:pPr>
                  <w:r>
                    <w:rPr>
                      <w:rFonts w:hint="eastAsia"/>
                      <w:sz w:val="21"/>
                      <w:szCs w:val="21"/>
                      <w:highlight w:val="none"/>
                      <w:lang w:val="en-US" w:eastAsia="zh-CN"/>
                    </w:rPr>
                    <w:t>危废间已分区，本项目危险废物主要为废润滑油、废润滑油桶和废含油抹布手套，不新增危废类别，</w:t>
                  </w:r>
                  <w:r>
                    <w:rPr>
                      <w:sz w:val="21"/>
                      <w:szCs w:val="21"/>
                    </w:rPr>
                    <w:t>可依托现有危废暂存</w:t>
                  </w:r>
                  <w:r>
                    <w:rPr>
                      <w:rFonts w:hint="eastAsia"/>
                      <w:sz w:val="21"/>
                      <w:szCs w:val="21"/>
                    </w:rPr>
                    <w:t>间</w:t>
                  </w:r>
                  <w:r>
                    <w:rPr>
                      <w:rFonts w:hint="eastAsia"/>
                      <w:sz w:val="21"/>
                      <w:szCs w:val="21"/>
                      <w:lang w:val="en-US" w:eastAsia="zh-CN"/>
                    </w:rPr>
                    <w:t>存放</w:t>
                  </w:r>
                  <w:r>
                    <w:rPr>
                      <w:rFonts w:hint="eastAsia"/>
                      <w:sz w:val="21"/>
                      <w:szCs w:val="21"/>
                    </w:rPr>
                    <w:t>。</w:t>
                  </w:r>
                </w:p>
              </w:tc>
              <w:tc>
                <w:tcPr>
                  <w:tcW w:w="449" w:type="pct"/>
                  <w:tcBorders>
                    <w:tl2br w:val="nil"/>
                    <w:tr2bl w:val="nil"/>
                  </w:tcBorders>
                  <w:vAlign w:val="center"/>
                </w:tcPr>
                <w:p w14:paraId="2F5002F0">
                  <w:pPr>
                    <w:widowControl/>
                    <w:spacing w:line="240" w:lineRule="auto"/>
                    <w:ind w:firstLine="0" w:firstLineChars="0"/>
                    <w:jc w:val="center"/>
                    <w:rPr>
                      <w:rFonts w:hint="eastAsia" w:eastAsia="宋体"/>
                      <w:sz w:val="21"/>
                      <w:szCs w:val="21"/>
                      <w:highlight w:val="none"/>
                      <w:lang w:val="en-US" w:eastAsia="zh-CN"/>
                    </w:rPr>
                  </w:pPr>
                  <w:r>
                    <w:rPr>
                      <w:rFonts w:hint="eastAsia"/>
                      <w:sz w:val="21"/>
                      <w:szCs w:val="21"/>
                      <w:highlight w:val="none"/>
                      <w:lang w:val="en-US" w:eastAsia="zh-CN"/>
                    </w:rPr>
                    <w:t>可依托</w:t>
                  </w:r>
                </w:p>
              </w:tc>
            </w:tr>
          </w:tbl>
          <w:p w14:paraId="0692A7C7">
            <w:pPr>
              <w:keepNext w:val="0"/>
              <w:keepLines w:val="0"/>
              <w:pageBreakBefore w:val="0"/>
              <w:widowControl/>
              <w:numPr>
                <w:ilvl w:val="0"/>
                <w:numId w:val="0"/>
              </w:numPr>
              <w:kinsoku/>
              <w:wordWrap/>
              <w:overflowPunct/>
              <w:topLinePunct w:val="0"/>
              <w:autoSpaceDE/>
              <w:autoSpaceDN/>
              <w:bidi w:val="0"/>
              <w:adjustRightInd w:val="0"/>
              <w:snapToGrid w:val="0"/>
              <w:spacing w:before="164" w:beforeLines="50"/>
              <w:ind w:leftChars="0" w:firstLine="480" w:firstLineChars="200"/>
              <w:textAlignment w:val="auto"/>
              <w:rPr>
                <w:rFonts w:hint="eastAsia"/>
                <w:color w:val="auto"/>
                <w:u w:val="none"/>
                <w:lang w:eastAsia="zh-CN"/>
              </w:rPr>
            </w:pPr>
            <w:r>
              <w:rPr>
                <w:rFonts w:hint="default"/>
                <w:color w:val="auto"/>
                <w:u w:val="none"/>
              </w:rPr>
              <w:t>由上表可知，本项目依托厂区内</w:t>
            </w:r>
            <w:r>
              <w:rPr>
                <w:color w:val="auto"/>
                <w:u w:val="none"/>
              </w:rPr>
              <w:t>环保工程等</w:t>
            </w:r>
            <w:r>
              <w:rPr>
                <w:rFonts w:hint="default"/>
                <w:color w:val="auto"/>
                <w:u w:val="none"/>
              </w:rPr>
              <w:t>相关设施是可行的</w:t>
            </w:r>
            <w:r>
              <w:rPr>
                <w:rFonts w:hint="eastAsia"/>
                <w:color w:val="auto"/>
                <w:u w:val="none"/>
                <w:lang w:eastAsia="zh-CN"/>
              </w:rPr>
              <w:t>。</w:t>
            </w:r>
          </w:p>
          <w:p w14:paraId="02398027">
            <w:pPr>
              <w:keepNext w:val="0"/>
              <w:keepLines w:val="0"/>
              <w:pageBreakBefore w:val="0"/>
              <w:widowControl/>
              <w:numPr>
                <w:ilvl w:val="0"/>
                <w:numId w:val="17"/>
              </w:numPr>
              <w:kinsoku/>
              <w:wordWrap/>
              <w:overflowPunct/>
              <w:topLinePunct w:val="0"/>
              <w:autoSpaceDE/>
              <w:autoSpaceDN/>
              <w:bidi w:val="0"/>
              <w:adjustRightInd w:val="0"/>
              <w:snapToGrid w:val="0"/>
              <w:ind w:firstLineChars="0"/>
              <w:textAlignment w:val="auto"/>
              <w:rPr>
                <w:b/>
                <w:sz w:val="28"/>
                <w:szCs w:val="28"/>
              </w:rPr>
            </w:pPr>
            <w:r>
              <w:rPr>
                <w:rFonts w:hint="eastAsia"/>
                <w:b/>
                <w:sz w:val="28"/>
                <w:szCs w:val="28"/>
                <w:lang w:val="en-US" w:eastAsia="zh-CN"/>
              </w:rPr>
              <w:t>灰库筒仓和石膏仓库物料储存情况</w:t>
            </w:r>
          </w:p>
          <w:p w14:paraId="6C7BAFF8">
            <w:pPr>
              <w:keepNext w:val="0"/>
              <w:keepLines w:val="0"/>
              <w:pageBreakBefore w:val="0"/>
              <w:widowControl/>
              <w:numPr>
                <w:ilvl w:val="0"/>
                <w:numId w:val="0"/>
              </w:numPr>
              <w:kinsoku/>
              <w:wordWrap/>
              <w:overflowPunct/>
              <w:topLinePunct w:val="0"/>
              <w:autoSpaceDE/>
              <w:autoSpaceDN/>
              <w:bidi w:val="0"/>
              <w:adjustRightInd w:val="0"/>
              <w:snapToGrid w:val="0"/>
              <w:ind w:leftChars="0" w:firstLine="480" w:firstLineChars="200"/>
              <w:textAlignment w:val="auto"/>
              <w:rPr>
                <w:rFonts w:hint="eastAsia"/>
                <w:b w:val="0"/>
                <w:bCs/>
                <w:sz w:val="24"/>
                <w:szCs w:val="24"/>
                <w:lang w:val="en-US" w:eastAsia="zh-CN"/>
              </w:rPr>
            </w:pPr>
            <w:r>
              <w:rPr>
                <w:rFonts w:hint="eastAsia"/>
                <w:b w:val="0"/>
                <w:bCs/>
                <w:sz w:val="24"/>
                <w:szCs w:val="24"/>
                <w:lang w:val="en-US" w:eastAsia="zh-CN"/>
              </w:rPr>
              <w:t>本项目灰库筒仓物料储存情况见下表。</w:t>
            </w:r>
          </w:p>
          <w:p w14:paraId="071929C7">
            <w:pPr>
              <w:widowControl w:val="0"/>
              <w:numPr>
                <w:ilvl w:val="0"/>
                <w:numId w:val="18"/>
              </w:numPr>
              <w:spacing w:line="240" w:lineRule="auto"/>
              <w:ind w:firstLineChars="0"/>
              <w:jc w:val="center"/>
              <w:rPr>
                <w:rFonts w:hint="eastAsia"/>
                <w:b/>
                <w:bCs/>
                <w:lang w:val="en-US" w:eastAsia="zh-CN"/>
              </w:rPr>
            </w:pPr>
            <w:r>
              <w:rPr>
                <w:rFonts w:hint="eastAsia"/>
                <w:b/>
                <w:bCs/>
                <w:lang w:val="en-US" w:eastAsia="zh-CN"/>
              </w:rPr>
              <w:t>灰库筒仓设置情况和储存物料一览表</w:t>
            </w:r>
          </w:p>
          <w:tbl>
            <w:tblPr>
              <w:tblStyle w:val="32"/>
              <w:tblW w:w="0" w:type="auto"/>
              <w:tblInd w:w="-2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54"/>
              <w:gridCol w:w="1044"/>
              <w:gridCol w:w="702"/>
              <w:gridCol w:w="858"/>
              <w:gridCol w:w="992"/>
              <w:gridCol w:w="1031"/>
              <w:gridCol w:w="1031"/>
              <w:gridCol w:w="1689"/>
            </w:tblGrid>
            <w:tr w14:paraId="60240D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tcBorders>
                    <w:tl2br w:val="nil"/>
                    <w:tr2bl w:val="nil"/>
                  </w:tcBorders>
                  <w:vAlign w:val="center"/>
                </w:tcPr>
                <w:p w14:paraId="1831AE92">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bCs w:val="0"/>
                      <w:sz w:val="21"/>
                      <w:szCs w:val="21"/>
                      <w:vertAlign w:val="baseline"/>
                      <w:lang w:val="en-US" w:eastAsia="zh-CN"/>
                    </w:rPr>
                  </w:pPr>
                  <w:r>
                    <w:rPr>
                      <w:rFonts w:hint="eastAsia"/>
                      <w:b/>
                      <w:bCs w:val="0"/>
                      <w:sz w:val="21"/>
                      <w:szCs w:val="21"/>
                      <w:vertAlign w:val="baseline"/>
                      <w:lang w:val="en-US" w:eastAsia="zh-CN"/>
                    </w:rPr>
                    <w:t>灰库编号</w:t>
                  </w:r>
                </w:p>
              </w:tc>
              <w:tc>
                <w:tcPr>
                  <w:tcW w:w="1044" w:type="dxa"/>
                  <w:tcBorders>
                    <w:tl2br w:val="nil"/>
                    <w:tr2bl w:val="nil"/>
                  </w:tcBorders>
                  <w:vAlign w:val="center"/>
                </w:tcPr>
                <w:p w14:paraId="5880C63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bCs w:val="0"/>
                      <w:sz w:val="21"/>
                      <w:szCs w:val="21"/>
                      <w:vertAlign w:val="baseline"/>
                      <w:lang w:val="en-US" w:eastAsia="zh-CN"/>
                    </w:rPr>
                  </w:pPr>
                  <w:r>
                    <w:rPr>
                      <w:rFonts w:hint="eastAsia"/>
                      <w:b/>
                      <w:bCs w:val="0"/>
                      <w:sz w:val="21"/>
                      <w:szCs w:val="21"/>
                      <w:vertAlign w:val="baseline"/>
                      <w:lang w:val="en-US" w:eastAsia="zh-CN"/>
                    </w:rPr>
                    <w:t>筒仓编号</w:t>
                  </w:r>
                </w:p>
              </w:tc>
              <w:tc>
                <w:tcPr>
                  <w:tcW w:w="702" w:type="dxa"/>
                  <w:tcBorders>
                    <w:tl2br w:val="nil"/>
                    <w:tr2bl w:val="nil"/>
                  </w:tcBorders>
                  <w:vAlign w:val="center"/>
                </w:tcPr>
                <w:p w14:paraId="54F1721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bCs w:val="0"/>
                      <w:sz w:val="21"/>
                      <w:szCs w:val="21"/>
                      <w:vertAlign w:val="baseline"/>
                      <w:lang w:val="en-US" w:eastAsia="zh-CN"/>
                    </w:rPr>
                  </w:pPr>
                  <w:r>
                    <w:rPr>
                      <w:rFonts w:hint="eastAsia"/>
                      <w:b/>
                      <w:bCs w:val="0"/>
                      <w:sz w:val="21"/>
                      <w:szCs w:val="21"/>
                      <w:vertAlign w:val="baseline"/>
                      <w:lang w:val="en-US" w:eastAsia="zh-CN"/>
                    </w:rPr>
                    <w:t>容积m</w:t>
                  </w:r>
                  <w:r>
                    <w:rPr>
                      <w:rFonts w:hint="eastAsia"/>
                      <w:b/>
                      <w:bCs w:val="0"/>
                      <w:sz w:val="21"/>
                      <w:szCs w:val="21"/>
                      <w:vertAlign w:val="superscript"/>
                      <w:lang w:val="en-US" w:eastAsia="zh-CN"/>
                    </w:rPr>
                    <w:t>3</w:t>
                  </w:r>
                </w:p>
              </w:tc>
              <w:tc>
                <w:tcPr>
                  <w:tcW w:w="858" w:type="dxa"/>
                  <w:tcBorders>
                    <w:tl2br w:val="nil"/>
                    <w:tr2bl w:val="nil"/>
                  </w:tcBorders>
                  <w:vAlign w:val="center"/>
                </w:tcPr>
                <w:p w14:paraId="1C1831EE">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bCs w:val="0"/>
                      <w:sz w:val="21"/>
                      <w:szCs w:val="21"/>
                      <w:vertAlign w:val="baseline"/>
                      <w:lang w:val="en-US" w:eastAsia="zh-CN"/>
                    </w:rPr>
                  </w:pPr>
                  <w:r>
                    <w:rPr>
                      <w:rFonts w:hint="eastAsia"/>
                      <w:b/>
                      <w:bCs w:val="0"/>
                      <w:sz w:val="21"/>
                      <w:szCs w:val="21"/>
                      <w:vertAlign w:val="baseline"/>
                      <w:lang w:val="en-US" w:eastAsia="zh-CN"/>
                    </w:rPr>
                    <w:t>高度m</w:t>
                  </w:r>
                </w:p>
              </w:tc>
              <w:tc>
                <w:tcPr>
                  <w:tcW w:w="992" w:type="dxa"/>
                  <w:tcBorders>
                    <w:tl2br w:val="nil"/>
                    <w:tr2bl w:val="nil"/>
                  </w:tcBorders>
                  <w:vAlign w:val="center"/>
                </w:tcPr>
                <w:p w14:paraId="11895BBF">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bCs w:val="0"/>
                      <w:sz w:val="21"/>
                      <w:szCs w:val="21"/>
                      <w:vertAlign w:val="baseline"/>
                      <w:lang w:val="en-US" w:eastAsia="zh-CN"/>
                    </w:rPr>
                  </w:pPr>
                  <w:r>
                    <w:rPr>
                      <w:rFonts w:hint="eastAsia"/>
                      <w:b/>
                      <w:bCs w:val="0"/>
                      <w:sz w:val="21"/>
                      <w:szCs w:val="21"/>
                      <w:vertAlign w:val="baseline"/>
                      <w:lang w:val="en-US" w:eastAsia="zh-CN"/>
                    </w:rPr>
                    <w:t>物料最大储存量t</w:t>
                  </w:r>
                </w:p>
              </w:tc>
              <w:tc>
                <w:tcPr>
                  <w:tcW w:w="1031" w:type="dxa"/>
                  <w:tcBorders>
                    <w:tl2br w:val="nil"/>
                    <w:tr2bl w:val="nil"/>
                  </w:tcBorders>
                  <w:vAlign w:val="center"/>
                </w:tcPr>
                <w:p w14:paraId="5505E01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bCs w:val="0"/>
                      <w:sz w:val="21"/>
                      <w:szCs w:val="21"/>
                      <w:vertAlign w:val="baseline"/>
                      <w:lang w:val="en-US" w:eastAsia="zh-CN"/>
                    </w:rPr>
                  </w:pPr>
                  <w:r>
                    <w:rPr>
                      <w:rFonts w:hint="eastAsia"/>
                      <w:b/>
                      <w:bCs w:val="0"/>
                      <w:sz w:val="21"/>
                      <w:szCs w:val="21"/>
                      <w:vertAlign w:val="baseline"/>
                      <w:lang w:val="en-US" w:eastAsia="zh-CN"/>
                    </w:rPr>
                    <w:t>年储存量t</w:t>
                  </w:r>
                </w:p>
              </w:tc>
              <w:tc>
                <w:tcPr>
                  <w:tcW w:w="1031" w:type="dxa"/>
                  <w:tcBorders>
                    <w:tl2br w:val="nil"/>
                    <w:tr2bl w:val="nil"/>
                  </w:tcBorders>
                  <w:vAlign w:val="center"/>
                </w:tcPr>
                <w:p w14:paraId="2FF85FF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bCs w:val="0"/>
                      <w:sz w:val="21"/>
                      <w:szCs w:val="21"/>
                      <w:vertAlign w:val="baseline"/>
                      <w:lang w:val="en-US" w:eastAsia="zh-CN"/>
                    </w:rPr>
                  </w:pPr>
                  <w:r>
                    <w:rPr>
                      <w:rFonts w:hint="eastAsia"/>
                      <w:b/>
                      <w:bCs w:val="0"/>
                      <w:sz w:val="21"/>
                      <w:szCs w:val="21"/>
                      <w:vertAlign w:val="baseline"/>
                      <w:lang w:val="en-US" w:eastAsia="zh-CN"/>
                    </w:rPr>
                    <w:t>年周转次数/（次）</w:t>
                  </w:r>
                </w:p>
              </w:tc>
              <w:tc>
                <w:tcPr>
                  <w:tcW w:w="1689" w:type="dxa"/>
                  <w:tcBorders>
                    <w:tl2br w:val="nil"/>
                    <w:tr2bl w:val="nil"/>
                  </w:tcBorders>
                  <w:vAlign w:val="center"/>
                </w:tcPr>
                <w:p w14:paraId="13AD159F">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bCs w:val="0"/>
                      <w:sz w:val="21"/>
                      <w:szCs w:val="21"/>
                      <w:vertAlign w:val="baseline"/>
                      <w:lang w:val="en-US" w:eastAsia="zh-CN"/>
                    </w:rPr>
                  </w:pPr>
                  <w:r>
                    <w:rPr>
                      <w:rFonts w:hint="eastAsia"/>
                      <w:b/>
                      <w:bCs w:val="0"/>
                      <w:sz w:val="21"/>
                      <w:szCs w:val="21"/>
                      <w:vertAlign w:val="baseline"/>
                      <w:lang w:val="en-US" w:eastAsia="zh-CN"/>
                    </w:rPr>
                    <w:t>备注</w:t>
                  </w:r>
                </w:p>
              </w:tc>
            </w:tr>
            <w:tr w14:paraId="1E6E3A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restart"/>
                  <w:tcBorders>
                    <w:tl2br w:val="nil"/>
                    <w:tr2bl w:val="nil"/>
                  </w:tcBorders>
                  <w:vAlign w:val="center"/>
                </w:tcPr>
                <w:p w14:paraId="4829A382">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一期灰库</w:t>
                  </w:r>
                </w:p>
              </w:tc>
              <w:tc>
                <w:tcPr>
                  <w:tcW w:w="1044" w:type="dxa"/>
                  <w:tcBorders>
                    <w:tl2br w:val="nil"/>
                    <w:tr2bl w:val="nil"/>
                  </w:tcBorders>
                  <w:vAlign w:val="center"/>
                </w:tcPr>
                <w:p w14:paraId="746569CB">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w:t>
                  </w:r>
                </w:p>
              </w:tc>
              <w:tc>
                <w:tcPr>
                  <w:tcW w:w="702" w:type="dxa"/>
                  <w:tcBorders>
                    <w:tl2br w:val="nil"/>
                    <w:tr2bl w:val="nil"/>
                  </w:tcBorders>
                  <w:vAlign w:val="center"/>
                </w:tcPr>
                <w:p w14:paraId="07F51E90">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3000</w:t>
                  </w:r>
                </w:p>
              </w:tc>
              <w:tc>
                <w:tcPr>
                  <w:tcW w:w="858" w:type="dxa"/>
                  <w:tcBorders>
                    <w:tl2br w:val="nil"/>
                    <w:tr2bl w:val="nil"/>
                  </w:tcBorders>
                  <w:vAlign w:val="center"/>
                </w:tcPr>
                <w:p w14:paraId="095C691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28</w:t>
                  </w:r>
                </w:p>
              </w:tc>
              <w:tc>
                <w:tcPr>
                  <w:tcW w:w="992" w:type="dxa"/>
                  <w:tcBorders>
                    <w:tl2br w:val="nil"/>
                    <w:tr2bl w:val="nil"/>
                  </w:tcBorders>
                  <w:vAlign w:val="center"/>
                </w:tcPr>
                <w:p w14:paraId="6114F34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1875</w:t>
                  </w:r>
                </w:p>
              </w:tc>
              <w:tc>
                <w:tcPr>
                  <w:tcW w:w="1031" w:type="dxa"/>
                  <w:tcBorders>
                    <w:tl2br w:val="nil"/>
                    <w:tr2bl w:val="nil"/>
                  </w:tcBorders>
                  <w:vAlign w:val="center"/>
                </w:tcPr>
                <w:p w14:paraId="34AA97DB">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150000</w:t>
                  </w:r>
                </w:p>
              </w:tc>
              <w:tc>
                <w:tcPr>
                  <w:tcW w:w="1031" w:type="dxa"/>
                  <w:tcBorders>
                    <w:tl2br w:val="nil"/>
                    <w:tr2bl w:val="nil"/>
                  </w:tcBorders>
                  <w:vAlign w:val="center"/>
                </w:tcPr>
                <w:p w14:paraId="2403E40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80</w:t>
                  </w:r>
                </w:p>
              </w:tc>
              <w:tc>
                <w:tcPr>
                  <w:tcW w:w="1689" w:type="dxa"/>
                  <w:tcBorders>
                    <w:tl2br w:val="nil"/>
                    <w:tr2bl w:val="nil"/>
                  </w:tcBorders>
                  <w:vAlign w:val="center"/>
                </w:tcPr>
                <w:p w14:paraId="18CB4F7E">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仓顶设置脉冲布袋除尘器，风量8100m</w:t>
                  </w:r>
                  <w:r>
                    <w:rPr>
                      <w:rFonts w:hint="eastAsia"/>
                      <w:b w:val="0"/>
                      <w:bCs/>
                      <w:sz w:val="21"/>
                      <w:szCs w:val="21"/>
                      <w:vertAlign w:val="superscript"/>
                      <w:lang w:val="en-US" w:eastAsia="zh-CN"/>
                    </w:rPr>
                    <w:t>3</w:t>
                  </w:r>
                  <w:r>
                    <w:rPr>
                      <w:rFonts w:hint="eastAsia"/>
                      <w:b w:val="0"/>
                      <w:bCs/>
                      <w:sz w:val="21"/>
                      <w:szCs w:val="21"/>
                      <w:vertAlign w:val="baseline"/>
                      <w:lang w:val="en-US" w:eastAsia="zh-CN"/>
                    </w:rPr>
                    <w:t>/h</w:t>
                  </w:r>
                </w:p>
              </w:tc>
            </w:tr>
            <w:tr w14:paraId="26749A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continue"/>
                  <w:tcBorders>
                    <w:tl2br w:val="nil"/>
                    <w:tr2bl w:val="nil"/>
                  </w:tcBorders>
                  <w:vAlign w:val="center"/>
                </w:tcPr>
                <w:p w14:paraId="0E37D70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44" w:type="dxa"/>
                  <w:tcBorders>
                    <w:tl2br w:val="nil"/>
                    <w:tr2bl w:val="nil"/>
                  </w:tcBorders>
                  <w:vAlign w:val="center"/>
                </w:tcPr>
                <w:p w14:paraId="66DE5E3B">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w:t>
                  </w:r>
                </w:p>
              </w:tc>
              <w:tc>
                <w:tcPr>
                  <w:tcW w:w="702" w:type="dxa"/>
                  <w:tcBorders>
                    <w:tl2br w:val="nil"/>
                    <w:tr2bl w:val="nil"/>
                  </w:tcBorders>
                  <w:vAlign w:val="center"/>
                </w:tcPr>
                <w:p w14:paraId="4DC4E19D">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1000</w:t>
                  </w:r>
                </w:p>
              </w:tc>
              <w:tc>
                <w:tcPr>
                  <w:tcW w:w="858" w:type="dxa"/>
                  <w:tcBorders>
                    <w:tl2br w:val="nil"/>
                    <w:tr2bl w:val="nil"/>
                  </w:tcBorders>
                  <w:vAlign w:val="center"/>
                </w:tcPr>
                <w:p w14:paraId="44D0AF3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28</w:t>
                  </w:r>
                </w:p>
              </w:tc>
              <w:tc>
                <w:tcPr>
                  <w:tcW w:w="992" w:type="dxa"/>
                  <w:tcBorders>
                    <w:tl2br w:val="nil"/>
                    <w:tr2bl w:val="nil"/>
                  </w:tcBorders>
                  <w:vAlign w:val="center"/>
                </w:tcPr>
                <w:p w14:paraId="428D94B9">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625</w:t>
                  </w:r>
                </w:p>
              </w:tc>
              <w:tc>
                <w:tcPr>
                  <w:tcW w:w="1031" w:type="dxa"/>
                  <w:tcBorders>
                    <w:tl2br w:val="nil"/>
                    <w:tr2bl w:val="nil"/>
                  </w:tcBorders>
                  <w:vAlign w:val="center"/>
                </w:tcPr>
                <w:p w14:paraId="0F2399AF">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55000</w:t>
                  </w:r>
                </w:p>
              </w:tc>
              <w:tc>
                <w:tcPr>
                  <w:tcW w:w="1031" w:type="dxa"/>
                  <w:tcBorders>
                    <w:tl2br w:val="nil"/>
                    <w:tr2bl w:val="nil"/>
                  </w:tcBorders>
                  <w:vAlign w:val="center"/>
                </w:tcPr>
                <w:p w14:paraId="1DE8CBE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88</w:t>
                  </w:r>
                </w:p>
              </w:tc>
              <w:tc>
                <w:tcPr>
                  <w:tcW w:w="1689" w:type="dxa"/>
                  <w:vMerge w:val="restart"/>
                  <w:tcBorders>
                    <w:tl2br w:val="nil"/>
                    <w:tr2bl w:val="nil"/>
                  </w:tcBorders>
                  <w:vAlign w:val="center"/>
                </w:tcPr>
                <w:p w14:paraId="2B8FEDCB">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四个筒仓设置共用脉冲布袋除尘器1台，风量8100m</w:t>
                  </w:r>
                  <w:r>
                    <w:rPr>
                      <w:rFonts w:hint="eastAsia"/>
                      <w:b w:val="0"/>
                      <w:bCs/>
                      <w:sz w:val="21"/>
                      <w:szCs w:val="21"/>
                      <w:vertAlign w:val="superscript"/>
                      <w:lang w:val="en-US" w:eastAsia="zh-CN"/>
                    </w:rPr>
                    <w:t>3</w:t>
                  </w:r>
                  <w:r>
                    <w:rPr>
                      <w:rFonts w:hint="eastAsia"/>
                      <w:b w:val="0"/>
                      <w:bCs/>
                      <w:sz w:val="21"/>
                      <w:szCs w:val="21"/>
                      <w:vertAlign w:val="baseline"/>
                      <w:lang w:val="en-US" w:eastAsia="zh-CN"/>
                    </w:rPr>
                    <w:t>/h其中5#备用筒仓</w:t>
                  </w:r>
                </w:p>
              </w:tc>
            </w:tr>
            <w:tr w14:paraId="1DCC20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continue"/>
                  <w:tcBorders>
                    <w:tl2br w:val="nil"/>
                    <w:tr2bl w:val="nil"/>
                  </w:tcBorders>
                  <w:vAlign w:val="center"/>
                </w:tcPr>
                <w:p w14:paraId="35AB296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44" w:type="dxa"/>
                  <w:tcBorders>
                    <w:tl2br w:val="nil"/>
                    <w:tr2bl w:val="nil"/>
                  </w:tcBorders>
                  <w:vAlign w:val="center"/>
                </w:tcPr>
                <w:p w14:paraId="5887B67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3#</w:t>
                  </w:r>
                </w:p>
              </w:tc>
              <w:tc>
                <w:tcPr>
                  <w:tcW w:w="702" w:type="dxa"/>
                  <w:tcBorders>
                    <w:tl2br w:val="nil"/>
                    <w:tr2bl w:val="nil"/>
                  </w:tcBorders>
                  <w:vAlign w:val="center"/>
                </w:tcPr>
                <w:p w14:paraId="61B58EC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1000</w:t>
                  </w:r>
                </w:p>
              </w:tc>
              <w:tc>
                <w:tcPr>
                  <w:tcW w:w="858" w:type="dxa"/>
                  <w:tcBorders>
                    <w:tl2br w:val="nil"/>
                    <w:tr2bl w:val="nil"/>
                  </w:tcBorders>
                  <w:vAlign w:val="center"/>
                </w:tcPr>
                <w:p w14:paraId="1881413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28</w:t>
                  </w:r>
                </w:p>
              </w:tc>
              <w:tc>
                <w:tcPr>
                  <w:tcW w:w="992" w:type="dxa"/>
                  <w:tcBorders>
                    <w:tl2br w:val="nil"/>
                    <w:tr2bl w:val="nil"/>
                  </w:tcBorders>
                  <w:vAlign w:val="center"/>
                </w:tcPr>
                <w:p w14:paraId="38490BA0">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625</w:t>
                  </w:r>
                </w:p>
              </w:tc>
              <w:tc>
                <w:tcPr>
                  <w:tcW w:w="1031" w:type="dxa"/>
                  <w:tcBorders>
                    <w:tl2br w:val="nil"/>
                    <w:tr2bl w:val="nil"/>
                  </w:tcBorders>
                  <w:vAlign w:val="center"/>
                </w:tcPr>
                <w:p w14:paraId="1EB0B1C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55000</w:t>
                  </w:r>
                </w:p>
              </w:tc>
              <w:tc>
                <w:tcPr>
                  <w:tcW w:w="1031" w:type="dxa"/>
                  <w:tcBorders>
                    <w:tl2br w:val="nil"/>
                    <w:tr2bl w:val="nil"/>
                  </w:tcBorders>
                  <w:vAlign w:val="center"/>
                </w:tcPr>
                <w:p w14:paraId="4F1B7E1C">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88</w:t>
                  </w:r>
                </w:p>
              </w:tc>
              <w:tc>
                <w:tcPr>
                  <w:tcW w:w="1689" w:type="dxa"/>
                  <w:vMerge w:val="continue"/>
                  <w:tcBorders>
                    <w:tl2br w:val="nil"/>
                    <w:tr2bl w:val="nil"/>
                  </w:tcBorders>
                  <w:vAlign w:val="center"/>
                </w:tcPr>
                <w:p w14:paraId="2FEF9E1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r>
            <w:tr w14:paraId="1C00BD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continue"/>
                  <w:tcBorders>
                    <w:tl2br w:val="nil"/>
                    <w:tr2bl w:val="nil"/>
                  </w:tcBorders>
                  <w:vAlign w:val="center"/>
                </w:tcPr>
                <w:p w14:paraId="644D1D9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4</w:t>
                  </w:r>
                </w:p>
              </w:tc>
              <w:tc>
                <w:tcPr>
                  <w:tcW w:w="1044" w:type="dxa"/>
                  <w:tcBorders>
                    <w:tl2br w:val="nil"/>
                    <w:tr2bl w:val="nil"/>
                  </w:tcBorders>
                  <w:vAlign w:val="center"/>
                </w:tcPr>
                <w:p w14:paraId="065ED50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4#</w:t>
                  </w:r>
                </w:p>
              </w:tc>
              <w:tc>
                <w:tcPr>
                  <w:tcW w:w="702" w:type="dxa"/>
                  <w:tcBorders>
                    <w:tl2br w:val="nil"/>
                    <w:tr2bl w:val="nil"/>
                  </w:tcBorders>
                  <w:vAlign w:val="center"/>
                </w:tcPr>
                <w:p w14:paraId="0BE25870">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800</w:t>
                  </w:r>
                </w:p>
              </w:tc>
              <w:tc>
                <w:tcPr>
                  <w:tcW w:w="858" w:type="dxa"/>
                  <w:tcBorders>
                    <w:tl2br w:val="nil"/>
                    <w:tr2bl w:val="nil"/>
                  </w:tcBorders>
                  <w:vAlign w:val="center"/>
                </w:tcPr>
                <w:p w14:paraId="7DC5E99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28</w:t>
                  </w:r>
                </w:p>
              </w:tc>
              <w:tc>
                <w:tcPr>
                  <w:tcW w:w="992" w:type="dxa"/>
                  <w:tcBorders>
                    <w:tl2br w:val="nil"/>
                    <w:tr2bl w:val="nil"/>
                  </w:tcBorders>
                  <w:vAlign w:val="center"/>
                </w:tcPr>
                <w:p w14:paraId="6BE72AC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500</w:t>
                  </w:r>
                </w:p>
              </w:tc>
              <w:tc>
                <w:tcPr>
                  <w:tcW w:w="1031" w:type="dxa"/>
                  <w:tcBorders>
                    <w:tl2br w:val="nil"/>
                    <w:tr2bl w:val="nil"/>
                  </w:tcBorders>
                  <w:vAlign w:val="center"/>
                </w:tcPr>
                <w:p w14:paraId="18A665F1">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40000</w:t>
                  </w:r>
                </w:p>
              </w:tc>
              <w:tc>
                <w:tcPr>
                  <w:tcW w:w="1031" w:type="dxa"/>
                  <w:tcBorders>
                    <w:tl2br w:val="nil"/>
                    <w:tr2bl w:val="nil"/>
                  </w:tcBorders>
                  <w:vAlign w:val="center"/>
                </w:tcPr>
                <w:p w14:paraId="6AB2E92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80</w:t>
                  </w:r>
                </w:p>
              </w:tc>
              <w:tc>
                <w:tcPr>
                  <w:tcW w:w="1689" w:type="dxa"/>
                  <w:vMerge w:val="continue"/>
                  <w:tcBorders>
                    <w:tl2br w:val="nil"/>
                    <w:tr2bl w:val="nil"/>
                  </w:tcBorders>
                  <w:vAlign w:val="center"/>
                </w:tcPr>
                <w:p w14:paraId="1C21B57C">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r>
            <w:tr w14:paraId="6A6972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continue"/>
                  <w:tcBorders>
                    <w:tl2br w:val="nil"/>
                    <w:tr2bl w:val="nil"/>
                  </w:tcBorders>
                  <w:vAlign w:val="center"/>
                </w:tcPr>
                <w:p w14:paraId="5CA9ED1D">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44" w:type="dxa"/>
                  <w:tcBorders>
                    <w:tl2br w:val="nil"/>
                    <w:tr2bl w:val="nil"/>
                  </w:tcBorders>
                  <w:vAlign w:val="center"/>
                </w:tcPr>
                <w:p w14:paraId="181A77C1">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5#</w:t>
                  </w:r>
                </w:p>
              </w:tc>
              <w:tc>
                <w:tcPr>
                  <w:tcW w:w="702" w:type="dxa"/>
                  <w:tcBorders>
                    <w:tl2br w:val="nil"/>
                    <w:tr2bl w:val="nil"/>
                  </w:tcBorders>
                  <w:vAlign w:val="center"/>
                </w:tcPr>
                <w:p w14:paraId="130059E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300</w:t>
                  </w:r>
                </w:p>
              </w:tc>
              <w:tc>
                <w:tcPr>
                  <w:tcW w:w="858" w:type="dxa"/>
                  <w:tcBorders>
                    <w:tl2br w:val="nil"/>
                    <w:tr2bl w:val="nil"/>
                  </w:tcBorders>
                  <w:vAlign w:val="center"/>
                </w:tcPr>
                <w:p w14:paraId="5E990DB9">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14</w:t>
                  </w:r>
                </w:p>
              </w:tc>
              <w:tc>
                <w:tcPr>
                  <w:tcW w:w="992" w:type="dxa"/>
                  <w:tcBorders>
                    <w:tl2br w:val="nil"/>
                    <w:tr2bl w:val="nil"/>
                  </w:tcBorders>
                  <w:vAlign w:val="center"/>
                </w:tcPr>
                <w:p w14:paraId="4677E3F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187.5</w:t>
                  </w:r>
                </w:p>
              </w:tc>
              <w:tc>
                <w:tcPr>
                  <w:tcW w:w="1031" w:type="dxa"/>
                  <w:tcBorders>
                    <w:tl2br w:val="nil"/>
                    <w:tr2bl w:val="nil"/>
                  </w:tcBorders>
                  <w:vAlign w:val="center"/>
                </w:tcPr>
                <w:p w14:paraId="1BD6E46C">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w:t>
                  </w:r>
                </w:p>
              </w:tc>
              <w:tc>
                <w:tcPr>
                  <w:tcW w:w="1031" w:type="dxa"/>
                  <w:tcBorders>
                    <w:tl2br w:val="nil"/>
                    <w:tr2bl w:val="nil"/>
                  </w:tcBorders>
                  <w:vAlign w:val="center"/>
                </w:tcPr>
                <w:p w14:paraId="6BF2FD1E">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w:t>
                  </w:r>
                </w:p>
              </w:tc>
              <w:tc>
                <w:tcPr>
                  <w:tcW w:w="1689" w:type="dxa"/>
                  <w:vMerge w:val="continue"/>
                  <w:tcBorders>
                    <w:tl2br w:val="nil"/>
                    <w:tr2bl w:val="nil"/>
                  </w:tcBorders>
                  <w:vAlign w:val="center"/>
                </w:tcPr>
                <w:p w14:paraId="0100D660">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r>
            <w:tr w14:paraId="3882D2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954" w:type="dxa"/>
                  <w:vMerge w:val="restart"/>
                  <w:tcBorders>
                    <w:tl2br w:val="nil"/>
                    <w:tr2bl w:val="nil"/>
                  </w:tcBorders>
                  <w:vAlign w:val="center"/>
                </w:tcPr>
                <w:p w14:paraId="1E34CD9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二期灰库</w:t>
                  </w:r>
                </w:p>
              </w:tc>
              <w:tc>
                <w:tcPr>
                  <w:tcW w:w="1044" w:type="dxa"/>
                  <w:tcBorders>
                    <w:tl2br w:val="nil"/>
                    <w:tr2bl w:val="nil"/>
                  </w:tcBorders>
                  <w:vAlign w:val="center"/>
                </w:tcPr>
                <w:p w14:paraId="3B1A893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6#</w:t>
                  </w:r>
                </w:p>
              </w:tc>
              <w:tc>
                <w:tcPr>
                  <w:tcW w:w="702" w:type="dxa"/>
                  <w:tcBorders>
                    <w:tl2br w:val="nil"/>
                    <w:tr2bl w:val="nil"/>
                  </w:tcBorders>
                  <w:vAlign w:val="center"/>
                </w:tcPr>
                <w:p w14:paraId="145081B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1000</w:t>
                  </w:r>
                </w:p>
              </w:tc>
              <w:tc>
                <w:tcPr>
                  <w:tcW w:w="858" w:type="dxa"/>
                  <w:tcBorders>
                    <w:tl2br w:val="nil"/>
                    <w:tr2bl w:val="nil"/>
                  </w:tcBorders>
                  <w:vAlign w:val="center"/>
                </w:tcPr>
                <w:p w14:paraId="22B63A6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24</w:t>
                  </w:r>
                </w:p>
              </w:tc>
              <w:tc>
                <w:tcPr>
                  <w:tcW w:w="992" w:type="dxa"/>
                  <w:tcBorders>
                    <w:tl2br w:val="nil"/>
                    <w:tr2bl w:val="nil"/>
                  </w:tcBorders>
                  <w:vAlign w:val="center"/>
                </w:tcPr>
                <w:p w14:paraId="32A7C5C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625</w:t>
                  </w:r>
                </w:p>
              </w:tc>
              <w:tc>
                <w:tcPr>
                  <w:tcW w:w="1031" w:type="dxa"/>
                  <w:tcBorders>
                    <w:tl2br w:val="nil"/>
                    <w:tr2bl w:val="nil"/>
                  </w:tcBorders>
                  <w:vAlign w:val="center"/>
                </w:tcPr>
                <w:p w14:paraId="3A3E34D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50000</w:t>
                  </w:r>
                </w:p>
              </w:tc>
              <w:tc>
                <w:tcPr>
                  <w:tcW w:w="1031" w:type="dxa"/>
                  <w:tcBorders>
                    <w:tl2br w:val="nil"/>
                    <w:tr2bl w:val="nil"/>
                  </w:tcBorders>
                  <w:vAlign w:val="center"/>
                </w:tcPr>
                <w:p w14:paraId="266CAA8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80</w:t>
                  </w:r>
                </w:p>
              </w:tc>
              <w:tc>
                <w:tcPr>
                  <w:tcW w:w="1689" w:type="dxa"/>
                  <w:vMerge w:val="restart"/>
                  <w:tcBorders>
                    <w:tl2br w:val="nil"/>
                    <w:tr2bl w:val="nil"/>
                  </w:tcBorders>
                  <w:vAlign w:val="center"/>
                </w:tcPr>
                <w:p w14:paraId="40FD4F49">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三个筒仓共用1台侧抽模块化除尘器，风量10800m</w:t>
                  </w:r>
                  <w:r>
                    <w:rPr>
                      <w:rFonts w:hint="eastAsia"/>
                      <w:b w:val="0"/>
                      <w:bCs/>
                      <w:sz w:val="21"/>
                      <w:szCs w:val="21"/>
                      <w:vertAlign w:val="superscript"/>
                      <w:lang w:val="en-US" w:eastAsia="zh-CN"/>
                    </w:rPr>
                    <w:t>3</w:t>
                  </w:r>
                  <w:r>
                    <w:rPr>
                      <w:rFonts w:hint="eastAsia"/>
                      <w:b w:val="0"/>
                      <w:bCs/>
                      <w:sz w:val="21"/>
                      <w:szCs w:val="21"/>
                      <w:vertAlign w:val="baseline"/>
                      <w:lang w:val="en-US" w:eastAsia="zh-CN"/>
                    </w:rPr>
                    <w:t>/h</w:t>
                  </w:r>
                </w:p>
              </w:tc>
            </w:tr>
            <w:tr w14:paraId="416B28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continue"/>
                  <w:tcBorders>
                    <w:tl2br w:val="nil"/>
                    <w:tr2bl w:val="nil"/>
                  </w:tcBorders>
                  <w:vAlign w:val="center"/>
                </w:tcPr>
                <w:p w14:paraId="7CDEB90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44" w:type="dxa"/>
                  <w:tcBorders>
                    <w:tl2br w:val="nil"/>
                    <w:tr2bl w:val="nil"/>
                  </w:tcBorders>
                  <w:vAlign w:val="center"/>
                </w:tcPr>
                <w:p w14:paraId="3450F92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7#</w:t>
                  </w:r>
                </w:p>
              </w:tc>
              <w:tc>
                <w:tcPr>
                  <w:tcW w:w="702" w:type="dxa"/>
                  <w:tcBorders>
                    <w:tl2br w:val="nil"/>
                    <w:tr2bl w:val="nil"/>
                  </w:tcBorders>
                  <w:vAlign w:val="center"/>
                </w:tcPr>
                <w:p w14:paraId="6752C23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1000</w:t>
                  </w:r>
                </w:p>
              </w:tc>
              <w:tc>
                <w:tcPr>
                  <w:tcW w:w="858" w:type="dxa"/>
                  <w:tcBorders>
                    <w:tl2br w:val="nil"/>
                    <w:tr2bl w:val="nil"/>
                  </w:tcBorders>
                  <w:vAlign w:val="center"/>
                </w:tcPr>
                <w:p w14:paraId="612CD30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24</w:t>
                  </w:r>
                </w:p>
              </w:tc>
              <w:tc>
                <w:tcPr>
                  <w:tcW w:w="992" w:type="dxa"/>
                  <w:tcBorders>
                    <w:tl2br w:val="nil"/>
                    <w:tr2bl w:val="nil"/>
                  </w:tcBorders>
                  <w:vAlign w:val="center"/>
                </w:tcPr>
                <w:p w14:paraId="6AA5E732">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625</w:t>
                  </w:r>
                </w:p>
              </w:tc>
              <w:tc>
                <w:tcPr>
                  <w:tcW w:w="1031" w:type="dxa"/>
                  <w:tcBorders>
                    <w:tl2br w:val="nil"/>
                    <w:tr2bl w:val="nil"/>
                  </w:tcBorders>
                  <w:vAlign w:val="center"/>
                </w:tcPr>
                <w:p w14:paraId="1DA9494D">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50000</w:t>
                  </w:r>
                </w:p>
              </w:tc>
              <w:tc>
                <w:tcPr>
                  <w:tcW w:w="1031" w:type="dxa"/>
                  <w:tcBorders>
                    <w:tl2br w:val="nil"/>
                    <w:tr2bl w:val="nil"/>
                  </w:tcBorders>
                  <w:vAlign w:val="center"/>
                </w:tcPr>
                <w:p w14:paraId="00A68A12">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80</w:t>
                  </w:r>
                </w:p>
              </w:tc>
              <w:tc>
                <w:tcPr>
                  <w:tcW w:w="1689" w:type="dxa"/>
                  <w:vMerge w:val="continue"/>
                  <w:tcBorders>
                    <w:tl2br w:val="nil"/>
                    <w:tr2bl w:val="nil"/>
                  </w:tcBorders>
                  <w:vAlign w:val="center"/>
                </w:tcPr>
                <w:p w14:paraId="18D5096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r>
            <w:tr w14:paraId="30DAD9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continue"/>
                  <w:tcBorders>
                    <w:tl2br w:val="nil"/>
                    <w:tr2bl w:val="nil"/>
                  </w:tcBorders>
                  <w:vAlign w:val="center"/>
                </w:tcPr>
                <w:p w14:paraId="49BC35F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44" w:type="dxa"/>
                  <w:tcBorders>
                    <w:tl2br w:val="nil"/>
                    <w:tr2bl w:val="nil"/>
                  </w:tcBorders>
                  <w:vAlign w:val="center"/>
                </w:tcPr>
                <w:p w14:paraId="59F6533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8#</w:t>
                  </w:r>
                </w:p>
              </w:tc>
              <w:tc>
                <w:tcPr>
                  <w:tcW w:w="702" w:type="dxa"/>
                  <w:tcBorders>
                    <w:tl2br w:val="nil"/>
                    <w:tr2bl w:val="nil"/>
                  </w:tcBorders>
                  <w:vAlign w:val="center"/>
                </w:tcPr>
                <w:p w14:paraId="500A060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1000</w:t>
                  </w:r>
                </w:p>
              </w:tc>
              <w:tc>
                <w:tcPr>
                  <w:tcW w:w="858" w:type="dxa"/>
                  <w:tcBorders>
                    <w:tl2br w:val="nil"/>
                    <w:tr2bl w:val="nil"/>
                  </w:tcBorders>
                  <w:vAlign w:val="center"/>
                </w:tcPr>
                <w:p w14:paraId="01E899A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24</w:t>
                  </w:r>
                </w:p>
              </w:tc>
              <w:tc>
                <w:tcPr>
                  <w:tcW w:w="992" w:type="dxa"/>
                  <w:tcBorders>
                    <w:tl2br w:val="nil"/>
                    <w:tr2bl w:val="nil"/>
                  </w:tcBorders>
                  <w:vAlign w:val="center"/>
                </w:tcPr>
                <w:p w14:paraId="31D562F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625</w:t>
                  </w:r>
                </w:p>
              </w:tc>
              <w:tc>
                <w:tcPr>
                  <w:tcW w:w="1031" w:type="dxa"/>
                  <w:tcBorders>
                    <w:tl2br w:val="nil"/>
                    <w:tr2bl w:val="nil"/>
                  </w:tcBorders>
                  <w:vAlign w:val="center"/>
                </w:tcPr>
                <w:p w14:paraId="58F7907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50000</w:t>
                  </w:r>
                </w:p>
              </w:tc>
              <w:tc>
                <w:tcPr>
                  <w:tcW w:w="1031" w:type="dxa"/>
                  <w:tcBorders>
                    <w:tl2br w:val="nil"/>
                    <w:tr2bl w:val="nil"/>
                  </w:tcBorders>
                  <w:vAlign w:val="center"/>
                </w:tcPr>
                <w:p w14:paraId="274BC5E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80</w:t>
                  </w:r>
                </w:p>
              </w:tc>
              <w:tc>
                <w:tcPr>
                  <w:tcW w:w="1689" w:type="dxa"/>
                  <w:vMerge w:val="continue"/>
                  <w:tcBorders>
                    <w:tl2br w:val="nil"/>
                    <w:tr2bl w:val="nil"/>
                  </w:tcBorders>
                  <w:vAlign w:val="center"/>
                </w:tcPr>
                <w:p w14:paraId="1B449ED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r>
            <w:tr w14:paraId="512A0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continue"/>
                  <w:tcBorders>
                    <w:tl2br w:val="nil"/>
                    <w:tr2bl w:val="nil"/>
                  </w:tcBorders>
                  <w:vAlign w:val="center"/>
                </w:tcPr>
                <w:p w14:paraId="2950672F">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44" w:type="dxa"/>
                  <w:tcBorders>
                    <w:tl2br w:val="nil"/>
                    <w:tr2bl w:val="nil"/>
                  </w:tcBorders>
                  <w:vAlign w:val="center"/>
                </w:tcPr>
                <w:p w14:paraId="637DF9C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9#</w:t>
                  </w:r>
                </w:p>
              </w:tc>
              <w:tc>
                <w:tcPr>
                  <w:tcW w:w="702" w:type="dxa"/>
                  <w:tcBorders>
                    <w:tl2br w:val="nil"/>
                    <w:tr2bl w:val="nil"/>
                  </w:tcBorders>
                  <w:vAlign w:val="center"/>
                </w:tcPr>
                <w:p w14:paraId="42B3FFD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300</w:t>
                  </w:r>
                </w:p>
              </w:tc>
              <w:tc>
                <w:tcPr>
                  <w:tcW w:w="858" w:type="dxa"/>
                  <w:tcBorders>
                    <w:tl2br w:val="nil"/>
                    <w:tr2bl w:val="nil"/>
                  </w:tcBorders>
                  <w:vAlign w:val="center"/>
                </w:tcPr>
                <w:p w14:paraId="163CF48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12</w:t>
                  </w:r>
                </w:p>
              </w:tc>
              <w:tc>
                <w:tcPr>
                  <w:tcW w:w="992" w:type="dxa"/>
                  <w:tcBorders>
                    <w:tl2br w:val="nil"/>
                    <w:tr2bl w:val="nil"/>
                  </w:tcBorders>
                  <w:vAlign w:val="center"/>
                </w:tcPr>
                <w:p w14:paraId="635A7442">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187.5</w:t>
                  </w:r>
                </w:p>
              </w:tc>
              <w:tc>
                <w:tcPr>
                  <w:tcW w:w="1031" w:type="dxa"/>
                  <w:tcBorders>
                    <w:tl2br w:val="nil"/>
                    <w:tr2bl w:val="nil"/>
                  </w:tcBorders>
                  <w:vAlign w:val="center"/>
                </w:tcPr>
                <w:p w14:paraId="145724C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w:t>
                  </w:r>
                </w:p>
              </w:tc>
              <w:tc>
                <w:tcPr>
                  <w:tcW w:w="1031" w:type="dxa"/>
                  <w:tcBorders>
                    <w:tl2br w:val="nil"/>
                    <w:tr2bl w:val="nil"/>
                  </w:tcBorders>
                  <w:vAlign w:val="center"/>
                </w:tcPr>
                <w:p w14:paraId="0FC4978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w:t>
                  </w:r>
                </w:p>
              </w:tc>
              <w:tc>
                <w:tcPr>
                  <w:tcW w:w="1689" w:type="dxa"/>
                  <w:tcBorders>
                    <w:tl2br w:val="nil"/>
                    <w:tr2bl w:val="nil"/>
                  </w:tcBorders>
                  <w:vAlign w:val="center"/>
                </w:tcPr>
                <w:p w14:paraId="5D6220D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备用，仓顶设置1台侧抽模块化除尘器，风量10800m</w:t>
                  </w:r>
                  <w:r>
                    <w:rPr>
                      <w:rFonts w:hint="eastAsia"/>
                      <w:b w:val="0"/>
                      <w:bCs/>
                      <w:sz w:val="21"/>
                      <w:szCs w:val="21"/>
                      <w:vertAlign w:val="superscript"/>
                      <w:lang w:val="en-US" w:eastAsia="zh-CN"/>
                    </w:rPr>
                    <w:t>3</w:t>
                  </w:r>
                  <w:r>
                    <w:rPr>
                      <w:rFonts w:hint="eastAsia"/>
                      <w:b w:val="0"/>
                      <w:bCs/>
                      <w:sz w:val="21"/>
                      <w:szCs w:val="21"/>
                      <w:vertAlign w:val="baseline"/>
                      <w:lang w:val="en-US" w:eastAsia="zh-CN"/>
                    </w:rPr>
                    <w:t>/h</w:t>
                  </w:r>
                </w:p>
              </w:tc>
            </w:tr>
            <w:tr w14:paraId="211A2F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restart"/>
                  <w:tcBorders>
                    <w:tl2br w:val="nil"/>
                    <w:tr2bl w:val="nil"/>
                  </w:tcBorders>
                  <w:vAlign w:val="center"/>
                </w:tcPr>
                <w:p w14:paraId="220ED0B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三期灰库</w:t>
                  </w:r>
                </w:p>
              </w:tc>
              <w:tc>
                <w:tcPr>
                  <w:tcW w:w="1044" w:type="dxa"/>
                  <w:tcBorders>
                    <w:tl2br w:val="nil"/>
                    <w:tr2bl w:val="nil"/>
                  </w:tcBorders>
                  <w:vAlign w:val="center"/>
                </w:tcPr>
                <w:p w14:paraId="5FE52982">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10#</w:t>
                  </w:r>
                </w:p>
              </w:tc>
              <w:tc>
                <w:tcPr>
                  <w:tcW w:w="702" w:type="dxa"/>
                  <w:tcBorders>
                    <w:tl2br w:val="nil"/>
                    <w:tr2bl w:val="nil"/>
                  </w:tcBorders>
                  <w:vAlign w:val="center"/>
                </w:tcPr>
                <w:p w14:paraId="7EB72B6C">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2000</w:t>
                  </w:r>
                </w:p>
              </w:tc>
              <w:tc>
                <w:tcPr>
                  <w:tcW w:w="858" w:type="dxa"/>
                  <w:tcBorders>
                    <w:tl2br w:val="nil"/>
                    <w:tr2bl w:val="nil"/>
                  </w:tcBorders>
                  <w:vAlign w:val="center"/>
                </w:tcPr>
                <w:p w14:paraId="3F738429">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28</w:t>
                  </w:r>
                </w:p>
              </w:tc>
              <w:tc>
                <w:tcPr>
                  <w:tcW w:w="992" w:type="dxa"/>
                  <w:tcBorders>
                    <w:tl2br w:val="nil"/>
                    <w:tr2bl w:val="nil"/>
                  </w:tcBorders>
                  <w:vAlign w:val="center"/>
                </w:tcPr>
                <w:p w14:paraId="51075880">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1250</w:t>
                  </w:r>
                </w:p>
              </w:tc>
              <w:tc>
                <w:tcPr>
                  <w:tcW w:w="1031" w:type="dxa"/>
                  <w:tcBorders>
                    <w:tl2br w:val="nil"/>
                    <w:tr2bl w:val="nil"/>
                  </w:tcBorders>
                  <w:vAlign w:val="center"/>
                </w:tcPr>
                <w:p w14:paraId="01B165B1">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150000</w:t>
                  </w:r>
                </w:p>
              </w:tc>
              <w:tc>
                <w:tcPr>
                  <w:tcW w:w="1031" w:type="dxa"/>
                  <w:tcBorders>
                    <w:tl2br w:val="nil"/>
                    <w:tr2bl w:val="nil"/>
                  </w:tcBorders>
                  <w:vAlign w:val="center"/>
                </w:tcPr>
                <w:p w14:paraId="51262C8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120</w:t>
                  </w:r>
                </w:p>
              </w:tc>
              <w:tc>
                <w:tcPr>
                  <w:tcW w:w="1689" w:type="dxa"/>
                  <w:vMerge w:val="restart"/>
                  <w:tcBorders>
                    <w:tl2br w:val="nil"/>
                    <w:tr2bl w:val="nil"/>
                  </w:tcBorders>
                  <w:vAlign w:val="center"/>
                </w:tcPr>
                <w:p w14:paraId="1E8BC0CD">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三个筒仓共用一台侧抽模块化除尘器，风量17280m</w:t>
                  </w:r>
                  <w:r>
                    <w:rPr>
                      <w:rFonts w:hint="eastAsia"/>
                      <w:b w:val="0"/>
                      <w:bCs/>
                      <w:sz w:val="21"/>
                      <w:szCs w:val="21"/>
                      <w:vertAlign w:val="superscript"/>
                      <w:lang w:val="en-US" w:eastAsia="zh-CN"/>
                    </w:rPr>
                    <w:t>3</w:t>
                  </w:r>
                  <w:r>
                    <w:rPr>
                      <w:rFonts w:hint="eastAsia"/>
                      <w:b w:val="0"/>
                      <w:bCs/>
                      <w:sz w:val="21"/>
                      <w:szCs w:val="21"/>
                      <w:vertAlign w:val="baseline"/>
                      <w:lang w:val="en-US" w:eastAsia="zh-CN"/>
                    </w:rPr>
                    <w:t>/h</w:t>
                  </w:r>
                </w:p>
              </w:tc>
            </w:tr>
            <w:tr w14:paraId="65994E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continue"/>
                  <w:tcBorders>
                    <w:tl2br w:val="nil"/>
                    <w:tr2bl w:val="nil"/>
                  </w:tcBorders>
                  <w:vAlign w:val="center"/>
                </w:tcPr>
                <w:p w14:paraId="114E9D2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44" w:type="dxa"/>
                  <w:tcBorders>
                    <w:tl2br w:val="nil"/>
                    <w:tr2bl w:val="nil"/>
                  </w:tcBorders>
                  <w:vAlign w:val="center"/>
                </w:tcPr>
                <w:p w14:paraId="2D0144E0">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11#</w:t>
                  </w:r>
                </w:p>
              </w:tc>
              <w:tc>
                <w:tcPr>
                  <w:tcW w:w="702" w:type="dxa"/>
                  <w:tcBorders>
                    <w:tl2br w:val="nil"/>
                    <w:tr2bl w:val="nil"/>
                  </w:tcBorders>
                  <w:vAlign w:val="center"/>
                </w:tcPr>
                <w:p w14:paraId="40DAEADD">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2000</w:t>
                  </w:r>
                </w:p>
              </w:tc>
              <w:tc>
                <w:tcPr>
                  <w:tcW w:w="858" w:type="dxa"/>
                  <w:tcBorders>
                    <w:tl2br w:val="nil"/>
                    <w:tr2bl w:val="nil"/>
                  </w:tcBorders>
                  <w:vAlign w:val="center"/>
                </w:tcPr>
                <w:p w14:paraId="6D3C201D">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28</w:t>
                  </w:r>
                </w:p>
              </w:tc>
              <w:tc>
                <w:tcPr>
                  <w:tcW w:w="992" w:type="dxa"/>
                  <w:tcBorders>
                    <w:tl2br w:val="nil"/>
                    <w:tr2bl w:val="nil"/>
                  </w:tcBorders>
                  <w:vAlign w:val="center"/>
                </w:tcPr>
                <w:p w14:paraId="6C0DE29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1250</w:t>
                  </w:r>
                </w:p>
              </w:tc>
              <w:tc>
                <w:tcPr>
                  <w:tcW w:w="1031" w:type="dxa"/>
                  <w:tcBorders>
                    <w:tl2br w:val="nil"/>
                    <w:tr2bl w:val="nil"/>
                  </w:tcBorders>
                  <w:vAlign w:val="center"/>
                </w:tcPr>
                <w:p w14:paraId="344FC971">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150000</w:t>
                  </w:r>
                </w:p>
              </w:tc>
              <w:tc>
                <w:tcPr>
                  <w:tcW w:w="1031" w:type="dxa"/>
                  <w:tcBorders>
                    <w:tl2br w:val="nil"/>
                    <w:tr2bl w:val="nil"/>
                  </w:tcBorders>
                  <w:vAlign w:val="center"/>
                </w:tcPr>
                <w:p w14:paraId="76C8488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120</w:t>
                  </w:r>
                </w:p>
              </w:tc>
              <w:tc>
                <w:tcPr>
                  <w:tcW w:w="1689" w:type="dxa"/>
                  <w:vMerge w:val="continue"/>
                  <w:tcBorders>
                    <w:tl2br w:val="nil"/>
                    <w:tr2bl w:val="nil"/>
                  </w:tcBorders>
                  <w:vAlign w:val="center"/>
                </w:tcPr>
                <w:p w14:paraId="56256C0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r>
            <w:tr w14:paraId="0B9B55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continue"/>
                  <w:tcBorders>
                    <w:tl2br w:val="nil"/>
                    <w:tr2bl w:val="nil"/>
                  </w:tcBorders>
                  <w:vAlign w:val="center"/>
                </w:tcPr>
                <w:p w14:paraId="2A4043C1">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44" w:type="dxa"/>
                  <w:tcBorders>
                    <w:tl2br w:val="nil"/>
                    <w:tr2bl w:val="nil"/>
                  </w:tcBorders>
                  <w:vAlign w:val="center"/>
                </w:tcPr>
                <w:p w14:paraId="65F544E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12#</w:t>
                  </w:r>
                </w:p>
              </w:tc>
              <w:tc>
                <w:tcPr>
                  <w:tcW w:w="702" w:type="dxa"/>
                  <w:tcBorders>
                    <w:tl2br w:val="nil"/>
                    <w:tr2bl w:val="nil"/>
                  </w:tcBorders>
                  <w:vAlign w:val="center"/>
                </w:tcPr>
                <w:p w14:paraId="269C9CC2">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2000</w:t>
                  </w:r>
                </w:p>
              </w:tc>
              <w:tc>
                <w:tcPr>
                  <w:tcW w:w="858" w:type="dxa"/>
                  <w:tcBorders>
                    <w:tl2br w:val="nil"/>
                    <w:tr2bl w:val="nil"/>
                  </w:tcBorders>
                  <w:vAlign w:val="center"/>
                </w:tcPr>
                <w:p w14:paraId="2635608E">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28</w:t>
                  </w:r>
                </w:p>
              </w:tc>
              <w:tc>
                <w:tcPr>
                  <w:tcW w:w="992" w:type="dxa"/>
                  <w:tcBorders>
                    <w:tl2br w:val="nil"/>
                    <w:tr2bl w:val="nil"/>
                  </w:tcBorders>
                  <w:vAlign w:val="center"/>
                </w:tcPr>
                <w:p w14:paraId="40992AD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1250</w:t>
                  </w:r>
                </w:p>
              </w:tc>
              <w:tc>
                <w:tcPr>
                  <w:tcW w:w="1031" w:type="dxa"/>
                  <w:tcBorders>
                    <w:tl2br w:val="nil"/>
                    <w:tr2bl w:val="nil"/>
                  </w:tcBorders>
                  <w:vAlign w:val="center"/>
                </w:tcPr>
                <w:p w14:paraId="1193F37F">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150000</w:t>
                  </w:r>
                </w:p>
              </w:tc>
              <w:tc>
                <w:tcPr>
                  <w:tcW w:w="1031" w:type="dxa"/>
                  <w:tcBorders>
                    <w:tl2br w:val="nil"/>
                    <w:tr2bl w:val="nil"/>
                  </w:tcBorders>
                  <w:vAlign w:val="center"/>
                </w:tcPr>
                <w:p w14:paraId="48AD336E">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120</w:t>
                  </w:r>
                </w:p>
              </w:tc>
              <w:tc>
                <w:tcPr>
                  <w:tcW w:w="1689" w:type="dxa"/>
                  <w:vMerge w:val="continue"/>
                  <w:tcBorders>
                    <w:tl2br w:val="nil"/>
                    <w:tr2bl w:val="nil"/>
                  </w:tcBorders>
                  <w:vAlign w:val="center"/>
                </w:tcPr>
                <w:p w14:paraId="7F4C6D1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r>
          </w:tbl>
          <w:p w14:paraId="75243C08">
            <w:pPr>
              <w:keepNext w:val="0"/>
              <w:keepLines w:val="0"/>
              <w:pageBreakBefore w:val="0"/>
              <w:widowControl/>
              <w:numPr>
                <w:ilvl w:val="0"/>
                <w:numId w:val="17"/>
              </w:numPr>
              <w:kinsoku/>
              <w:wordWrap/>
              <w:overflowPunct/>
              <w:topLinePunct w:val="0"/>
              <w:autoSpaceDE/>
              <w:autoSpaceDN/>
              <w:bidi w:val="0"/>
              <w:adjustRightInd w:val="0"/>
              <w:snapToGrid w:val="0"/>
              <w:spacing w:before="164" w:beforeLines="50"/>
              <w:ind w:firstLineChars="0"/>
              <w:textAlignment w:val="auto"/>
              <w:rPr>
                <w:b/>
                <w:sz w:val="28"/>
                <w:szCs w:val="28"/>
              </w:rPr>
            </w:pPr>
            <w:r>
              <w:rPr>
                <w:rFonts w:hint="eastAsia"/>
                <w:b/>
                <w:sz w:val="28"/>
                <w:szCs w:val="28"/>
              </w:rPr>
              <w:t>项目生产规模及</w:t>
            </w:r>
            <w:r>
              <w:rPr>
                <w:rFonts w:hint="eastAsia"/>
                <w:b/>
                <w:sz w:val="28"/>
                <w:szCs w:val="28"/>
                <w:lang w:val="en-US" w:eastAsia="zh-CN"/>
              </w:rPr>
              <w:t>综合利用产物</w:t>
            </w:r>
          </w:p>
          <w:p w14:paraId="4E97FD8B">
            <w:pPr>
              <w:ind w:firstLine="480"/>
              <w:rPr>
                <w:rFonts w:hint="eastAsia"/>
                <w:u w:val="single"/>
                <w:lang w:val="en-US" w:eastAsia="zh-CN"/>
              </w:rPr>
            </w:pPr>
            <w:r>
              <w:rPr>
                <w:rFonts w:hint="eastAsia"/>
                <w:u w:val="single"/>
              </w:rPr>
              <w:t>华能湖南岳阳发电有限责任公司综合利用的固体废弃物粉煤灰全部来自企业自产，该火电厂生产燃料主要为无烟煤，煤炭通过磨煤机等磨成煤粉后最终送入锅炉内进行燃烧，燃烧后的产物飞灰（燃烧燃料的细颗粒）与烟气一起排出燃煤锅炉，</w:t>
            </w:r>
            <w:r>
              <w:rPr>
                <w:rFonts w:hint="eastAsia"/>
                <w:u w:val="single"/>
                <w:lang w:val="en-US" w:eastAsia="zh-CN"/>
              </w:rPr>
              <w:t>其中</w:t>
            </w:r>
            <w:r>
              <w:rPr>
                <w:rFonts w:hint="eastAsia"/>
                <w:u w:val="single"/>
              </w:rPr>
              <w:t>经除尘设备处理后，粉尘被收集得到固废粉煤灰</w:t>
            </w:r>
            <w:r>
              <w:rPr>
                <w:rFonts w:hint="eastAsia"/>
                <w:u w:val="single"/>
                <w:lang w:eastAsia="zh-CN"/>
              </w:rPr>
              <w:t>；</w:t>
            </w:r>
          </w:p>
          <w:p w14:paraId="6CFFD3E9">
            <w:pPr>
              <w:keepNext w:val="0"/>
              <w:keepLines w:val="0"/>
              <w:widowControl/>
              <w:suppressLineNumbers w:val="0"/>
              <w:ind w:firstLine="0"/>
              <w:jc w:val="left"/>
              <w:rPr>
                <w:rFonts w:hint="eastAsia"/>
                <w:u w:val="single"/>
                <w:lang w:val="en-US" w:eastAsia="zh-CN"/>
              </w:rPr>
            </w:pPr>
            <w:r>
              <w:rPr>
                <w:rFonts w:hint="eastAsia"/>
                <w:u w:val="single"/>
                <w:lang w:val="en-US" w:eastAsia="zh-CN"/>
              </w:rPr>
              <w:t>本项目主要是对现有粉煤灰进行分级，分离提取得到满足国家标准《</w:t>
            </w:r>
            <w:r>
              <w:rPr>
                <w:rFonts w:hint="eastAsia"/>
                <w:u w:val="single"/>
              </w:rPr>
              <w:t>用于水泥和混凝土中的粉煤灰</w:t>
            </w:r>
            <w:r>
              <w:rPr>
                <w:rFonts w:hint="eastAsia"/>
                <w:u w:val="single"/>
                <w:lang w:eastAsia="zh-CN"/>
              </w:rPr>
              <w:t>》（</w:t>
            </w:r>
            <w:r>
              <w:rPr>
                <w:rFonts w:hint="eastAsia"/>
                <w:u w:val="single"/>
              </w:rPr>
              <w:t>GB/T 1596-2017</w:t>
            </w:r>
            <w:r>
              <w:rPr>
                <w:rFonts w:hint="eastAsia"/>
                <w:u w:val="single"/>
                <w:lang w:eastAsia="zh-CN"/>
              </w:rPr>
              <w:t>）</w:t>
            </w:r>
            <w:r>
              <w:rPr>
                <w:rFonts w:hint="eastAsia"/>
                <w:u w:val="single"/>
                <w:lang w:val="en-US" w:eastAsia="zh-CN"/>
              </w:rPr>
              <w:t>要求的I、II和III级三个等级要求的粉煤灰，按不同品质要求作为水泥和混凝土生产的原料。</w:t>
            </w:r>
          </w:p>
          <w:p w14:paraId="7394DC93">
            <w:pPr>
              <w:keepNext w:val="0"/>
              <w:keepLines w:val="0"/>
              <w:widowControl/>
              <w:suppressLineNumbers w:val="0"/>
              <w:ind w:firstLine="0"/>
              <w:jc w:val="left"/>
              <w:rPr>
                <w:rFonts w:hint="default"/>
                <w:u w:val="single"/>
                <w:lang w:val="en-US"/>
              </w:rPr>
            </w:pPr>
            <w:r>
              <w:rPr>
                <w:rFonts w:hint="eastAsia"/>
                <w:u w:val="single"/>
                <w:lang w:val="en-US" w:eastAsia="zh-CN"/>
              </w:rPr>
              <w:t>根据《固体废物分类与代码目录》，粉煤灰属于</w:t>
            </w:r>
            <w:r>
              <w:rPr>
                <w:rFonts w:hint="eastAsia"/>
                <w:u w:val="single"/>
              </w:rPr>
              <w:t>SW02</w:t>
            </w:r>
            <w:r>
              <w:rPr>
                <w:rFonts w:hint="eastAsia"/>
                <w:u w:val="single"/>
                <w:lang w:val="en-US" w:eastAsia="zh-CN"/>
              </w:rPr>
              <w:t xml:space="preserve">类中的 </w:t>
            </w:r>
            <w:r>
              <w:rPr>
                <w:rFonts w:hint="eastAsia" w:ascii="Times New Roman" w:hAnsi="Times New Roman" w:eastAsia="宋体" w:cs="Times New Roman"/>
                <w:kern w:val="0"/>
                <w:sz w:val="24"/>
                <w:szCs w:val="24"/>
                <w:u w:val="single"/>
                <w:lang w:val="en-US" w:eastAsia="zh-CN" w:bidi="ar"/>
              </w:rPr>
              <w:t>900-001-S02 类</w:t>
            </w:r>
            <w:r>
              <w:rPr>
                <w:rFonts w:hint="eastAsia"/>
                <w:u w:val="single"/>
                <w:lang w:val="en-US" w:eastAsia="zh-CN"/>
              </w:rPr>
              <w:t>工业固体废物。同时根据《固体废物鉴别标准 通则》（GB34330-2025）5.2条及</w:t>
            </w:r>
            <w:r>
              <w:rPr>
                <w:rFonts w:hint="eastAsia"/>
                <w:u w:val="single"/>
              </w:rPr>
              <w:t>附录A.3a</w:t>
            </w:r>
            <w:r>
              <w:rPr>
                <w:rFonts w:hint="eastAsia"/>
                <w:u w:val="single"/>
                <w:lang w:val="en-US" w:eastAsia="zh-CN"/>
              </w:rPr>
              <w:t>，</w:t>
            </w:r>
            <w:r>
              <w:rPr>
                <w:rFonts w:hint="eastAsia" w:ascii="Times New Roman" w:hAnsi="Times New Roman" w:eastAsia="宋体" w:cs="Times New Roman"/>
                <w:kern w:val="0"/>
                <w:sz w:val="24"/>
                <w:szCs w:val="24"/>
                <w:u w:val="single"/>
                <w:lang w:val="en-US" w:eastAsia="zh-CN" w:bidi="ar"/>
              </w:rPr>
              <w:t>本项目使用的粉煤灰属于烟气和废气净化产生的残余产物，属于固体废物</w:t>
            </w:r>
            <w:r>
              <w:rPr>
                <w:rFonts w:hint="eastAsia" w:cs="Times New Roman"/>
                <w:kern w:val="0"/>
                <w:sz w:val="24"/>
                <w:szCs w:val="24"/>
                <w:u w:val="single"/>
                <w:lang w:val="en-US" w:eastAsia="zh-CN" w:bidi="ar"/>
              </w:rPr>
              <w:t>。本项目分级加工后的物料虽然可作为</w:t>
            </w:r>
            <w:r>
              <w:rPr>
                <w:rFonts w:hint="eastAsia"/>
                <w:u w:val="single"/>
                <w:lang w:val="en-US" w:eastAsia="zh-CN"/>
              </w:rPr>
              <w:t>水泥和混凝土生产的原料，但不改变其固废的属性</w:t>
            </w:r>
            <w:r>
              <w:rPr>
                <w:rFonts w:hint="eastAsia" w:ascii="Times New Roman" w:hAnsi="Times New Roman" w:eastAsia="宋体" w:cs="Times New Roman"/>
                <w:kern w:val="0"/>
                <w:sz w:val="24"/>
                <w:szCs w:val="24"/>
                <w:u w:val="single"/>
                <w:lang w:val="en-US" w:eastAsia="zh-CN" w:bidi="ar"/>
              </w:rPr>
              <w:t>。</w:t>
            </w:r>
          </w:p>
          <w:p w14:paraId="055D2B72">
            <w:pPr>
              <w:ind w:firstLine="480"/>
              <w:rPr>
                <w:u w:val="single"/>
              </w:rPr>
            </w:pPr>
            <w:r>
              <w:rPr>
                <w:rFonts w:hint="eastAsia"/>
                <w:u w:val="single"/>
              </w:rPr>
              <w:t>本项目</w:t>
            </w:r>
            <w:r>
              <w:rPr>
                <w:rFonts w:hint="eastAsia"/>
                <w:u w:val="single"/>
                <w:lang w:val="en-US" w:eastAsia="zh-CN"/>
              </w:rPr>
              <w:t>生产规模</w:t>
            </w:r>
            <w:r>
              <w:rPr>
                <w:u w:val="single"/>
              </w:rPr>
              <w:t>见下表：</w:t>
            </w:r>
          </w:p>
          <w:p w14:paraId="625876CC">
            <w:pPr>
              <w:widowControl w:val="0"/>
              <w:numPr>
                <w:ilvl w:val="0"/>
                <w:numId w:val="18"/>
              </w:numPr>
              <w:spacing w:line="240" w:lineRule="auto"/>
              <w:ind w:firstLineChars="0"/>
              <w:jc w:val="center"/>
              <w:rPr>
                <w:b/>
                <w:bCs/>
                <w:u w:val="single"/>
              </w:rPr>
            </w:pPr>
            <w:r>
              <w:rPr>
                <w:rFonts w:hint="eastAsia"/>
                <w:b/>
                <w:bCs/>
                <w:u w:val="single"/>
                <w:lang w:val="en-US" w:eastAsia="zh-CN"/>
              </w:rPr>
              <w:t>项目生产规模</w:t>
            </w:r>
            <w:r>
              <w:rPr>
                <w:rFonts w:hint="eastAsia"/>
                <w:b/>
                <w:bCs/>
                <w:u w:val="single"/>
              </w:rPr>
              <w:t>一览表</w:t>
            </w:r>
          </w:p>
          <w:tbl>
            <w:tblPr>
              <w:tblStyle w:val="31"/>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08"/>
              <w:gridCol w:w="1502"/>
              <w:gridCol w:w="1444"/>
              <w:gridCol w:w="1823"/>
              <w:gridCol w:w="2121"/>
            </w:tblGrid>
            <w:tr w14:paraId="40E07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tcBorders>
                    <w:tl2br w:val="nil"/>
                    <w:tr2bl w:val="nil"/>
                  </w:tcBorders>
                  <w:vAlign w:val="center"/>
                </w:tcPr>
                <w:p w14:paraId="76D26DC3">
                  <w:pPr>
                    <w:spacing w:line="240" w:lineRule="auto"/>
                    <w:ind w:firstLine="0" w:firstLineChars="0"/>
                    <w:jc w:val="center"/>
                    <w:textAlignment w:val="baseline"/>
                    <w:rPr>
                      <w:b/>
                      <w:bCs/>
                      <w:sz w:val="21"/>
                      <w:szCs w:val="21"/>
                      <w:u w:val="single"/>
                    </w:rPr>
                  </w:pPr>
                  <w:r>
                    <w:rPr>
                      <w:rFonts w:hint="eastAsia"/>
                      <w:b/>
                      <w:bCs/>
                      <w:sz w:val="21"/>
                      <w:szCs w:val="21"/>
                      <w:u w:val="single"/>
                    </w:rPr>
                    <w:t>产品名称</w:t>
                  </w:r>
                </w:p>
              </w:tc>
              <w:tc>
                <w:tcPr>
                  <w:tcW w:w="905" w:type="pct"/>
                  <w:tcBorders>
                    <w:tl2br w:val="nil"/>
                    <w:tr2bl w:val="nil"/>
                  </w:tcBorders>
                  <w:vAlign w:val="center"/>
                </w:tcPr>
                <w:p w14:paraId="01C9C323">
                  <w:pPr>
                    <w:spacing w:line="240" w:lineRule="auto"/>
                    <w:ind w:firstLine="0" w:firstLineChars="0"/>
                    <w:jc w:val="center"/>
                    <w:textAlignment w:val="baseline"/>
                    <w:rPr>
                      <w:b/>
                      <w:bCs/>
                      <w:sz w:val="21"/>
                      <w:szCs w:val="21"/>
                      <w:u w:val="single"/>
                    </w:rPr>
                  </w:pPr>
                  <w:r>
                    <w:rPr>
                      <w:rFonts w:hint="eastAsia"/>
                      <w:b/>
                      <w:bCs/>
                      <w:sz w:val="21"/>
                      <w:szCs w:val="21"/>
                      <w:u w:val="single"/>
                    </w:rPr>
                    <w:t>设计产能</w:t>
                  </w:r>
                </w:p>
              </w:tc>
              <w:tc>
                <w:tcPr>
                  <w:tcW w:w="870" w:type="pct"/>
                  <w:tcBorders>
                    <w:tl2br w:val="nil"/>
                    <w:tr2bl w:val="nil"/>
                  </w:tcBorders>
                  <w:vAlign w:val="center"/>
                </w:tcPr>
                <w:p w14:paraId="71D54645">
                  <w:pPr>
                    <w:spacing w:line="240" w:lineRule="auto"/>
                    <w:ind w:firstLine="0" w:firstLineChars="0"/>
                    <w:jc w:val="center"/>
                    <w:textAlignment w:val="baseline"/>
                    <w:rPr>
                      <w:b/>
                      <w:bCs/>
                      <w:sz w:val="21"/>
                      <w:szCs w:val="21"/>
                      <w:u w:val="single"/>
                    </w:rPr>
                  </w:pPr>
                  <w:r>
                    <w:rPr>
                      <w:rFonts w:hint="eastAsia"/>
                      <w:b/>
                      <w:bCs/>
                      <w:sz w:val="21"/>
                      <w:szCs w:val="21"/>
                      <w:u w:val="single"/>
                    </w:rPr>
                    <w:t>储存形式</w:t>
                  </w:r>
                </w:p>
              </w:tc>
              <w:tc>
                <w:tcPr>
                  <w:tcW w:w="1098" w:type="pct"/>
                  <w:tcBorders>
                    <w:tl2br w:val="nil"/>
                    <w:tr2bl w:val="nil"/>
                  </w:tcBorders>
                  <w:vAlign w:val="center"/>
                </w:tcPr>
                <w:p w14:paraId="1DF5AC78">
                  <w:pPr>
                    <w:spacing w:line="240" w:lineRule="auto"/>
                    <w:ind w:firstLine="0" w:firstLineChars="0"/>
                    <w:jc w:val="center"/>
                    <w:textAlignment w:val="baseline"/>
                    <w:rPr>
                      <w:b/>
                      <w:bCs/>
                      <w:sz w:val="21"/>
                      <w:szCs w:val="21"/>
                      <w:highlight w:val="none"/>
                      <w:u w:val="single"/>
                    </w:rPr>
                  </w:pPr>
                  <w:r>
                    <w:rPr>
                      <w:rFonts w:hint="eastAsia"/>
                      <w:b/>
                      <w:bCs/>
                      <w:sz w:val="21"/>
                      <w:szCs w:val="21"/>
                      <w:highlight w:val="none"/>
                      <w:u w:val="single"/>
                    </w:rPr>
                    <w:t>最大储存量/t</w:t>
                  </w:r>
                </w:p>
              </w:tc>
              <w:tc>
                <w:tcPr>
                  <w:tcW w:w="1277" w:type="pct"/>
                  <w:tcBorders>
                    <w:tl2br w:val="nil"/>
                    <w:tr2bl w:val="nil"/>
                  </w:tcBorders>
                  <w:vAlign w:val="center"/>
                </w:tcPr>
                <w:p w14:paraId="74E6448B">
                  <w:pPr>
                    <w:spacing w:line="240" w:lineRule="auto"/>
                    <w:ind w:firstLine="0" w:firstLineChars="0"/>
                    <w:jc w:val="center"/>
                    <w:textAlignment w:val="baseline"/>
                    <w:rPr>
                      <w:b/>
                      <w:bCs/>
                      <w:sz w:val="21"/>
                      <w:szCs w:val="21"/>
                      <w:highlight w:val="none"/>
                      <w:u w:val="single"/>
                    </w:rPr>
                  </w:pPr>
                  <w:r>
                    <w:rPr>
                      <w:b/>
                      <w:bCs/>
                      <w:sz w:val="21"/>
                      <w:szCs w:val="21"/>
                      <w:highlight w:val="none"/>
                      <w:u w:val="single"/>
                    </w:rPr>
                    <w:t>备注</w:t>
                  </w:r>
                </w:p>
              </w:tc>
            </w:tr>
            <w:tr w14:paraId="64A356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tcBorders>
                    <w:tl2br w:val="nil"/>
                    <w:tr2bl w:val="nil"/>
                  </w:tcBorders>
                  <w:vAlign w:val="center"/>
                </w:tcPr>
                <w:p w14:paraId="489632D6">
                  <w:pPr>
                    <w:spacing w:line="240" w:lineRule="auto"/>
                    <w:ind w:firstLine="0" w:firstLineChars="0"/>
                    <w:jc w:val="center"/>
                    <w:rPr>
                      <w:rFonts w:hint="default"/>
                      <w:sz w:val="21"/>
                      <w:szCs w:val="21"/>
                      <w:u w:val="single"/>
                      <w:lang w:val="en-US" w:eastAsia="zh-CN"/>
                    </w:rPr>
                  </w:pPr>
                  <w:r>
                    <w:rPr>
                      <w:rFonts w:hint="eastAsia"/>
                      <w:sz w:val="21"/>
                      <w:szCs w:val="21"/>
                      <w:u w:val="single"/>
                      <w:lang w:val="en-US" w:eastAsia="zh-CN"/>
                    </w:rPr>
                    <w:t>F类</w:t>
                  </w:r>
                  <w:r>
                    <w:rPr>
                      <w:rFonts w:hint="default" w:ascii="Times New Roman" w:hAnsi="Times New Roman" w:cs="Times New Roman"/>
                      <w:sz w:val="21"/>
                      <w:szCs w:val="21"/>
                      <w:u w:val="single"/>
                      <w:lang w:val="en-US" w:eastAsia="zh-CN"/>
                    </w:rPr>
                    <w:t>Ⅰ</w:t>
                  </w:r>
                  <w:r>
                    <w:rPr>
                      <w:rFonts w:hint="eastAsia"/>
                      <w:sz w:val="21"/>
                      <w:szCs w:val="21"/>
                      <w:u w:val="single"/>
                      <w:lang w:val="en-US" w:eastAsia="zh-CN"/>
                    </w:rPr>
                    <w:t>级粉煤灰</w:t>
                  </w:r>
                </w:p>
              </w:tc>
              <w:tc>
                <w:tcPr>
                  <w:tcW w:w="905" w:type="pct"/>
                  <w:tcBorders>
                    <w:tl2br w:val="nil"/>
                    <w:tr2bl w:val="nil"/>
                  </w:tcBorders>
                  <w:vAlign w:val="center"/>
                </w:tcPr>
                <w:p w14:paraId="4889B4FC">
                  <w:pPr>
                    <w:spacing w:line="240" w:lineRule="auto"/>
                    <w:ind w:firstLine="0" w:firstLineChars="0"/>
                    <w:jc w:val="center"/>
                    <w:rPr>
                      <w:rFonts w:hint="default"/>
                      <w:bCs/>
                      <w:sz w:val="21"/>
                      <w:szCs w:val="21"/>
                      <w:u w:val="single"/>
                      <w:lang w:val="en-US" w:eastAsia="zh-CN"/>
                    </w:rPr>
                  </w:pPr>
                  <w:r>
                    <w:rPr>
                      <w:rFonts w:hint="eastAsia"/>
                      <w:bCs/>
                      <w:sz w:val="21"/>
                      <w:szCs w:val="21"/>
                      <w:u w:val="single"/>
                      <w:lang w:val="en-US" w:eastAsia="zh-CN"/>
                    </w:rPr>
                    <w:t>18万t/a</w:t>
                  </w:r>
                </w:p>
              </w:tc>
              <w:tc>
                <w:tcPr>
                  <w:tcW w:w="870" w:type="pct"/>
                  <w:tcBorders>
                    <w:tl2br w:val="nil"/>
                    <w:tr2bl w:val="nil"/>
                  </w:tcBorders>
                  <w:vAlign w:val="center"/>
                </w:tcPr>
                <w:p w14:paraId="44E8F5F8">
                  <w:pPr>
                    <w:spacing w:line="240" w:lineRule="auto"/>
                    <w:ind w:firstLine="0" w:firstLineChars="0"/>
                    <w:jc w:val="center"/>
                    <w:rPr>
                      <w:rFonts w:hint="default"/>
                      <w:sz w:val="21"/>
                      <w:szCs w:val="21"/>
                      <w:u w:val="single"/>
                      <w:lang w:val="en-US" w:eastAsia="zh-CN"/>
                    </w:rPr>
                  </w:pPr>
                  <w:r>
                    <w:rPr>
                      <w:rFonts w:hint="eastAsia"/>
                      <w:sz w:val="21"/>
                      <w:szCs w:val="21"/>
                      <w:u w:val="single"/>
                      <w:lang w:val="en-US" w:eastAsia="zh-CN"/>
                    </w:rPr>
                    <w:t>筒仓储存</w:t>
                  </w:r>
                </w:p>
              </w:tc>
              <w:tc>
                <w:tcPr>
                  <w:tcW w:w="1098" w:type="pct"/>
                  <w:tcBorders>
                    <w:tl2br w:val="nil"/>
                    <w:tr2bl w:val="nil"/>
                  </w:tcBorders>
                  <w:vAlign w:val="center"/>
                </w:tcPr>
                <w:p w14:paraId="454A8437">
                  <w:pPr>
                    <w:spacing w:line="240" w:lineRule="auto"/>
                    <w:ind w:firstLine="0" w:firstLineChars="0"/>
                    <w:jc w:val="center"/>
                    <w:rPr>
                      <w:rFonts w:hint="default" w:eastAsia="宋体"/>
                      <w:sz w:val="21"/>
                      <w:szCs w:val="21"/>
                      <w:highlight w:val="none"/>
                      <w:u w:val="single"/>
                      <w:lang w:val="en-US" w:eastAsia="zh-CN"/>
                    </w:rPr>
                  </w:pPr>
                  <w:r>
                    <w:rPr>
                      <w:rFonts w:hint="eastAsia"/>
                      <w:sz w:val="21"/>
                      <w:szCs w:val="21"/>
                      <w:highlight w:val="none"/>
                      <w:u w:val="single"/>
                      <w:lang w:val="en-US" w:eastAsia="zh-CN"/>
                    </w:rPr>
                    <w:t>1875</w:t>
                  </w:r>
                </w:p>
              </w:tc>
              <w:tc>
                <w:tcPr>
                  <w:tcW w:w="1277" w:type="pct"/>
                  <w:tcBorders>
                    <w:tl2br w:val="nil"/>
                    <w:tr2bl w:val="nil"/>
                  </w:tcBorders>
                  <w:vAlign w:val="center"/>
                </w:tcPr>
                <w:p w14:paraId="72CFA99C">
                  <w:pPr>
                    <w:spacing w:line="240" w:lineRule="auto"/>
                    <w:ind w:firstLine="0" w:firstLineChars="0"/>
                    <w:jc w:val="both"/>
                    <w:rPr>
                      <w:rFonts w:hint="default"/>
                      <w:sz w:val="21"/>
                      <w:szCs w:val="21"/>
                      <w:highlight w:val="none"/>
                      <w:u w:val="single"/>
                      <w:lang w:val="en-US" w:eastAsia="zh-CN"/>
                    </w:rPr>
                  </w:pPr>
                  <w:r>
                    <w:rPr>
                      <w:rFonts w:hint="default" w:ascii="Times New Roman" w:hAnsi="Times New Roman" w:cs="Times New Roman"/>
                      <w:sz w:val="21"/>
                      <w:szCs w:val="21"/>
                      <w:highlight w:val="none"/>
                      <w:u w:val="single"/>
                      <w:lang w:val="en-US" w:eastAsia="zh-CN"/>
                    </w:rPr>
                    <w:t>为配制高性能混凝土的核心原料，用于高铁、水利、高标号桥梁等</w:t>
                  </w:r>
                </w:p>
              </w:tc>
            </w:tr>
            <w:tr w14:paraId="0883FB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tcBorders>
                    <w:tl2br w:val="nil"/>
                    <w:tr2bl w:val="nil"/>
                  </w:tcBorders>
                  <w:vAlign w:val="center"/>
                </w:tcPr>
                <w:p w14:paraId="4D34D046">
                  <w:pPr>
                    <w:spacing w:line="240" w:lineRule="auto"/>
                    <w:ind w:firstLine="0" w:firstLineChars="0"/>
                    <w:jc w:val="center"/>
                    <w:rPr>
                      <w:rFonts w:hint="eastAsia"/>
                      <w:sz w:val="21"/>
                      <w:szCs w:val="21"/>
                      <w:u w:val="single"/>
                      <w:lang w:val="en-US" w:eastAsia="zh-CN"/>
                    </w:rPr>
                  </w:pPr>
                  <w:r>
                    <w:rPr>
                      <w:rFonts w:hint="eastAsia" w:cs="Times New Roman"/>
                      <w:sz w:val="21"/>
                      <w:szCs w:val="21"/>
                      <w:u w:val="single"/>
                      <w:lang w:val="en-US" w:eastAsia="zh-CN"/>
                    </w:rPr>
                    <w:t>F类</w:t>
                  </w:r>
                  <w:r>
                    <w:rPr>
                      <w:rFonts w:hint="default" w:ascii="Times New Roman" w:hAnsi="Times New Roman" w:cs="Times New Roman"/>
                      <w:sz w:val="21"/>
                      <w:szCs w:val="21"/>
                      <w:u w:val="single"/>
                      <w:lang w:val="en-US" w:eastAsia="zh-CN"/>
                    </w:rPr>
                    <w:t>Ⅱ</w:t>
                  </w:r>
                  <w:r>
                    <w:rPr>
                      <w:rFonts w:hint="eastAsia"/>
                      <w:sz w:val="21"/>
                      <w:szCs w:val="21"/>
                      <w:u w:val="single"/>
                      <w:lang w:val="en-US" w:eastAsia="zh-CN"/>
                    </w:rPr>
                    <w:t>级粉煤灰</w:t>
                  </w:r>
                </w:p>
              </w:tc>
              <w:tc>
                <w:tcPr>
                  <w:tcW w:w="905" w:type="pct"/>
                  <w:tcBorders>
                    <w:tl2br w:val="nil"/>
                    <w:tr2bl w:val="nil"/>
                  </w:tcBorders>
                  <w:vAlign w:val="center"/>
                </w:tcPr>
                <w:p w14:paraId="76532262">
                  <w:pPr>
                    <w:spacing w:line="240" w:lineRule="auto"/>
                    <w:ind w:firstLine="0" w:firstLineChars="0"/>
                    <w:jc w:val="center"/>
                    <w:rPr>
                      <w:rFonts w:hint="eastAsia"/>
                      <w:bCs/>
                      <w:sz w:val="21"/>
                      <w:szCs w:val="21"/>
                      <w:u w:val="single"/>
                      <w:lang w:val="en-US" w:eastAsia="zh-CN"/>
                    </w:rPr>
                  </w:pPr>
                  <w:r>
                    <w:rPr>
                      <w:rFonts w:hint="eastAsia"/>
                      <w:bCs/>
                      <w:sz w:val="21"/>
                      <w:szCs w:val="21"/>
                      <w:u w:val="single"/>
                      <w:lang w:val="en-US" w:eastAsia="zh-CN"/>
                    </w:rPr>
                    <w:t>27万t/a</w:t>
                  </w:r>
                </w:p>
              </w:tc>
              <w:tc>
                <w:tcPr>
                  <w:tcW w:w="870" w:type="pct"/>
                  <w:tcBorders>
                    <w:tl2br w:val="nil"/>
                    <w:tr2bl w:val="nil"/>
                  </w:tcBorders>
                  <w:vAlign w:val="center"/>
                </w:tcPr>
                <w:p w14:paraId="7450461D">
                  <w:pPr>
                    <w:spacing w:line="240" w:lineRule="auto"/>
                    <w:ind w:firstLine="0" w:firstLineChars="0"/>
                    <w:jc w:val="center"/>
                    <w:rPr>
                      <w:rFonts w:hint="eastAsia"/>
                      <w:sz w:val="21"/>
                      <w:szCs w:val="21"/>
                      <w:u w:val="single"/>
                      <w:lang w:val="en-US" w:eastAsia="zh-CN"/>
                    </w:rPr>
                  </w:pPr>
                  <w:r>
                    <w:rPr>
                      <w:rFonts w:hint="eastAsia"/>
                      <w:sz w:val="21"/>
                      <w:szCs w:val="21"/>
                      <w:u w:val="single"/>
                      <w:lang w:val="en-US" w:eastAsia="zh-CN"/>
                    </w:rPr>
                    <w:t>筒仓储存</w:t>
                  </w:r>
                </w:p>
              </w:tc>
              <w:tc>
                <w:tcPr>
                  <w:tcW w:w="1098" w:type="pct"/>
                  <w:tcBorders>
                    <w:tl2br w:val="nil"/>
                    <w:tr2bl w:val="nil"/>
                  </w:tcBorders>
                  <w:vAlign w:val="center"/>
                </w:tcPr>
                <w:p w14:paraId="02BE87BC">
                  <w:pPr>
                    <w:spacing w:line="240" w:lineRule="auto"/>
                    <w:ind w:firstLine="0" w:firstLineChars="0"/>
                    <w:jc w:val="center"/>
                    <w:rPr>
                      <w:rFonts w:hint="default"/>
                      <w:sz w:val="21"/>
                      <w:szCs w:val="21"/>
                      <w:highlight w:val="none"/>
                      <w:u w:val="single"/>
                      <w:lang w:val="en-US" w:eastAsia="zh-CN"/>
                    </w:rPr>
                  </w:pPr>
                  <w:r>
                    <w:rPr>
                      <w:rFonts w:hint="eastAsia"/>
                      <w:sz w:val="21"/>
                      <w:szCs w:val="21"/>
                      <w:highlight w:val="none"/>
                      <w:u w:val="single"/>
                      <w:lang w:val="en-US" w:eastAsia="zh-CN"/>
                    </w:rPr>
                    <w:t>3625</w:t>
                  </w:r>
                </w:p>
              </w:tc>
              <w:tc>
                <w:tcPr>
                  <w:tcW w:w="1277" w:type="pct"/>
                  <w:tcBorders>
                    <w:tl2br w:val="nil"/>
                    <w:tr2bl w:val="nil"/>
                  </w:tcBorders>
                  <w:vAlign w:val="center"/>
                </w:tcPr>
                <w:p w14:paraId="2B2183F1">
                  <w:pPr>
                    <w:spacing w:line="240" w:lineRule="auto"/>
                    <w:ind w:firstLine="0" w:firstLineChars="0"/>
                    <w:jc w:val="both"/>
                    <w:rPr>
                      <w:rFonts w:hint="default" w:ascii="Times New Roman" w:hAnsi="Times New Roman" w:cs="Times New Roman"/>
                      <w:sz w:val="21"/>
                      <w:szCs w:val="21"/>
                      <w:highlight w:val="none"/>
                      <w:u w:val="single"/>
                      <w:lang w:val="en-US" w:eastAsia="zh-CN"/>
                    </w:rPr>
                  </w:pPr>
                  <w:r>
                    <w:rPr>
                      <w:rFonts w:hint="default" w:ascii="Times New Roman" w:hAnsi="Times New Roman" w:cs="Times New Roman"/>
                      <w:sz w:val="21"/>
                      <w:szCs w:val="21"/>
                      <w:highlight w:val="none"/>
                      <w:u w:val="single"/>
                      <w:lang w:val="en-US" w:eastAsia="zh-CN"/>
                    </w:rPr>
                    <w:t>用于普通商品混凝土、民用建筑、市政道路等</w:t>
                  </w:r>
                </w:p>
              </w:tc>
            </w:tr>
            <w:tr w14:paraId="472716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tcBorders>
                    <w:tl2br w:val="nil"/>
                    <w:tr2bl w:val="nil"/>
                  </w:tcBorders>
                  <w:shd w:val="clear" w:color="auto" w:fill="auto"/>
                  <w:vAlign w:val="center"/>
                </w:tcPr>
                <w:p w14:paraId="51CD6792">
                  <w:pPr>
                    <w:spacing w:line="240" w:lineRule="auto"/>
                    <w:ind w:firstLine="0" w:firstLineChars="0"/>
                    <w:jc w:val="center"/>
                    <w:rPr>
                      <w:rFonts w:hint="eastAsia" w:ascii="Times New Roman" w:hAnsi="Times New Roman" w:eastAsia="宋体" w:cs="Times New Roman"/>
                      <w:sz w:val="21"/>
                      <w:szCs w:val="21"/>
                      <w:u w:val="single"/>
                      <w:lang w:val="en-US" w:eastAsia="zh-CN" w:bidi="ar-SA"/>
                    </w:rPr>
                  </w:pPr>
                  <w:r>
                    <w:rPr>
                      <w:rFonts w:hint="eastAsia"/>
                      <w:sz w:val="21"/>
                      <w:szCs w:val="21"/>
                      <w:u w:val="single"/>
                      <w:lang w:val="en-US" w:eastAsia="zh-CN"/>
                    </w:rPr>
                    <w:t>F类</w:t>
                  </w:r>
                  <w:r>
                    <w:rPr>
                      <w:rFonts w:hint="default" w:ascii="Times New Roman" w:hAnsi="Times New Roman" w:cs="Times New Roman"/>
                      <w:sz w:val="21"/>
                      <w:szCs w:val="21"/>
                      <w:u w:val="single"/>
                      <w:lang w:val="en-US" w:eastAsia="zh-CN"/>
                    </w:rPr>
                    <w:t>Ⅲ</w:t>
                  </w:r>
                  <w:r>
                    <w:rPr>
                      <w:rFonts w:hint="eastAsia" w:ascii="Times New Roman" w:hAnsi="Times New Roman" w:cs="Times New Roman"/>
                      <w:sz w:val="21"/>
                      <w:szCs w:val="21"/>
                      <w:u w:val="single"/>
                      <w:lang w:val="en-US" w:eastAsia="zh-CN"/>
                    </w:rPr>
                    <w:t>级</w:t>
                  </w:r>
                  <w:r>
                    <w:rPr>
                      <w:rFonts w:hint="eastAsia"/>
                      <w:sz w:val="21"/>
                      <w:szCs w:val="21"/>
                      <w:u w:val="single"/>
                      <w:lang w:val="en-US" w:eastAsia="zh-CN"/>
                    </w:rPr>
                    <w:t>粉煤灰</w:t>
                  </w:r>
                </w:p>
              </w:tc>
              <w:tc>
                <w:tcPr>
                  <w:tcW w:w="905" w:type="pct"/>
                  <w:tcBorders>
                    <w:tl2br w:val="nil"/>
                    <w:tr2bl w:val="nil"/>
                  </w:tcBorders>
                  <w:shd w:val="clear" w:color="auto" w:fill="auto"/>
                  <w:vAlign w:val="center"/>
                </w:tcPr>
                <w:p w14:paraId="10727C11">
                  <w:pPr>
                    <w:spacing w:line="240" w:lineRule="auto"/>
                    <w:ind w:firstLine="0" w:firstLineChars="0"/>
                    <w:jc w:val="center"/>
                    <w:rPr>
                      <w:rFonts w:hint="eastAsia" w:ascii="Times New Roman" w:hAnsi="Times New Roman" w:eastAsia="宋体" w:cs="Times New Roman"/>
                      <w:sz w:val="21"/>
                      <w:szCs w:val="21"/>
                      <w:u w:val="single"/>
                      <w:lang w:val="en-US" w:eastAsia="zh-CN" w:bidi="ar-SA"/>
                    </w:rPr>
                  </w:pPr>
                  <w:r>
                    <w:rPr>
                      <w:rFonts w:hint="eastAsia"/>
                      <w:bCs/>
                      <w:sz w:val="21"/>
                      <w:szCs w:val="21"/>
                      <w:u w:val="single"/>
                      <w:lang w:val="en-US" w:eastAsia="zh-CN"/>
                    </w:rPr>
                    <w:t>45万</w:t>
                  </w:r>
                  <w:r>
                    <w:rPr>
                      <w:rFonts w:hint="eastAsia"/>
                      <w:sz w:val="21"/>
                      <w:szCs w:val="21"/>
                      <w:u w:val="single"/>
                    </w:rPr>
                    <w:t>t/a</w:t>
                  </w:r>
                </w:p>
              </w:tc>
              <w:tc>
                <w:tcPr>
                  <w:tcW w:w="870" w:type="pct"/>
                  <w:tcBorders>
                    <w:tl2br w:val="nil"/>
                    <w:tr2bl w:val="nil"/>
                  </w:tcBorders>
                  <w:shd w:val="clear" w:color="auto" w:fill="auto"/>
                  <w:vAlign w:val="center"/>
                </w:tcPr>
                <w:p w14:paraId="530576E9">
                  <w:pPr>
                    <w:spacing w:line="240" w:lineRule="auto"/>
                    <w:ind w:firstLine="0" w:firstLineChars="0"/>
                    <w:jc w:val="center"/>
                    <w:rPr>
                      <w:rFonts w:hint="eastAsia" w:ascii="Times New Roman" w:hAnsi="Times New Roman" w:eastAsia="宋体" w:cs="Times New Roman"/>
                      <w:sz w:val="21"/>
                      <w:szCs w:val="21"/>
                      <w:u w:val="single"/>
                      <w:lang w:val="en-US" w:eastAsia="zh-CN" w:bidi="ar-SA"/>
                    </w:rPr>
                  </w:pPr>
                  <w:r>
                    <w:rPr>
                      <w:rFonts w:hint="eastAsia"/>
                      <w:sz w:val="21"/>
                      <w:szCs w:val="21"/>
                      <w:u w:val="single"/>
                      <w:lang w:val="en-US" w:eastAsia="zh-CN"/>
                    </w:rPr>
                    <w:t>筒仓储存</w:t>
                  </w:r>
                </w:p>
              </w:tc>
              <w:tc>
                <w:tcPr>
                  <w:tcW w:w="1098" w:type="pct"/>
                  <w:tcBorders>
                    <w:tl2br w:val="nil"/>
                    <w:tr2bl w:val="nil"/>
                  </w:tcBorders>
                  <w:shd w:val="clear" w:color="auto" w:fill="auto"/>
                  <w:vAlign w:val="center"/>
                </w:tcPr>
                <w:p w14:paraId="30A9E0CF">
                  <w:pPr>
                    <w:spacing w:line="240" w:lineRule="auto"/>
                    <w:ind w:firstLine="0" w:firstLineChars="0"/>
                    <w:jc w:val="center"/>
                    <w:rPr>
                      <w:rFonts w:hint="default" w:ascii="Times New Roman" w:hAnsi="Times New Roman" w:eastAsia="宋体" w:cs="Times New Roman"/>
                      <w:sz w:val="21"/>
                      <w:szCs w:val="21"/>
                      <w:highlight w:val="none"/>
                      <w:u w:val="single"/>
                      <w:lang w:val="en-US" w:eastAsia="zh-CN" w:bidi="ar-SA"/>
                    </w:rPr>
                  </w:pPr>
                  <w:r>
                    <w:rPr>
                      <w:rFonts w:hint="eastAsia"/>
                      <w:sz w:val="21"/>
                      <w:szCs w:val="21"/>
                      <w:highlight w:val="none"/>
                      <w:u w:val="single"/>
                      <w:lang w:val="en-US" w:eastAsia="zh-CN"/>
                    </w:rPr>
                    <w:t>4000</w:t>
                  </w:r>
                </w:p>
              </w:tc>
              <w:tc>
                <w:tcPr>
                  <w:tcW w:w="1277" w:type="pct"/>
                  <w:tcBorders>
                    <w:tl2br w:val="nil"/>
                    <w:tr2bl w:val="nil"/>
                  </w:tcBorders>
                  <w:shd w:val="clear" w:color="auto" w:fill="auto"/>
                  <w:vAlign w:val="center"/>
                </w:tcPr>
                <w:p w14:paraId="5EFAD778">
                  <w:pPr>
                    <w:spacing w:line="240" w:lineRule="auto"/>
                    <w:ind w:firstLine="0" w:firstLineChars="0"/>
                    <w:jc w:val="center"/>
                    <w:rPr>
                      <w:rFonts w:hint="default" w:ascii="Times New Roman" w:hAnsi="Times New Roman" w:eastAsia="宋体" w:cs="Times New Roman"/>
                      <w:sz w:val="21"/>
                      <w:szCs w:val="21"/>
                      <w:highlight w:val="none"/>
                      <w:u w:val="single"/>
                      <w:lang w:val="en-US" w:eastAsia="zh-CN" w:bidi="ar-SA"/>
                    </w:rPr>
                  </w:pPr>
                  <w:r>
                    <w:rPr>
                      <w:rFonts w:hint="eastAsia"/>
                      <w:sz w:val="21"/>
                      <w:szCs w:val="21"/>
                      <w:highlight w:val="none"/>
                      <w:u w:val="single"/>
                      <w:lang w:val="en-US" w:eastAsia="zh-CN"/>
                    </w:rPr>
                    <w:t>可用于路基填充、矿山回填</w:t>
                  </w:r>
                </w:p>
              </w:tc>
            </w:tr>
          </w:tbl>
          <w:p w14:paraId="5319C4A5">
            <w:pPr>
              <w:keepNext w:val="0"/>
              <w:keepLines w:val="0"/>
              <w:pageBreakBefore w:val="0"/>
              <w:widowControl/>
              <w:kinsoku/>
              <w:wordWrap/>
              <w:overflowPunct/>
              <w:topLinePunct w:val="0"/>
              <w:autoSpaceDE/>
              <w:autoSpaceDN/>
              <w:bidi w:val="0"/>
              <w:adjustRightInd/>
              <w:snapToGrid/>
              <w:spacing w:before="164" w:beforeLines="50"/>
              <w:ind w:firstLine="480"/>
              <w:textAlignment w:val="auto"/>
              <w:rPr>
                <w:rFonts w:hint="eastAsia" w:eastAsia="宋体"/>
                <w:highlight w:val="none"/>
                <w:u w:val="none"/>
                <w:lang w:val="en-US" w:eastAsia="zh-CN"/>
              </w:rPr>
            </w:pPr>
            <w:r>
              <w:rPr>
                <w:rFonts w:hint="eastAsia"/>
                <w:highlight w:val="none"/>
                <w:u w:val="none"/>
                <w:lang w:val="en-US" w:eastAsia="zh-CN"/>
              </w:rPr>
              <w:t>本项目粉煤灰后续利用按照</w:t>
            </w:r>
            <w:r>
              <w:rPr>
                <w:rFonts w:hint="eastAsia" w:ascii="Times New Roman" w:hAnsi="Times New Roman" w:eastAsia="宋体" w:cs="Times New Roman"/>
                <w:b w:val="0"/>
                <w:bCs w:val="0"/>
                <w:i w:val="0"/>
                <w:iCs w:val="0"/>
                <w:caps w:val="0"/>
                <w:spacing w:val="0"/>
                <w:sz w:val="24"/>
                <w:szCs w:val="24"/>
                <w:highlight w:val="none"/>
                <w:u w:val="none"/>
                <w:shd w:val="clear"/>
              </w:rPr>
              <w:t>中华人民共和国工业和信息化部公告2018年第26号</w:t>
            </w:r>
            <w:r>
              <w:rPr>
                <w:rFonts w:hint="eastAsia" w:ascii="Times New Roman" w:hAnsi="Times New Roman" w:eastAsia="宋体" w:cs="Times New Roman"/>
                <w:b w:val="0"/>
                <w:bCs w:val="0"/>
                <w:i w:val="0"/>
                <w:iCs w:val="0"/>
                <w:caps w:val="0"/>
                <w:spacing w:val="0"/>
                <w:sz w:val="24"/>
                <w:szCs w:val="24"/>
                <w:highlight w:val="none"/>
                <w:u w:val="none"/>
                <w:shd w:val="clear"/>
                <w:lang w:val="en-US" w:eastAsia="zh-CN"/>
              </w:rPr>
              <w:t>文件附件2</w:t>
            </w:r>
            <w:r>
              <w:rPr>
                <w:rFonts w:hint="eastAsia"/>
                <w:highlight w:val="none"/>
                <w:u w:val="none"/>
                <w:lang w:val="en-US" w:eastAsia="zh-CN"/>
              </w:rPr>
              <w:t>《国家工业固体废物资源综合利用产品目录》相关标准执行，粉煤灰超细灰执行</w:t>
            </w:r>
            <w:r>
              <w:rPr>
                <w:rFonts w:hint="eastAsia"/>
                <w:highlight w:val="none"/>
                <w:u w:val="none"/>
              </w:rPr>
              <w:t>《</w:t>
            </w:r>
            <w:r>
              <w:rPr>
                <w:rFonts w:hint="eastAsia"/>
                <w:highlight w:val="none"/>
                <w:u w:val="none"/>
                <w:lang w:val="en-US" w:eastAsia="zh-CN"/>
              </w:rPr>
              <w:t>用于水泥和混凝土中的粉煤灰</w:t>
            </w:r>
            <w:r>
              <w:rPr>
                <w:rFonts w:hint="eastAsia"/>
                <w:highlight w:val="none"/>
                <w:u w:val="none"/>
              </w:rPr>
              <w:t>》（GB/T1</w:t>
            </w:r>
            <w:r>
              <w:rPr>
                <w:rFonts w:hint="eastAsia"/>
                <w:highlight w:val="none"/>
                <w:u w:val="none"/>
                <w:lang w:val="en-US" w:eastAsia="zh-CN"/>
              </w:rPr>
              <w:t>596</w:t>
            </w:r>
            <w:r>
              <w:rPr>
                <w:rFonts w:hint="eastAsia"/>
                <w:highlight w:val="none"/>
                <w:u w:val="none"/>
              </w:rPr>
              <w:t>-20</w:t>
            </w:r>
            <w:r>
              <w:rPr>
                <w:rFonts w:hint="eastAsia"/>
                <w:highlight w:val="none"/>
                <w:u w:val="none"/>
                <w:lang w:val="en-US" w:eastAsia="zh-CN"/>
              </w:rPr>
              <w:t>17</w:t>
            </w:r>
            <w:r>
              <w:rPr>
                <w:rFonts w:hint="eastAsia"/>
                <w:highlight w:val="none"/>
                <w:u w:val="none"/>
              </w:rPr>
              <w:t>）</w:t>
            </w:r>
            <w:r>
              <w:rPr>
                <w:rFonts w:hint="eastAsia"/>
                <w:highlight w:val="none"/>
                <w:u w:val="none"/>
                <w:lang w:val="en-US" w:eastAsia="zh-CN"/>
              </w:rPr>
              <w:t>相关标准限值要求。</w:t>
            </w:r>
          </w:p>
          <w:p w14:paraId="62CA1E2B">
            <w:pPr>
              <w:keepNext w:val="0"/>
              <w:keepLines w:val="0"/>
              <w:pageBreakBefore w:val="0"/>
              <w:widowControl/>
              <w:kinsoku/>
              <w:wordWrap/>
              <w:overflowPunct/>
              <w:topLinePunct w:val="0"/>
              <w:autoSpaceDE/>
              <w:autoSpaceDN/>
              <w:bidi w:val="0"/>
              <w:adjustRightInd/>
              <w:snapToGrid/>
              <w:ind w:firstLine="480"/>
              <w:textAlignment w:val="auto"/>
              <w:rPr>
                <w:bCs/>
                <w:u w:val="single"/>
              </w:rPr>
            </w:pPr>
            <w:r>
              <w:rPr>
                <w:rFonts w:hint="eastAsia"/>
                <w:bCs/>
                <w:u w:val="none"/>
              </w:rPr>
              <w:t>本项目</w:t>
            </w:r>
            <w:r>
              <w:rPr>
                <w:rFonts w:hint="eastAsia"/>
                <w:bCs/>
                <w:u w:val="none"/>
                <w:lang w:val="en-US" w:eastAsia="zh-CN"/>
              </w:rPr>
              <w:t>产物执行</w:t>
            </w:r>
            <w:r>
              <w:rPr>
                <w:rFonts w:hint="eastAsia"/>
                <w:bCs/>
                <w:u w:val="none"/>
              </w:rPr>
              <w:t>标准指标要求见下表：</w:t>
            </w:r>
          </w:p>
          <w:p w14:paraId="7EF43BF2">
            <w:pPr>
              <w:widowControl w:val="0"/>
              <w:numPr>
                <w:ilvl w:val="0"/>
                <w:numId w:val="18"/>
              </w:numPr>
              <w:spacing w:line="240" w:lineRule="auto"/>
              <w:ind w:firstLineChars="0"/>
              <w:jc w:val="center"/>
              <w:rPr>
                <w:b/>
                <w:bCs/>
              </w:rPr>
            </w:pPr>
            <w:r>
              <w:rPr>
                <w:rFonts w:hint="eastAsia"/>
                <w:b/>
                <w:bCs/>
                <w:lang w:val="en-US" w:eastAsia="zh-CN"/>
              </w:rPr>
              <w:t>粉煤灰超细灰</w:t>
            </w:r>
            <w:r>
              <w:rPr>
                <w:rFonts w:hint="eastAsia"/>
                <w:b/>
                <w:bCs/>
              </w:rPr>
              <w:t>标准指标要求</w:t>
            </w:r>
          </w:p>
          <w:tbl>
            <w:tblPr>
              <w:tblStyle w:val="32"/>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41"/>
              <w:gridCol w:w="1542"/>
              <w:gridCol w:w="1542"/>
              <w:gridCol w:w="1552"/>
              <w:gridCol w:w="1321"/>
            </w:tblGrid>
            <w:tr w14:paraId="7BDCA5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vMerge w:val="restart"/>
                  <w:tcBorders>
                    <w:tl2br w:val="nil"/>
                    <w:tr2bl w:val="nil"/>
                  </w:tcBorders>
                  <w:shd w:val="clear" w:color="auto" w:fill="auto"/>
                  <w:vAlign w:val="center"/>
                </w:tcPr>
                <w:p w14:paraId="5D9B6698">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
                      <w:bCs/>
                      <w:sz w:val="21"/>
                      <w:szCs w:val="21"/>
                      <w:lang w:val="en-US" w:eastAsia="zh-CN" w:bidi="ar-SA"/>
                    </w:rPr>
                  </w:pPr>
                  <w:r>
                    <w:rPr>
                      <w:rFonts w:hint="eastAsia"/>
                      <w:b/>
                      <w:bCs/>
                      <w:sz w:val="21"/>
                      <w:szCs w:val="21"/>
                    </w:rPr>
                    <w:t>项目名称</w:t>
                  </w:r>
                </w:p>
              </w:tc>
              <w:tc>
                <w:tcPr>
                  <w:tcW w:w="2793" w:type="pct"/>
                  <w:gridSpan w:val="3"/>
                  <w:tcBorders>
                    <w:tl2br w:val="nil"/>
                    <w:tr2bl w:val="nil"/>
                  </w:tcBorders>
                  <w:vAlign w:val="center"/>
                </w:tcPr>
                <w:p w14:paraId="4F9F695D">
                  <w:pPr>
                    <w:widowControl w:val="0"/>
                    <w:numPr>
                      <w:ilvl w:val="255"/>
                      <w:numId w:val="0"/>
                    </w:numPr>
                    <w:tabs>
                      <w:tab w:val="left" w:pos="0"/>
                    </w:tabs>
                    <w:spacing w:line="240" w:lineRule="auto"/>
                    <w:jc w:val="center"/>
                    <w:rPr>
                      <w:b/>
                      <w:bCs/>
                      <w:sz w:val="21"/>
                      <w:szCs w:val="21"/>
                    </w:rPr>
                  </w:pPr>
                  <w:r>
                    <w:rPr>
                      <w:rFonts w:hint="eastAsia"/>
                      <w:b/>
                      <w:bCs/>
                      <w:sz w:val="21"/>
                      <w:szCs w:val="21"/>
                      <w:lang w:val="en-US" w:eastAsia="zh-CN"/>
                    </w:rPr>
                    <w:t>理化</w:t>
                  </w:r>
                  <w:r>
                    <w:rPr>
                      <w:rFonts w:hint="eastAsia"/>
                      <w:b/>
                      <w:bCs/>
                      <w:sz w:val="21"/>
                      <w:szCs w:val="21"/>
                    </w:rPr>
                    <w:t>指标要求</w:t>
                  </w:r>
                </w:p>
              </w:tc>
              <w:tc>
                <w:tcPr>
                  <w:tcW w:w="794" w:type="pct"/>
                  <w:vMerge w:val="restart"/>
                  <w:tcBorders>
                    <w:tl2br w:val="nil"/>
                    <w:tr2bl w:val="nil"/>
                  </w:tcBorders>
                  <w:vAlign w:val="center"/>
                </w:tcPr>
                <w:p w14:paraId="3199FF1C">
                  <w:pPr>
                    <w:widowControl w:val="0"/>
                    <w:numPr>
                      <w:ilvl w:val="255"/>
                      <w:numId w:val="0"/>
                    </w:numPr>
                    <w:tabs>
                      <w:tab w:val="left" w:pos="0"/>
                    </w:tabs>
                    <w:spacing w:line="240" w:lineRule="auto"/>
                    <w:jc w:val="center"/>
                    <w:rPr>
                      <w:b/>
                      <w:bCs/>
                      <w:sz w:val="21"/>
                      <w:szCs w:val="21"/>
                    </w:rPr>
                  </w:pPr>
                  <w:r>
                    <w:rPr>
                      <w:rFonts w:hint="eastAsia"/>
                      <w:b/>
                      <w:bCs/>
                      <w:sz w:val="21"/>
                      <w:szCs w:val="21"/>
                    </w:rPr>
                    <w:t>备注</w:t>
                  </w:r>
                </w:p>
              </w:tc>
            </w:tr>
            <w:tr w14:paraId="453F4A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vMerge w:val="continue"/>
                  <w:tcBorders>
                    <w:tl2br w:val="nil"/>
                    <w:tr2bl w:val="nil"/>
                  </w:tcBorders>
                  <w:shd w:val="clear" w:color="auto" w:fill="auto"/>
                  <w:vAlign w:val="center"/>
                </w:tcPr>
                <w:p w14:paraId="76F6F285">
                  <w:pPr>
                    <w:widowControl w:val="0"/>
                    <w:numPr>
                      <w:ilvl w:val="255"/>
                      <w:numId w:val="0"/>
                    </w:numPr>
                    <w:tabs>
                      <w:tab w:val="left" w:pos="0"/>
                    </w:tabs>
                    <w:spacing w:line="240" w:lineRule="auto"/>
                    <w:ind w:left="0" w:leftChars="0" w:firstLine="0" w:firstLineChars="0"/>
                    <w:jc w:val="center"/>
                    <w:rPr>
                      <w:rFonts w:hint="eastAsia"/>
                      <w:b/>
                      <w:bCs/>
                      <w:sz w:val="21"/>
                      <w:szCs w:val="21"/>
                    </w:rPr>
                  </w:pPr>
                </w:p>
              </w:tc>
              <w:tc>
                <w:tcPr>
                  <w:tcW w:w="929" w:type="pct"/>
                  <w:tcBorders>
                    <w:tl2br w:val="nil"/>
                    <w:tr2bl w:val="nil"/>
                  </w:tcBorders>
                  <w:vAlign w:val="center"/>
                </w:tcPr>
                <w:p w14:paraId="77A1713C">
                  <w:pPr>
                    <w:widowControl w:val="0"/>
                    <w:numPr>
                      <w:ilvl w:val="255"/>
                      <w:numId w:val="0"/>
                    </w:numPr>
                    <w:tabs>
                      <w:tab w:val="left" w:pos="0"/>
                    </w:tabs>
                    <w:spacing w:line="240" w:lineRule="auto"/>
                    <w:jc w:val="center"/>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1"/>
                      <w:szCs w:val="21"/>
                      <w:lang w:val="en-US" w:eastAsia="zh-CN"/>
                    </w:rPr>
                    <w:t>Ⅰ</w:t>
                  </w:r>
                </w:p>
              </w:tc>
              <w:tc>
                <w:tcPr>
                  <w:tcW w:w="929" w:type="pct"/>
                  <w:tcBorders>
                    <w:tl2br w:val="nil"/>
                    <w:tr2bl w:val="nil"/>
                  </w:tcBorders>
                  <w:vAlign w:val="center"/>
                </w:tcPr>
                <w:p w14:paraId="37F6D74D">
                  <w:pPr>
                    <w:widowControl w:val="0"/>
                    <w:numPr>
                      <w:ilvl w:val="255"/>
                      <w:numId w:val="0"/>
                    </w:numPr>
                    <w:tabs>
                      <w:tab w:val="left" w:pos="0"/>
                    </w:tabs>
                    <w:spacing w:line="240" w:lineRule="auto"/>
                    <w:jc w:val="center"/>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1"/>
                      <w:szCs w:val="21"/>
                      <w:lang w:val="en-US" w:eastAsia="zh-CN"/>
                    </w:rPr>
                    <w:t>Ⅱ</w:t>
                  </w:r>
                </w:p>
              </w:tc>
              <w:tc>
                <w:tcPr>
                  <w:tcW w:w="935" w:type="pct"/>
                  <w:tcBorders>
                    <w:tl2br w:val="nil"/>
                    <w:tr2bl w:val="nil"/>
                  </w:tcBorders>
                  <w:vAlign w:val="center"/>
                </w:tcPr>
                <w:p w14:paraId="586D9265">
                  <w:pPr>
                    <w:widowControl w:val="0"/>
                    <w:numPr>
                      <w:ilvl w:val="255"/>
                      <w:numId w:val="0"/>
                    </w:numPr>
                    <w:tabs>
                      <w:tab w:val="left" w:pos="0"/>
                    </w:tabs>
                    <w:spacing w:line="240" w:lineRule="auto"/>
                    <w:jc w:val="center"/>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1"/>
                      <w:szCs w:val="21"/>
                      <w:lang w:val="en-US" w:eastAsia="zh-CN"/>
                    </w:rPr>
                    <w:t>Ⅲ</w:t>
                  </w:r>
                </w:p>
              </w:tc>
              <w:tc>
                <w:tcPr>
                  <w:tcW w:w="794" w:type="pct"/>
                  <w:vMerge w:val="continue"/>
                  <w:tcBorders>
                    <w:tl2br w:val="nil"/>
                    <w:tr2bl w:val="nil"/>
                  </w:tcBorders>
                  <w:vAlign w:val="center"/>
                </w:tcPr>
                <w:p w14:paraId="50DBDE0B">
                  <w:pPr>
                    <w:widowControl w:val="0"/>
                    <w:numPr>
                      <w:ilvl w:val="255"/>
                      <w:numId w:val="0"/>
                    </w:numPr>
                    <w:tabs>
                      <w:tab w:val="left" w:pos="0"/>
                    </w:tabs>
                    <w:spacing w:line="240" w:lineRule="auto"/>
                    <w:jc w:val="center"/>
                    <w:rPr>
                      <w:rFonts w:hint="eastAsia"/>
                      <w:b/>
                      <w:bCs/>
                      <w:sz w:val="21"/>
                      <w:szCs w:val="21"/>
                    </w:rPr>
                  </w:pPr>
                </w:p>
              </w:tc>
            </w:tr>
            <w:tr w14:paraId="4B0348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3DBD114A">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
                      <w:bCs/>
                      <w:sz w:val="21"/>
                      <w:szCs w:val="21"/>
                      <w:lang w:val="en-US" w:eastAsia="zh-CN" w:bidi="ar-SA"/>
                    </w:rPr>
                  </w:pPr>
                  <w:r>
                    <w:rPr>
                      <w:rFonts w:hint="eastAsia"/>
                      <w:bCs/>
                      <w:sz w:val="21"/>
                      <w:szCs w:val="21"/>
                      <w:lang w:val="en-US" w:eastAsia="zh-CN"/>
                    </w:rPr>
                    <w:t>细度（45</w:t>
                  </w:r>
                  <w:r>
                    <w:rPr>
                      <w:rFonts w:hint="default" w:ascii="Times New Roman" w:hAnsi="Times New Roman" w:eastAsia="微软雅黑" w:cs="Times New Roman"/>
                      <w:bCs/>
                      <w:sz w:val="21"/>
                      <w:szCs w:val="21"/>
                      <w:lang w:val="en-US" w:eastAsia="zh-CN"/>
                    </w:rPr>
                    <w:t>μm</w:t>
                  </w:r>
                  <w:r>
                    <w:rPr>
                      <w:rFonts w:hint="eastAsia" w:ascii="宋体" w:hAnsi="宋体" w:eastAsia="宋体" w:cs="宋体"/>
                      <w:bCs/>
                      <w:sz w:val="21"/>
                      <w:szCs w:val="21"/>
                      <w:lang w:val="en-US" w:eastAsia="zh-CN"/>
                    </w:rPr>
                    <w:t>方孔筛筛余）</w:t>
                  </w:r>
                  <w:r>
                    <w:rPr>
                      <w:rFonts w:hint="default" w:ascii="Times New Roman" w:hAnsi="Times New Roman" w:eastAsia="宋体" w:cs="Times New Roman"/>
                      <w:bCs/>
                      <w:sz w:val="21"/>
                      <w:szCs w:val="21"/>
                      <w:lang w:val="en-US" w:eastAsia="zh-CN"/>
                    </w:rPr>
                    <w:t>/%</w:t>
                  </w:r>
                </w:p>
              </w:tc>
              <w:tc>
                <w:tcPr>
                  <w:tcW w:w="929" w:type="pct"/>
                  <w:tcBorders>
                    <w:tl2br w:val="nil"/>
                    <w:tr2bl w:val="nil"/>
                  </w:tcBorders>
                  <w:shd w:val="clear" w:color="auto" w:fill="auto"/>
                  <w:vAlign w:val="center"/>
                </w:tcPr>
                <w:p w14:paraId="1410D169">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bCs/>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12</w:t>
                  </w:r>
                </w:p>
              </w:tc>
              <w:tc>
                <w:tcPr>
                  <w:tcW w:w="929" w:type="pct"/>
                  <w:tcBorders>
                    <w:tl2br w:val="nil"/>
                    <w:tr2bl w:val="nil"/>
                  </w:tcBorders>
                  <w:shd w:val="clear" w:color="auto" w:fill="auto"/>
                  <w:vAlign w:val="center"/>
                </w:tcPr>
                <w:p w14:paraId="3F95DCB7">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bCs/>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30</w:t>
                  </w:r>
                </w:p>
              </w:tc>
              <w:tc>
                <w:tcPr>
                  <w:tcW w:w="935" w:type="pct"/>
                  <w:tcBorders>
                    <w:tl2br w:val="nil"/>
                    <w:tr2bl w:val="nil"/>
                  </w:tcBorders>
                  <w:shd w:val="clear" w:color="auto" w:fill="auto"/>
                  <w:vAlign w:val="center"/>
                </w:tcPr>
                <w:p w14:paraId="0EC9FC03">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bCs/>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45</w:t>
                  </w:r>
                </w:p>
              </w:tc>
              <w:tc>
                <w:tcPr>
                  <w:tcW w:w="794" w:type="pct"/>
                  <w:vMerge w:val="restart"/>
                  <w:tcBorders>
                    <w:tl2br w:val="nil"/>
                    <w:tr2bl w:val="nil"/>
                  </w:tcBorders>
                  <w:vAlign w:val="center"/>
                </w:tcPr>
                <w:p w14:paraId="1221187B">
                  <w:pPr>
                    <w:widowControl w:val="0"/>
                    <w:numPr>
                      <w:ilvl w:val="255"/>
                      <w:numId w:val="0"/>
                    </w:numPr>
                    <w:tabs>
                      <w:tab w:val="left" w:pos="0"/>
                    </w:tabs>
                    <w:spacing w:line="240" w:lineRule="auto"/>
                    <w:jc w:val="center"/>
                    <w:rPr>
                      <w:rFonts w:hint="default" w:eastAsia="宋体"/>
                      <w:b w:val="0"/>
                      <w:bCs w:val="0"/>
                      <w:sz w:val="21"/>
                      <w:szCs w:val="21"/>
                      <w:lang w:val="en-US" w:eastAsia="zh-CN"/>
                    </w:rPr>
                  </w:pPr>
                  <w:r>
                    <w:rPr>
                      <w:rFonts w:hint="eastAsia"/>
                      <w:b w:val="0"/>
                      <w:bCs w:val="0"/>
                      <w:sz w:val="21"/>
                      <w:szCs w:val="21"/>
                      <w:lang w:val="en-US" w:eastAsia="zh-CN"/>
                    </w:rPr>
                    <w:t>F类粉煤灰</w:t>
                  </w:r>
                </w:p>
              </w:tc>
            </w:tr>
            <w:tr w14:paraId="70CF51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08B1919B">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Cs/>
                      <w:sz w:val="21"/>
                      <w:szCs w:val="21"/>
                      <w:lang w:val="en-US" w:eastAsia="zh-CN" w:bidi="ar-SA"/>
                    </w:rPr>
                  </w:pPr>
                  <w:r>
                    <w:rPr>
                      <w:rFonts w:hint="eastAsia"/>
                      <w:bCs/>
                      <w:sz w:val="21"/>
                      <w:szCs w:val="21"/>
                      <w:lang w:val="en-US" w:eastAsia="zh-CN"/>
                    </w:rPr>
                    <w:t>需水量比/%</w:t>
                  </w:r>
                </w:p>
              </w:tc>
              <w:tc>
                <w:tcPr>
                  <w:tcW w:w="929" w:type="pct"/>
                  <w:tcBorders>
                    <w:tl2br w:val="nil"/>
                    <w:tr2bl w:val="nil"/>
                  </w:tcBorders>
                  <w:shd w:val="clear" w:color="auto" w:fill="auto"/>
                  <w:vAlign w:val="center"/>
                </w:tcPr>
                <w:p w14:paraId="644D92FB">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95</w:t>
                  </w:r>
                </w:p>
              </w:tc>
              <w:tc>
                <w:tcPr>
                  <w:tcW w:w="929" w:type="pct"/>
                  <w:tcBorders>
                    <w:tl2br w:val="nil"/>
                    <w:tr2bl w:val="nil"/>
                  </w:tcBorders>
                  <w:shd w:val="clear" w:color="auto" w:fill="auto"/>
                  <w:vAlign w:val="center"/>
                </w:tcPr>
                <w:p w14:paraId="7FA8581E">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105</w:t>
                  </w:r>
                </w:p>
              </w:tc>
              <w:tc>
                <w:tcPr>
                  <w:tcW w:w="935" w:type="pct"/>
                  <w:tcBorders>
                    <w:tl2br w:val="nil"/>
                    <w:tr2bl w:val="nil"/>
                  </w:tcBorders>
                  <w:shd w:val="clear" w:color="auto" w:fill="auto"/>
                  <w:vAlign w:val="center"/>
                </w:tcPr>
                <w:p w14:paraId="55E1C631">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115</w:t>
                  </w:r>
                </w:p>
              </w:tc>
              <w:tc>
                <w:tcPr>
                  <w:tcW w:w="794" w:type="pct"/>
                  <w:vMerge w:val="continue"/>
                  <w:tcBorders>
                    <w:tl2br w:val="nil"/>
                    <w:tr2bl w:val="nil"/>
                  </w:tcBorders>
                  <w:vAlign w:val="center"/>
                </w:tcPr>
                <w:p w14:paraId="0F0C957B">
                  <w:pPr>
                    <w:widowControl w:val="0"/>
                    <w:numPr>
                      <w:ilvl w:val="255"/>
                      <w:numId w:val="0"/>
                    </w:numPr>
                    <w:tabs>
                      <w:tab w:val="left" w:pos="0"/>
                    </w:tabs>
                    <w:spacing w:line="240" w:lineRule="auto"/>
                    <w:jc w:val="center"/>
                    <w:rPr>
                      <w:b w:val="0"/>
                      <w:bCs w:val="0"/>
                      <w:sz w:val="21"/>
                      <w:szCs w:val="21"/>
                    </w:rPr>
                  </w:pPr>
                </w:p>
              </w:tc>
            </w:tr>
            <w:tr w14:paraId="445DFC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0A2CEF64">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Cs/>
                      <w:sz w:val="21"/>
                      <w:szCs w:val="21"/>
                      <w:lang w:val="en-US" w:eastAsia="zh-CN" w:bidi="ar-SA"/>
                    </w:rPr>
                  </w:pPr>
                  <w:r>
                    <w:rPr>
                      <w:rFonts w:hint="eastAsia"/>
                      <w:bCs/>
                      <w:sz w:val="21"/>
                      <w:szCs w:val="21"/>
                      <w:lang w:val="en-US" w:eastAsia="zh-CN"/>
                    </w:rPr>
                    <w:t>烧失量/%</w:t>
                  </w:r>
                </w:p>
              </w:tc>
              <w:tc>
                <w:tcPr>
                  <w:tcW w:w="929" w:type="pct"/>
                  <w:tcBorders>
                    <w:tl2br w:val="nil"/>
                    <w:tr2bl w:val="nil"/>
                  </w:tcBorders>
                  <w:shd w:val="clear" w:color="auto" w:fill="auto"/>
                  <w:vAlign w:val="center"/>
                </w:tcPr>
                <w:p w14:paraId="0A8BF83A">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5.0</w:t>
                  </w:r>
                </w:p>
              </w:tc>
              <w:tc>
                <w:tcPr>
                  <w:tcW w:w="929" w:type="pct"/>
                  <w:tcBorders>
                    <w:tl2br w:val="nil"/>
                    <w:tr2bl w:val="nil"/>
                  </w:tcBorders>
                  <w:shd w:val="clear" w:color="auto" w:fill="auto"/>
                  <w:vAlign w:val="center"/>
                </w:tcPr>
                <w:p w14:paraId="339FF7CB">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8.0</w:t>
                  </w:r>
                </w:p>
              </w:tc>
              <w:tc>
                <w:tcPr>
                  <w:tcW w:w="935" w:type="pct"/>
                  <w:tcBorders>
                    <w:tl2br w:val="nil"/>
                    <w:tr2bl w:val="nil"/>
                  </w:tcBorders>
                  <w:shd w:val="clear" w:color="auto" w:fill="auto"/>
                  <w:vAlign w:val="center"/>
                </w:tcPr>
                <w:p w14:paraId="4833414D">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10.0</w:t>
                  </w:r>
                </w:p>
              </w:tc>
              <w:tc>
                <w:tcPr>
                  <w:tcW w:w="794" w:type="pct"/>
                  <w:vMerge w:val="continue"/>
                  <w:tcBorders>
                    <w:tl2br w:val="nil"/>
                    <w:tr2bl w:val="nil"/>
                  </w:tcBorders>
                  <w:vAlign w:val="center"/>
                </w:tcPr>
                <w:p w14:paraId="36BE7A13">
                  <w:pPr>
                    <w:widowControl w:val="0"/>
                    <w:numPr>
                      <w:ilvl w:val="255"/>
                      <w:numId w:val="0"/>
                    </w:numPr>
                    <w:tabs>
                      <w:tab w:val="left" w:pos="0"/>
                    </w:tabs>
                    <w:spacing w:line="240" w:lineRule="auto"/>
                    <w:jc w:val="center"/>
                    <w:rPr>
                      <w:b w:val="0"/>
                      <w:bCs w:val="0"/>
                      <w:sz w:val="21"/>
                      <w:szCs w:val="21"/>
                    </w:rPr>
                  </w:pPr>
                </w:p>
              </w:tc>
            </w:tr>
            <w:tr w14:paraId="4D257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7B21CD41">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Cs/>
                      <w:sz w:val="21"/>
                      <w:szCs w:val="21"/>
                      <w:lang w:val="en-US" w:eastAsia="zh-CN" w:bidi="ar-SA"/>
                    </w:rPr>
                  </w:pPr>
                  <w:r>
                    <w:rPr>
                      <w:rFonts w:hint="eastAsia"/>
                      <w:bCs/>
                      <w:sz w:val="21"/>
                      <w:szCs w:val="21"/>
                      <w:lang w:val="en-US" w:eastAsia="zh-CN"/>
                    </w:rPr>
                    <w:t>含水量/%</w:t>
                  </w:r>
                </w:p>
              </w:tc>
              <w:tc>
                <w:tcPr>
                  <w:tcW w:w="2793" w:type="pct"/>
                  <w:gridSpan w:val="3"/>
                  <w:tcBorders>
                    <w:tl2br w:val="nil"/>
                    <w:tr2bl w:val="nil"/>
                  </w:tcBorders>
                  <w:shd w:val="clear" w:color="auto" w:fill="auto"/>
                  <w:vAlign w:val="center"/>
                </w:tcPr>
                <w:p w14:paraId="0FF75E16">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1.0</w:t>
                  </w:r>
                </w:p>
              </w:tc>
              <w:tc>
                <w:tcPr>
                  <w:tcW w:w="794" w:type="pct"/>
                  <w:vMerge w:val="continue"/>
                  <w:tcBorders>
                    <w:tl2br w:val="nil"/>
                    <w:tr2bl w:val="nil"/>
                  </w:tcBorders>
                  <w:vAlign w:val="center"/>
                </w:tcPr>
                <w:p w14:paraId="12B88DD2">
                  <w:pPr>
                    <w:widowControl w:val="0"/>
                    <w:numPr>
                      <w:ilvl w:val="255"/>
                      <w:numId w:val="0"/>
                    </w:numPr>
                    <w:tabs>
                      <w:tab w:val="left" w:pos="0"/>
                    </w:tabs>
                    <w:spacing w:line="240" w:lineRule="auto"/>
                    <w:jc w:val="center"/>
                    <w:rPr>
                      <w:b w:val="0"/>
                      <w:bCs w:val="0"/>
                      <w:sz w:val="21"/>
                      <w:szCs w:val="21"/>
                    </w:rPr>
                  </w:pPr>
                </w:p>
              </w:tc>
            </w:tr>
            <w:tr w14:paraId="52C2E9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41B0C5AB">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Cs/>
                      <w:sz w:val="21"/>
                      <w:szCs w:val="21"/>
                      <w:lang w:val="en-US" w:eastAsia="zh-CN" w:bidi="ar-SA"/>
                    </w:rPr>
                  </w:pPr>
                  <w:r>
                    <w:rPr>
                      <w:rFonts w:hint="eastAsia"/>
                      <w:bCs/>
                      <w:sz w:val="21"/>
                      <w:szCs w:val="21"/>
                      <w:lang w:val="en-US" w:eastAsia="zh-CN"/>
                    </w:rPr>
                    <w:t>三氧化硫质量分数/%</w:t>
                  </w:r>
                </w:p>
              </w:tc>
              <w:tc>
                <w:tcPr>
                  <w:tcW w:w="2793" w:type="pct"/>
                  <w:gridSpan w:val="3"/>
                  <w:tcBorders>
                    <w:tl2br w:val="nil"/>
                    <w:tr2bl w:val="nil"/>
                  </w:tcBorders>
                  <w:shd w:val="clear" w:color="auto" w:fill="auto"/>
                  <w:vAlign w:val="center"/>
                </w:tcPr>
                <w:p w14:paraId="4DAFA1B5">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3.0</w:t>
                  </w:r>
                </w:p>
              </w:tc>
              <w:tc>
                <w:tcPr>
                  <w:tcW w:w="794" w:type="pct"/>
                  <w:vMerge w:val="continue"/>
                  <w:tcBorders>
                    <w:tl2br w:val="nil"/>
                    <w:tr2bl w:val="nil"/>
                  </w:tcBorders>
                  <w:vAlign w:val="center"/>
                </w:tcPr>
                <w:p w14:paraId="319F9925">
                  <w:pPr>
                    <w:widowControl w:val="0"/>
                    <w:numPr>
                      <w:ilvl w:val="255"/>
                      <w:numId w:val="0"/>
                    </w:numPr>
                    <w:tabs>
                      <w:tab w:val="left" w:pos="0"/>
                    </w:tabs>
                    <w:spacing w:line="240" w:lineRule="auto"/>
                    <w:jc w:val="center"/>
                    <w:rPr>
                      <w:b w:val="0"/>
                      <w:bCs w:val="0"/>
                      <w:sz w:val="21"/>
                      <w:szCs w:val="21"/>
                    </w:rPr>
                  </w:pPr>
                </w:p>
              </w:tc>
            </w:tr>
            <w:tr w14:paraId="316FD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19A3E224">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Cs/>
                      <w:sz w:val="21"/>
                      <w:szCs w:val="21"/>
                      <w:lang w:val="en-US" w:eastAsia="zh-CN" w:bidi="ar-SA"/>
                    </w:rPr>
                  </w:pPr>
                  <w:r>
                    <w:rPr>
                      <w:rFonts w:hint="eastAsia"/>
                      <w:bCs/>
                      <w:sz w:val="21"/>
                      <w:szCs w:val="21"/>
                      <w:lang w:val="en-US" w:eastAsia="zh-CN"/>
                    </w:rPr>
                    <w:t>游离氧化钙质量分数/%</w:t>
                  </w:r>
                </w:p>
              </w:tc>
              <w:tc>
                <w:tcPr>
                  <w:tcW w:w="2793" w:type="pct"/>
                  <w:gridSpan w:val="3"/>
                  <w:tcBorders>
                    <w:tl2br w:val="nil"/>
                    <w:tr2bl w:val="nil"/>
                  </w:tcBorders>
                  <w:shd w:val="clear" w:color="auto" w:fill="auto"/>
                  <w:vAlign w:val="center"/>
                </w:tcPr>
                <w:p w14:paraId="5BB82B23">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1.0</w:t>
                  </w:r>
                </w:p>
              </w:tc>
              <w:tc>
                <w:tcPr>
                  <w:tcW w:w="794" w:type="pct"/>
                  <w:vMerge w:val="continue"/>
                  <w:tcBorders>
                    <w:tl2br w:val="nil"/>
                    <w:tr2bl w:val="nil"/>
                  </w:tcBorders>
                  <w:vAlign w:val="center"/>
                </w:tcPr>
                <w:p w14:paraId="3C2B5645">
                  <w:pPr>
                    <w:widowControl w:val="0"/>
                    <w:numPr>
                      <w:ilvl w:val="255"/>
                      <w:numId w:val="0"/>
                    </w:numPr>
                    <w:tabs>
                      <w:tab w:val="left" w:pos="0"/>
                    </w:tabs>
                    <w:spacing w:line="240" w:lineRule="auto"/>
                    <w:jc w:val="center"/>
                    <w:rPr>
                      <w:rFonts w:hint="eastAsia" w:eastAsia="宋体"/>
                      <w:b w:val="0"/>
                      <w:bCs w:val="0"/>
                      <w:sz w:val="21"/>
                      <w:szCs w:val="21"/>
                      <w:lang w:val="en-US" w:eastAsia="zh-CN"/>
                    </w:rPr>
                  </w:pPr>
                </w:p>
              </w:tc>
            </w:tr>
            <w:tr w14:paraId="4988D1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597A5751">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Cs/>
                      <w:sz w:val="21"/>
                      <w:szCs w:val="21"/>
                      <w:lang w:val="en-US" w:eastAsia="zh-CN" w:bidi="ar-SA"/>
                    </w:rPr>
                  </w:pPr>
                  <w:r>
                    <w:rPr>
                      <w:rFonts w:hint="eastAsia"/>
                      <w:bCs/>
                      <w:sz w:val="21"/>
                      <w:szCs w:val="21"/>
                      <w:lang w:val="en-US" w:eastAsia="zh-CN"/>
                    </w:rPr>
                    <w:t>二氧化硅、三氧化二铝、三氧化二铁总质量分数/%</w:t>
                  </w:r>
                </w:p>
              </w:tc>
              <w:tc>
                <w:tcPr>
                  <w:tcW w:w="2793" w:type="pct"/>
                  <w:gridSpan w:val="3"/>
                  <w:tcBorders>
                    <w:tl2br w:val="nil"/>
                    <w:tr2bl w:val="nil"/>
                  </w:tcBorders>
                  <w:shd w:val="clear" w:color="auto" w:fill="auto"/>
                  <w:vAlign w:val="center"/>
                </w:tcPr>
                <w:p w14:paraId="6DB8443E">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hint="default" w:ascii="Times New Roman" w:hAnsi="Times New Roman" w:cs="Times New Roman"/>
                      <w:b w:val="0"/>
                      <w:bCs w:val="0"/>
                      <w:sz w:val="21"/>
                      <w:szCs w:val="21"/>
                    </w:rPr>
                    <w:t>≥</w:t>
                  </w:r>
                  <w:r>
                    <w:rPr>
                      <w:rFonts w:hint="eastAsia" w:eastAsia="微软雅黑"/>
                      <w:bCs/>
                      <w:sz w:val="21"/>
                      <w:szCs w:val="21"/>
                      <w:u w:val="none"/>
                      <w:lang w:val="en-US" w:eastAsia="zh-CN"/>
                    </w:rPr>
                    <w:t>70.0</w:t>
                  </w:r>
                </w:p>
              </w:tc>
              <w:tc>
                <w:tcPr>
                  <w:tcW w:w="794" w:type="pct"/>
                  <w:vMerge w:val="continue"/>
                  <w:tcBorders>
                    <w:tl2br w:val="nil"/>
                    <w:tr2bl w:val="nil"/>
                  </w:tcBorders>
                  <w:vAlign w:val="center"/>
                </w:tcPr>
                <w:p w14:paraId="20F4DE82">
                  <w:pPr>
                    <w:widowControl w:val="0"/>
                    <w:numPr>
                      <w:ilvl w:val="255"/>
                      <w:numId w:val="0"/>
                    </w:numPr>
                    <w:tabs>
                      <w:tab w:val="left" w:pos="0"/>
                    </w:tabs>
                    <w:spacing w:line="240" w:lineRule="auto"/>
                    <w:jc w:val="center"/>
                    <w:rPr>
                      <w:rFonts w:hint="eastAsia" w:eastAsia="宋体"/>
                      <w:b w:val="0"/>
                      <w:bCs w:val="0"/>
                      <w:sz w:val="21"/>
                      <w:szCs w:val="21"/>
                      <w:lang w:val="en-US" w:eastAsia="zh-CN"/>
                    </w:rPr>
                  </w:pPr>
                </w:p>
              </w:tc>
            </w:tr>
            <w:tr w14:paraId="5D0D28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3934A820">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Cs/>
                      <w:sz w:val="21"/>
                      <w:szCs w:val="21"/>
                      <w:lang w:val="en-US" w:eastAsia="zh-CN" w:bidi="ar-SA"/>
                    </w:rPr>
                  </w:pPr>
                  <w:r>
                    <w:rPr>
                      <w:rFonts w:hint="eastAsia"/>
                      <w:bCs/>
                      <w:sz w:val="21"/>
                      <w:szCs w:val="21"/>
                      <w:lang w:val="en-US" w:eastAsia="zh-CN"/>
                    </w:rPr>
                    <w:t>密度/（g/m</w:t>
                  </w:r>
                  <w:r>
                    <w:rPr>
                      <w:rFonts w:hint="eastAsia"/>
                      <w:bCs/>
                      <w:sz w:val="21"/>
                      <w:szCs w:val="21"/>
                      <w:vertAlign w:val="superscript"/>
                      <w:lang w:val="en-US" w:eastAsia="zh-CN"/>
                    </w:rPr>
                    <w:t>3</w:t>
                  </w:r>
                  <w:r>
                    <w:rPr>
                      <w:rFonts w:hint="eastAsia"/>
                      <w:bCs/>
                      <w:sz w:val="21"/>
                      <w:szCs w:val="21"/>
                      <w:lang w:val="en-US" w:eastAsia="zh-CN"/>
                    </w:rPr>
                    <w:t>）</w:t>
                  </w:r>
                </w:p>
              </w:tc>
              <w:tc>
                <w:tcPr>
                  <w:tcW w:w="2793" w:type="pct"/>
                  <w:gridSpan w:val="3"/>
                  <w:tcBorders>
                    <w:tl2br w:val="nil"/>
                    <w:tr2bl w:val="nil"/>
                  </w:tcBorders>
                  <w:shd w:val="clear" w:color="auto" w:fill="auto"/>
                  <w:vAlign w:val="center"/>
                </w:tcPr>
                <w:p w14:paraId="5B6D4AEF">
                  <w:pPr>
                    <w:widowControl w:val="0"/>
                    <w:numPr>
                      <w:ilvl w:val="255"/>
                      <w:numId w:val="0"/>
                    </w:numPr>
                    <w:tabs>
                      <w:tab w:val="left" w:pos="0"/>
                    </w:tabs>
                    <w:spacing w:line="240" w:lineRule="auto"/>
                    <w:ind w:left="0" w:leftChars="0" w:firstLine="0" w:firstLineChars="0"/>
                    <w:jc w:val="center"/>
                    <w:rPr>
                      <w:rFonts w:hint="default" w:ascii="Times New Roman" w:hAnsi="Times New Roman" w:eastAsia="宋体" w:cs="Times New Roman"/>
                      <w:b w:val="0"/>
                      <w:bCs w:val="0"/>
                      <w:sz w:val="21"/>
                      <w:szCs w:val="21"/>
                      <w:lang w:val="en-US" w:eastAsia="zh-CN" w:bidi="ar-SA"/>
                    </w:rPr>
                  </w:pPr>
                  <w:r>
                    <w:rPr>
                      <w:rFonts w:hint="default" w:ascii="Times New Roman" w:hAnsi="Times New Roman" w:cs="Times New Roman"/>
                      <w:b w:val="0"/>
                      <w:bCs w:val="0"/>
                      <w:sz w:val="21"/>
                      <w:szCs w:val="21"/>
                    </w:rPr>
                    <w:t>≥</w:t>
                  </w:r>
                  <w:r>
                    <w:rPr>
                      <w:rFonts w:hint="eastAsia" w:cs="Times New Roman"/>
                      <w:b w:val="0"/>
                      <w:bCs w:val="0"/>
                      <w:sz w:val="21"/>
                      <w:szCs w:val="21"/>
                      <w:lang w:val="en-US" w:eastAsia="zh-CN"/>
                    </w:rPr>
                    <w:t>2.6</w:t>
                  </w:r>
                </w:p>
              </w:tc>
              <w:tc>
                <w:tcPr>
                  <w:tcW w:w="794" w:type="pct"/>
                  <w:vMerge w:val="continue"/>
                  <w:tcBorders>
                    <w:tl2br w:val="nil"/>
                    <w:tr2bl w:val="nil"/>
                  </w:tcBorders>
                  <w:vAlign w:val="center"/>
                </w:tcPr>
                <w:p w14:paraId="2C6A5EE5">
                  <w:pPr>
                    <w:widowControl w:val="0"/>
                    <w:numPr>
                      <w:ilvl w:val="255"/>
                      <w:numId w:val="0"/>
                    </w:numPr>
                    <w:tabs>
                      <w:tab w:val="left" w:pos="0"/>
                    </w:tabs>
                    <w:spacing w:line="240" w:lineRule="auto"/>
                    <w:jc w:val="center"/>
                    <w:rPr>
                      <w:rFonts w:hint="eastAsia" w:eastAsia="宋体"/>
                      <w:b w:val="0"/>
                      <w:bCs w:val="0"/>
                      <w:sz w:val="21"/>
                      <w:szCs w:val="21"/>
                      <w:lang w:val="en-US" w:eastAsia="zh-CN"/>
                    </w:rPr>
                  </w:pPr>
                </w:p>
              </w:tc>
            </w:tr>
            <w:tr w14:paraId="0A5532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4BDA39C0">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Cs/>
                      <w:sz w:val="21"/>
                      <w:szCs w:val="21"/>
                      <w:lang w:val="en-US" w:eastAsia="zh-CN" w:bidi="ar-SA"/>
                    </w:rPr>
                  </w:pPr>
                  <w:r>
                    <w:rPr>
                      <w:rFonts w:hint="eastAsia"/>
                      <w:bCs/>
                      <w:sz w:val="21"/>
                      <w:szCs w:val="21"/>
                      <w:lang w:val="en-US" w:eastAsia="zh-CN"/>
                    </w:rPr>
                    <w:t>安定性（雷氏法）/（mm）</w:t>
                  </w:r>
                </w:p>
              </w:tc>
              <w:tc>
                <w:tcPr>
                  <w:tcW w:w="2793" w:type="pct"/>
                  <w:gridSpan w:val="3"/>
                  <w:tcBorders>
                    <w:tl2br w:val="nil"/>
                    <w:tr2bl w:val="nil"/>
                  </w:tcBorders>
                  <w:shd w:val="clear" w:color="auto" w:fill="auto"/>
                  <w:vAlign w:val="center"/>
                </w:tcPr>
                <w:p w14:paraId="4C040E49">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5.0</w:t>
                  </w:r>
                </w:p>
              </w:tc>
              <w:tc>
                <w:tcPr>
                  <w:tcW w:w="794" w:type="pct"/>
                  <w:vMerge w:val="continue"/>
                  <w:tcBorders>
                    <w:tl2br w:val="nil"/>
                    <w:tr2bl w:val="nil"/>
                  </w:tcBorders>
                  <w:vAlign w:val="center"/>
                </w:tcPr>
                <w:p w14:paraId="07B38D29">
                  <w:pPr>
                    <w:widowControl w:val="0"/>
                    <w:numPr>
                      <w:ilvl w:val="255"/>
                      <w:numId w:val="0"/>
                    </w:numPr>
                    <w:tabs>
                      <w:tab w:val="left" w:pos="0"/>
                    </w:tabs>
                    <w:spacing w:line="240" w:lineRule="auto"/>
                    <w:jc w:val="center"/>
                    <w:rPr>
                      <w:rFonts w:hint="eastAsia" w:eastAsia="宋体"/>
                      <w:b w:val="0"/>
                      <w:bCs w:val="0"/>
                      <w:sz w:val="21"/>
                      <w:szCs w:val="21"/>
                      <w:lang w:val="en-US" w:eastAsia="zh-CN"/>
                    </w:rPr>
                  </w:pPr>
                </w:p>
              </w:tc>
            </w:tr>
            <w:tr w14:paraId="141946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58654C4A">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Cs/>
                      <w:sz w:val="21"/>
                      <w:szCs w:val="21"/>
                      <w:lang w:val="en-US" w:eastAsia="zh-CN" w:bidi="ar-SA"/>
                    </w:rPr>
                  </w:pPr>
                  <w:r>
                    <w:rPr>
                      <w:rFonts w:hint="eastAsia"/>
                      <w:bCs/>
                      <w:sz w:val="21"/>
                      <w:szCs w:val="21"/>
                      <w:lang w:val="en-US" w:eastAsia="zh-CN"/>
                    </w:rPr>
                    <w:t>强度活性指数/%</w:t>
                  </w:r>
                </w:p>
              </w:tc>
              <w:tc>
                <w:tcPr>
                  <w:tcW w:w="2793" w:type="pct"/>
                  <w:gridSpan w:val="3"/>
                  <w:tcBorders>
                    <w:tl2br w:val="nil"/>
                    <w:tr2bl w:val="nil"/>
                  </w:tcBorders>
                  <w:shd w:val="clear" w:color="auto" w:fill="auto"/>
                  <w:vAlign w:val="center"/>
                </w:tcPr>
                <w:p w14:paraId="415CC2D0">
                  <w:pPr>
                    <w:widowControl w:val="0"/>
                    <w:numPr>
                      <w:ilvl w:val="255"/>
                      <w:numId w:val="0"/>
                    </w:numPr>
                    <w:tabs>
                      <w:tab w:val="left" w:pos="0"/>
                    </w:tabs>
                    <w:spacing w:line="240" w:lineRule="auto"/>
                    <w:ind w:left="0" w:leftChars="0" w:firstLine="0" w:firstLineChars="0"/>
                    <w:jc w:val="center"/>
                    <w:rPr>
                      <w:rFonts w:hint="default" w:ascii="Times New Roman" w:hAnsi="Times New Roman" w:eastAsia="宋体" w:cs="Times New Roman"/>
                      <w:b w:val="0"/>
                      <w:bCs w:val="0"/>
                      <w:sz w:val="21"/>
                      <w:szCs w:val="21"/>
                      <w:lang w:val="en-US" w:eastAsia="zh-CN" w:bidi="ar-SA"/>
                    </w:rPr>
                  </w:pPr>
                  <w:r>
                    <w:rPr>
                      <w:rFonts w:hint="default" w:ascii="Times New Roman" w:hAnsi="Times New Roman" w:cs="Times New Roman"/>
                      <w:b w:val="0"/>
                      <w:bCs w:val="0"/>
                      <w:sz w:val="21"/>
                      <w:szCs w:val="21"/>
                    </w:rPr>
                    <w:t>≥</w:t>
                  </w:r>
                  <w:r>
                    <w:rPr>
                      <w:rFonts w:hint="eastAsia" w:cs="Times New Roman"/>
                      <w:b w:val="0"/>
                      <w:bCs w:val="0"/>
                      <w:sz w:val="21"/>
                      <w:szCs w:val="21"/>
                      <w:lang w:val="en-US" w:eastAsia="zh-CN"/>
                    </w:rPr>
                    <w:t>70.0</w:t>
                  </w:r>
                </w:p>
              </w:tc>
              <w:tc>
                <w:tcPr>
                  <w:tcW w:w="794" w:type="pct"/>
                  <w:vMerge w:val="continue"/>
                  <w:tcBorders>
                    <w:tl2br w:val="nil"/>
                    <w:tr2bl w:val="nil"/>
                  </w:tcBorders>
                  <w:vAlign w:val="center"/>
                </w:tcPr>
                <w:p w14:paraId="761709BD">
                  <w:pPr>
                    <w:widowControl w:val="0"/>
                    <w:numPr>
                      <w:ilvl w:val="255"/>
                      <w:numId w:val="0"/>
                    </w:numPr>
                    <w:tabs>
                      <w:tab w:val="left" w:pos="0"/>
                    </w:tabs>
                    <w:spacing w:line="240" w:lineRule="auto"/>
                    <w:jc w:val="center"/>
                    <w:rPr>
                      <w:rFonts w:hint="eastAsia" w:eastAsia="宋体"/>
                      <w:b w:val="0"/>
                      <w:bCs w:val="0"/>
                      <w:sz w:val="21"/>
                      <w:szCs w:val="21"/>
                      <w:lang w:val="en-US" w:eastAsia="zh-CN"/>
                    </w:rPr>
                  </w:pPr>
                </w:p>
              </w:tc>
            </w:tr>
            <w:tr w14:paraId="0D40BC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tl2br w:val="nil"/>
                    <w:tr2bl w:val="nil"/>
                  </w:tcBorders>
                  <w:vAlign w:val="center"/>
                </w:tcPr>
                <w:p w14:paraId="1A7ECB0F">
                  <w:pPr>
                    <w:widowControl w:val="0"/>
                    <w:numPr>
                      <w:ilvl w:val="255"/>
                      <w:numId w:val="0"/>
                    </w:numPr>
                    <w:tabs>
                      <w:tab w:val="left" w:pos="0"/>
                    </w:tabs>
                    <w:spacing w:line="240" w:lineRule="auto"/>
                    <w:rPr>
                      <w:rFonts w:hint="eastAsia" w:eastAsia="宋体"/>
                      <w:b/>
                      <w:bCs/>
                      <w:sz w:val="21"/>
                      <w:szCs w:val="21"/>
                      <w:lang w:eastAsia="zh-CN"/>
                    </w:rPr>
                  </w:pPr>
                  <w:r>
                    <w:rPr>
                      <w:rFonts w:hint="eastAsia"/>
                      <w:b/>
                      <w:bCs/>
                      <w:sz w:val="21"/>
                      <w:szCs w:val="21"/>
                    </w:rPr>
                    <w:t>注：标准限值来源于《用于水泥和混凝土中的粉煤灰》（GB/T1596-2017）中“拌制砂浆和混凝土用粉煤灰”中</w:t>
                  </w:r>
                  <w:r>
                    <w:rPr>
                      <w:rFonts w:hint="eastAsia"/>
                      <w:b/>
                      <w:bCs/>
                      <w:sz w:val="21"/>
                      <w:szCs w:val="21"/>
                      <w:lang w:val="en-US" w:eastAsia="zh-CN"/>
                    </w:rPr>
                    <w:t>F</w:t>
                  </w:r>
                  <w:r>
                    <w:rPr>
                      <w:rFonts w:hint="eastAsia"/>
                      <w:b/>
                      <w:bCs/>
                      <w:sz w:val="21"/>
                      <w:szCs w:val="21"/>
                    </w:rPr>
                    <w:t>类粉煤灰，</w:t>
                  </w:r>
                  <w:r>
                    <w:rPr>
                      <w:rFonts w:hint="default" w:ascii="Times New Roman" w:hAnsi="Times New Roman" w:cs="Times New Roman"/>
                      <w:lang w:val="en-US" w:eastAsia="zh-CN"/>
                    </w:rPr>
                    <w:t>Ⅰ、Ⅱ、Ⅲ</w:t>
                  </w:r>
                  <w:r>
                    <w:rPr>
                      <w:rFonts w:hint="eastAsia"/>
                      <w:b/>
                      <w:bCs/>
                      <w:sz w:val="21"/>
                      <w:szCs w:val="21"/>
                    </w:rPr>
                    <w:t>级标准要求</w:t>
                  </w:r>
                  <w:r>
                    <w:rPr>
                      <w:rFonts w:hint="eastAsia"/>
                      <w:b/>
                      <w:bCs/>
                      <w:sz w:val="21"/>
                      <w:szCs w:val="21"/>
                      <w:lang w:eastAsia="zh-CN"/>
                    </w:rPr>
                    <w:t>。</w:t>
                  </w:r>
                </w:p>
              </w:tc>
            </w:tr>
          </w:tbl>
          <w:p w14:paraId="1A74FF4F">
            <w:pPr>
              <w:keepNext w:val="0"/>
              <w:keepLines w:val="0"/>
              <w:pageBreakBefore w:val="0"/>
              <w:widowControl/>
              <w:kinsoku/>
              <w:wordWrap/>
              <w:overflowPunct/>
              <w:topLinePunct w:val="0"/>
              <w:autoSpaceDE/>
              <w:autoSpaceDN/>
              <w:bidi w:val="0"/>
              <w:adjustRightInd/>
              <w:snapToGrid/>
              <w:spacing w:before="164" w:beforeLines="50"/>
              <w:ind w:firstLine="480"/>
              <w:textAlignment w:val="auto"/>
              <w:rPr>
                <w:rFonts w:hint="eastAsia"/>
                <w:highlight w:val="none"/>
                <w:lang w:val="en-US" w:eastAsia="zh-CN"/>
              </w:rPr>
            </w:pPr>
            <w:r>
              <w:rPr>
                <w:rFonts w:hint="eastAsia"/>
                <w:highlight w:val="none"/>
                <w:lang w:val="en-US" w:eastAsia="zh-CN"/>
              </w:rPr>
              <w:t>建设单位提供相关检测报告（详见附件5），现有项目经除尘设备处理后的粉煤灰满足</w:t>
            </w:r>
            <w:r>
              <w:rPr>
                <w:rFonts w:hint="eastAsia"/>
                <w:highlight w:val="none"/>
              </w:rPr>
              <w:t>《</w:t>
            </w:r>
            <w:r>
              <w:rPr>
                <w:rFonts w:hint="eastAsia"/>
                <w:highlight w:val="none"/>
                <w:lang w:val="en-US" w:eastAsia="zh-CN"/>
              </w:rPr>
              <w:t>用于水泥和混凝土中的粉煤灰</w:t>
            </w:r>
            <w:r>
              <w:rPr>
                <w:rFonts w:hint="eastAsia"/>
                <w:highlight w:val="none"/>
              </w:rPr>
              <w:t>》（GB/T1</w:t>
            </w:r>
            <w:r>
              <w:rPr>
                <w:rFonts w:hint="eastAsia"/>
                <w:highlight w:val="none"/>
                <w:lang w:val="en-US" w:eastAsia="zh-CN"/>
              </w:rPr>
              <w:t>596</w:t>
            </w:r>
            <w:r>
              <w:rPr>
                <w:rFonts w:hint="eastAsia"/>
                <w:highlight w:val="none"/>
              </w:rPr>
              <w:t>-20</w:t>
            </w:r>
            <w:r>
              <w:rPr>
                <w:rFonts w:hint="eastAsia"/>
                <w:highlight w:val="none"/>
                <w:lang w:val="en-US" w:eastAsia="zh-CN"/>
              </w:rPr>
              <w:t>17</w:t>
            </w:r>
            <w:r>
              <w:rPr>
                <w:rFonts w:hint="eastAsia"/>
                <w:highlight w:val="none"/>
              </w:rPr>
              <w:t>）中</w:t>
            </w:r>
            <w:r>
              <w:rPr>
                <w:rFonts w:hint="eastAsia"/>
                <w:highlight w:val="none"/>
                <w:lang w:eastAsia="zh-CN"/>
              </w:rPr>
              <w:t>“</w:t>
            </w:r>
            <w:r>
              <w:rPr>
                <w:rFonts w:hint="eastAsia"/>
                <w:highlight w:val="none"/>
                <w:lang w:val="en-US" w:eastAsia="zh-CN"/>
              </w:rPr>
              <w:t>拌制砂浆和混凝土用粉煤灰</w:t>
            </w:r>
            <w:r>
              <w:rPr>
                <w:rFonts w:hint="eastAsia"/>
                <w:highlight w:val="none"/>
                <w:lang w:eastAsia="zh-CN"/>
              </w:rPr>
              <w:t>”</w:t>
            </w:r>
            <w:r>
              <w:rPr>
                <w:rFonts w:hint="eastAsia"/>
                <w:highlight w:val="none"/>
                <w:lang w:val="en-US" w:eastAsia="zh-CN"/>
              </w:rPr>
              <w:t>中F类粉煤灰</w:t>
            </w:r>
            <w:r>
              <w:rPr>
                <w:rFonts w:hint="default" w:ascii="Times New Roman" w:hAnsi="Times New Roman" w:cs="Times New Roman"/>
                <w:highlight w:val="none"/>
                <w:lang w:val="en-US" w:eastAsia="zh-CN"/>
              </w:rPr>
              <w:t>Ⅲ</w:t>
            </w:r>
            <w:r>
              <w:rPr>
                <w:rFonts w:hint="eastAsia"/>
                <w:highlight w:val="none"/>
                <w:lang w:val="en-US" w:eastAsia="zh-CN"/>
              </w:rPr>
              <w:t>级标准，</w:t>
            </w:r>
            <w:r>
              <w:rPr>
                <w:rFonts w:hint="default" w:ascii="Times New Roman" w:hAnsi="Times New Roman" w:cs="Times New Roman"/>
                <w:highlight w:val="none"/>
                <w:lang w:val="en-US" w:eastAsia="zh-CN"/>
              </w:rPr>
              <w:t>经过分级机进一步处理后可达到F类粉煤灰Ⅰ、Ⅱ级标准</w:t>
            </w:r>
            <w:r>
              <w:rPr>
                <w:rFonts w:hint="eastAsia"/>
                <w:highlight w:val="none"/>
                <w:lang w:val="en-US" w:eastAsia="zh-CN"/>
              </w:rPr>
              <w:t>；</w:t>
            </w:r>
          </w:p>
          <w:p w14:paraId="0208026E">
            <w:pPr>
              <w:autoSpaceDE w:val="0"/>
              <w:autoSpaceDN w:val="0"/>
              <w:adjustRightInd w:val="0"/>
              <w:snapToGrid w:val="0"/>
              <w:ind w:firstLine="480"/>
              <w:rPr>
                <w:bCs/>
                <w:u w:val="single"/>
              </w:rPr>
            </w:pPr>
            <w:r>
              <w:rPr>
                <w:rFonts w:hint="eastAsia"/>
                <w:bCs/>
                <w:u w:val="single"/>
              </w:rPr>
              <w:t>项目物料平衡如下：</w:t>
            </w:r>
          </w:p>
          <w:p w14:paraId="0851ECF6">
            <w:pPr>
              <w:widowControl w:val="0"/>
              <w:numPr>
                <w:ilvl w:val="0"/>
                <w:numId w:val="18"/>
              </w:numPr>
              <w:spacing w:line="240" w:lineRule="auto"/>
              <w:ind w:firstLineChars="0"/>
              <w:jc w:val="center"/>
              <w:rPr>
                <w:b/>
                <w:highlight w:val="none"/>
                <w:u w:val="single"/>
              </w:rPr>
            </w:pPr>
            <w:r>
              <w:rPr>
                <w:rFonts w:hint="eastAsia"/>
                <w:b/>
                <w:highlight w:val="none"/>
                <w:u w:val="single"/>
              </w:rPr>
              <w:t>物料平衡表</w:t>
            </w:r>
          </w:p>
          <w:tbl>
            <w:tblPr>
              <w:tblStyle w:val="32"/>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2512"/>
              <w:gridCol w:w="1155"/>
              <w:gridCol w:w="1160"/>
              <w:gridCol w:w="2317"/>
            </w:tblGrid>
            <w:tr w14:paraId="017EC8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208" w:type="pct"/>
                  <w:gridSpan w:val="2"/>
                  <w:tcBorders>
                    <w:tl2br w:val="nil"/>
                    <w:tr2bl w:val="nil"/>
                  </w:tcBorders>
                  <w:vAlign w:val="center"/>
                </w:tcPr>
                <w:p w14:paraId="4551C582">
                  <w:pPr>
                    <w:widowControl w:val="0"/>
                    <w:adjustRightInd w:val="0"/>
                    <w:snapToGrid w:val="0"/>
                    <w:spacing w:line="240" w:lineRule="auto"/>
                    <w:ind w:firstLine="0" w:firstLineChars="0"/>
                    <w:jc w:val="center"/>
                    <w:rPr>
                      <w:rFonts w:hint="eastAsia"/>
                      <w:b/>
                      <w:sz w:val="21"/>
                      <w:szCs w:val="21"/>
                      <w:highlight w:val="none"/>
                      <w:u w:val="single"/>
                    </w:rPr>
                  </w:pPr>
                  <w:r>
                    <w:rPr>
                      <w:rFonts w:hint="eastAsia"/>
                      <w:b/>
                      <w:sz w:val="21"/>
                      <w:szCs w:val="21"/>
                      <w:highlight w:val="none"/>
                      <w:u w:val="single"/>
                    </w:rPr>
                    <w:t>投入</w:t>
                  </w:r>
                </w:p>
              </w:tc>
              <w:tc>
                <w:tcPr>
                  <w:tcW w:w="2791" w:type="pct"/>
                  <w:gridSpan w:val="3"/>
                  <w:tcBorders>
                    <w:tl2br w:val="nil"/>
                    <w:tr2bl w:val="nil"/>
                  </w:tcBorders>
                  <w:vAlign w:val="center"/>
                </w:tcPr>
                <w:p w14:paraId="5BB5AE1C">
                  <w:pPr>
                    <w:widowControl w:val="0"/>
                    <w:adjustRightInd w:val="0"/>
                    <w:snapToGrid w:val="0"/>
                    <w:spacing w:line="240" w:lineRule="auto"/>
                    <w:ind w:firstLine="0" w:firstLineChars="0"/>
                    <w:jc w:val="center"/>
                    <w:rPr>
                      <w:rFonts w:hint="eastAsia"/>
                      <w:b/>
                      <w:sz w:val="21"/>
                      <w:szCs w:val="21"/>
                      <w:highlight w:val="none"/>
                      <w:u w:val="single"/>
                    </w:rPr>
                  </w:pPr>
                  <w:r>
                    <w:rPr>
                      <w:rFonts w:hint="eastAsia"/>
                      <w:b/>
                      <w:sz w:val="21"/>
                      <w:szCs w:val="21"/>
                      <w:highlight w:val="none"/>
                      <w:u w:val="single"/>
                    </w:rPr>
                    <w:t>产出</w:t>
                  </w:r>
                </w:p>
              </w:tc>
            </w:tr>
            <w:tr w14:paraId="4380E2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695" w:type="pct"/>
                  <w:vMerge w:val="restart"/>
                  <w:tcBorders>
                    <w:tl2br w:val="nil"/>
                    <w:tr2bl w:val="nil"/>
                  </w:tcBorders>
                  <w:vAlign w:val="center"/>
                </w:tcPr>
                <w:p w14:paraId="50C46CB0">
                  <w:pPr>
                    <w:widowControl w:val="0"/>
                    <w:adjustRightInd w:val="0"/>
                    <w:snapToGrid w:val="0"/>
                    <w:spacing w:line="240" w:lineRule="auto"/>
                    <w:ind w:firstLine="0" w:firstLineChars="0"/>
                    <w:jc w:val="center"/>
                    <w:rPr>
                      <w:b/>
                      <w:sz w:val="21"/>
                      <w:szCs w:val="21"/>
                      <w:highlight w:val="none"/>
                      <w:u w:val="single"/>
                    </w:rPr>
                  </w:pPr>
                  <w:r>
                    <w:rPr>
                      <w:rFonts w:hint="eastAsia"/>
                      <w:b/>
                      <w:sz w:val="21"/>
                      <w:szCs w:val="21"/>
                      <w:highlight w:val="none"/>
                      <w:u w:val="single"/>
                    </w:rPr>
                    <w:t>物料名称</w:t>
                  </w:r>
                </w:p>
              </w:tc>
              <w:tc>
                <w:tcPr>
                  <w:tcW w:w="1513" w:type="pct"/>
                  <w:vMerge w:val="restart"/>
                  <w:tcBorders>
                    <w:tl2br w:val="nil"/>
                    <w:tr2bl w:val="nil"/>
                  </w:tcBorders>
                  <w:vAlign w:val="center"/>
                </w:tcPr>
                <w:p w14:paraId="4DBB25CF">
                  <w:pPr>
                    <w:widowControl w:val="0"/>
                    <w:adjustRightInd w:val="0"/>
                    <w:snapToGrid w:val="0"/>
                    <w:spacing w:line="240" w:lineRule="auto"/>
                    <w:ind w:firstLine="0" w:firstLineChars="0"/>
                    <w:jc w:val="center"/>
                    <w:rPr>
                      <w:rFonts w:hint="eastAsia" w:eastAsia="宋体"/>
                      <w:b/>
                      <w:sz w:val="21"/>
                      <w:szCs w:val="21"/>
                      <w:highlight w:val="none"/>
                      <w:u w:val="single"/>
                      <w:lang w:eastAsia="zh-CN"/>
                    </w:rPr>
                  </w:pPr>
                  <w:r>
                    <w:rPr>
                      <w:rFonts w:hint="eastAsia"/>
                      <w:b/>
                      <w:sz w:val="21"/>
                      <w:szCs w:val="21"/>
                      <w:highlight w:val="none"/>
                      <w:u w:val="single"/>
                    </w:rPr>
                    <w:t>物料</w:t>
                  </w:r>
                  <w:r>
                    <w:rPr>
                      <w:rFonts w:hint="eastAsia"/>
                      <w:b/>
                      <w:sz w:val="21"/>
                      <w:szCs w:val="21"/>
                      <w:highlight w:val="none"/>
                      <w:u w:val="single"/>
                      <w:lang w:val="en-US" w:eastAsia="zh-CN"/>
                    </w:rPr>
                    <w:t>重量（吨）</w:t>
                  </w:r>
                </w:p>
              </w:tc>
              <w:tc>
                <w:tcPr>
                  <w:tcW w:w="1395" w:type="pct"/>
                  <w:gridSpan w:val="2"/>
                  <w:tcBorders>
                    <w:tl2br w:val="nil"/>
                    <w:tr2bl w:val="nil"/>
                  </w:tcBorders>
                  <w:vAlign w:val="center"/>
                </w:tcPr>
                <w:p w14:paraId="0895A9BD">
                  <w:pPr>
                    <w:widowControl w:val="0"/>
                    <w:adjustRightInd w:val="0"/>
                    <w:snapToGrid w:val="0"/>
                    <w:spacing w:line="240" w:lineRule="auto"/>
                    <w:ind w:firstLine="0" w:firstLineChars="0"/>
                    <w:jc w:val="center"/>
                    <w:rPr>
                      <w:rFonts w:hint="eastAsia"/>
                      <w:b/>
                      <w:sz w:val="21"/>
                      <w:szCs w:val="21"/>
                      <w:highlight w:val="none"/>
                      <w:u w:val="single"/>
                      <w:lang w:val="en-US" w:eastAsia="zh-CN"/>
                    </w:rPr>
                  </w:pPr>
                  <w:r>
                    <w:rPr>
                      <w:rFonts w:hint="eastAsia"/>
                      <w:b/>
                      <w:sz w:val="21"/>
                      <w:szCs w:val="21"/>
                      <w:highlight w:val="none"/>
                      <w:u w:val="single"/>
                      <w:lang w:val="en-US" w:eastAsia="zh-CN"/>
                    </w:rPr>
                    <w:t>物料去向</w:t>
                  </w:r>
                </w:p>
              </w:tc>
              <w:tc>
                <w:tcPr>
                  <w:tcW w:w="1396" w:type="pct"/>
                  <w:tcBorders>
                    <w:tl2br w:val="nil"/>
                    <w:tr2bl w:val="nil"/>
                  </w:tcBorders>
                  <w:shd w:val="clear" w:color="auto" w:fill="auto"/>
                  <w:vAlign w:val="center"/>
                </w:tcPr>
                <w:p w14:paraId="3EB4207D">
                  <w:pPr>
                    <w:widowControl w:val="0"/>
                    <w:adjustRightInd w:val="0"/>
                    <w:snapToGrid w:val="0"/>
                    <w:spacing w:line="240" w:lineRule="auto"/>
                    <w:ind w:firstLine="0" w:firstLineChars="0"/>
                    <w:jc w:val="center"/>
                    <w:rPr>
                      <w:rFonts w:hint="eastAsia"/>
                      <w:b/>
                      <w:sz w:val="21"/>
                      <w:szCs w:val="21"/>
                      <w:highlight w:val="none"/>
                      <w:u w:val="single"/>
                      <w:lang w:val="en-US" w:eastAsia="zh-CN"/>
                    </w:rPr>
                  </w:pPr>
                  <w:r>
                    <w:rPr>
                      <w:rFonts w:hint="eastAsia"/>
                      <w:b/>
                      <w:sz w:val="21"/>
                      <w:szCs w:val="21"/>
                      <w:highlight w:val="none"/>
                      <w:u w:val="single"/>
                      <w:lang w:val="en-US" w:eastAsia="zh-CN"/>
                    </w:rPr>
                    <w:t>物料重量（吨）</w:t>
                  </w:r>
                </w:p>
              </w:tc>
            </w:tr>
            <w:tr w14:paraId="3D6BC8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695" w:type="pct"/>
                  <w:vMerge w:val="continue"/>
                  <w:tcBorders>
                    <w:tl2br w:val="nil"/>
                    <w:tr2bl w:val="nil"/>
                  </w:tcBorders>
                  <w:vAlign w:val="center"/>
                </w:tcPr>
                <w:p w14:paraId="2E4E98E0">
                  <w:pPr>
                    <w:widowControl w:val="0"/>
                    <w:adjustRightInd w:val="0"/>
                    <w:snapToGrid w:val="0"/>
                    <w:spacing w:line="240" w:lineRule="auto"/>
                    <w:ind w:firstLine="0" w:firstLineChars="0"/>
                    <w:jc w:val="center"/>
                    <w:rPr>
                      <w:b/>
                      <w:sz w:val="21"/>
                      <w:szCs w:val="21"/>
                      <w:highlight w:val="none"/>
                      <w:u w:val="single"/>
                    </w:rPr>
                  </w:pPr>
                </w:p>
              </w:tc>
              <w:tc>
                <w:tcPr>
                  <w:tcW w:w="1513" w:type="pct"/>
                  <w:vMerge w:val="continue"/>
                  <w:tcBorders>
                    <w:tl2br w:val="nil"/>
                    <w:tr2bl w:val="nil"/>
                  </w:tcBorders>
                  <w:vAlign w:val="center"/>
                </w:tcPr>
                <w:p w14:paraId="184B968E">
                  <w:pPr>
                    <w:widowControl w:val="0"/>
                    <w:adjustRightInd w:val="0"/>
                    <w:snapToGrid w:val="0"/>
                    <w:spacing w:line="240" w:lineRule="auto"/>
                    <w:ind w:firstLine="0" w:firstLineChars="0"/>
                    <w:jc w:val="center"/>
                    <w:rPr>
                      <w:rFonts w:hint="eastAsia" w:eastAsia="宋体"/>
                      <w:b/>
                      <w:sz w:val="21"/>
                      <w:szCs w:val="21"/>
                      <w:highlight w:val="none"/>
                      <w:u w:val="single"/>
                      <w:lang w:eastAsia="zh-CN"/>
                    </w:rPr>
                  </w:pPr>
                </w:p>
              </w:tc>
              <w:tc>
                <w:tcPr>
                  <w:tcW w:w="696" w:type="pct"/>
                  <w:vMerge w:val="restart"/>
                  <w:tcBorders>
                    <w:tl2br w:val="nil"/>
                    <w:tr2bl w:val="nil"/>
                  </w:tcBorders>
                  <w:vAlign w:val="center"/>
                </w:tcPr>
                <w:p w14:paraId="541E7168">
                  <w:pPr>
                    <w:widowControl w:val="0"/>
                    <w:adjustRightInd w:val="0"/>
                    <w:snapToGrid w:val="0"/>
                    <w:spacing w:line="240" w:lineRule="auto"/>
                    <w:ind w:firstLine="0" w:firstLineChars="0"/>
                    <w:jc w:val="center"/>
                    <w:rPr>
                      <w:rFonts w:hint="default" w:eastAsia="宋体"/>
                      <w:b w:val="0"/>
                      <w:bCs/>
                      <w:sz w:val="21"/>
                      <w:szCs w:val="21"/>
                      <w:highlight w:val="none"/>
                      <w:u w:val="single"/>
                      <w:lang w:val="en-US" w:eastAsia="zh-CN"/>
                    </w:rPr>
                  </w:pPr>
                  <w:r>
                    <w:rPr>
                      <w:rFonts w:hint="eastAsia"/>
                      <w:b w:val="0"/>
                      <w:bCs/>
                      <w:sz w:val="21"/>
                      <w:szCs w:val="21"/>
                      <w:highlight w:val="none"/>
                      <w:u w:val="single"/>
                      <w:lang w:val="en-US" w:eastAsia="zh-CN"/>
                    </w:rPr>
                    <w:t>产品</w:t>
                  </w:r>
                </w:p>
              </w:tc>
              <w:tc>
                <w:tcPr>
                  <w:tcW w:w="699" w:type="pct"/>
                  <w:tcBorders>
                    <w:tl2br w:val="nil"/>
                    <w:tr2bl w:val="nil"/>
                  </w:tcBorders>
                  <w:vAlign w:val="center"/>
                </w:tcPr>
                <w:p w14:paraId="62BADAC8">
                  <w:pPr>
                    <w:widowControl w:val="0"/>
                    <w:adjustRightInd w:val="0"/>
                    <w:snapToGrid w:val="0"/>
                    <w:spacing w:line="240" w:lineRule="auto"/>
                    <w:ind w:firstLine="0" w:firstLineChars="0"/>
                    <w:jc w:val="center"/>
                    <w:rPr>
                      <w:rFonts w:hint="default" w:ascii="Times New Roman" w:hAnsi="Times New Roman" w:eastAsia="宋体" w:cs="Times New Roman"/>
                      <w:b w:val="0"/>
                      <w:bCs/>
                      <w:sz w:val="21"/>
                      <w:szCs w:val="21"/>
                      <w:highlight w:val="none"/>
                      <w:u w:val="single"/>
                      <w:lang w:val="en-US" w:eastAsia="zh-CN"/>
                    </w:rPr>
                  </w:pPr>
                  <w:r>
                    <w:rPr>
                      <w:rFonts w:hint="default" w:ascii="Times New Roman" w:hAnsi="Times New Roman" w:eastAsia="宋体" w:cs="Times New Roman"/>
                      <w:b w:val="0"/>
                      <w:bCs/>
                      <w:sz w:val="21"/>
                      <w:szCs w:val="21"/>
                      <w:highlight w:val="none"/>
                      <w:u w:val="single"/>
                      <w:lang w:val="en-US" w:eastAsia="zh-CN"/>
                    </w:rPr>
                    <w:t>Ⅰ级灰</w:t>
                  </w:r>
                </w:p>
              </w:tc>
              <w:tc>
                <w:tcPr>
                  <w:tcW w:w="1396" w:type="pct"/>
                  <w:tcBorders>
                    <w:tl2br w:val="nil"/>
                    <w:tr2bl w:val="nil"/>
                  </w:tcBorders>
                  <w:vAlign w:val="center"/>
                </w:tcPr>
                <w:p w14:paraId="15AE7E61">
                  <w:pPr>
                    <w:widowControl w:val="0"/>
                    <w:adjustRightInd w:val="0"/>
                    <w:snapToGrid w:val="0"/>
                    <w:spacing w:line="240" w:lineRule="auto"/>
                    <w:ind w:firstLine="0" w:firstLineChars="0"/>
                    <w:jc w:val="center"/>
                    <w:rPr>
                      <w:rFonts w:hint="default"/>
                      <w:b w:val="0"/>
                      <w:bCs/>
                      <w:sz w:val="21"/>
                      <w:szCs w:val="21"/>
                      <w:highlight w:val="none"/>
                      <w:u w:val="single"/>
                      <w:lang w:val="en-US" w:eastAsia="zh-CN"/>
                    </w:rPr>
                  </w:pPr>
                  <w:r>
                    <w:rPr>
                      <w:rFonts w:hint="eastAsia"/>
                      <w:b w:val="0"/>
                      <w:bCs/>
                      <w:sz w:val="21"/>
                      <w:szCs w:val="21"/>
                      <w:highlight w:val="none"/>
                      <w:u w:val="single"/>
                      <w:lang w:val="en-US" w:eastAsia="zh-CN"/>
                    </w:rPr>
                    <w:t>179999.4294</w:t>
                  </w:r>
                </w:p>
              </w:tc>
            </w:tr>
            <w:tr w14:paraId="417B81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695" w:type="pct"/>
                  <w:vMerge w:val="continue"/>
                  <w:tcBorders>
                    <w:tl2br w:val="nil"/>
                    <w:tr2bl w:val="nil"/>
                  </w:tcBorders>
                  <w:vAlign w:val="center"/>
                </w:tcPr>
                <w:p w14:paraId="54C71C87">
                  <w:pPr>
                    <w:widowControl w:val="0"/>
                    <w:adjustRightInd w:val="0"/>
                    <w:snapToGrid w:val="0"/>
                    <w:spacing w:line="240" w:lineRule="auto"/>
                    <w:ind w:firstLine="0" w:firstLineChars="0"/>
                    <w:jc w:val="center"/>
                    <w:rPr>
                      <w:sz w:val="21"/>
                      <w:szCs w:val="21"/>
                      <w:highlight w:val="none"/>
                      <w:u w:val="single"/>
                    </w:rPr>
                  </w:pPr>
                </w:p>
              </w:tc>
              <w:tc>
                <w:tcPr>
                  <w:tcW w:w="1513" w:type="pct"/>
                  <w:vMerge w:val="continue"/>
                  <w:tcBorders>
                    <w:tl2br w:val="nil"/>
                    <w:tr2bl w:val="nil"/>
                  </w:tcBorders>
                  <w:vAlign w:val="center"/>
                </w:tcPr>
                <w:p w14:paraId="655387FB">
                  <w:pPr>
                    <w:widowControl w:val="0"/>
                    <w:adjustRightInd w:val="0"/>
                    <w:snapToGrid w:val="0"/>
                    <w:spacing w:line="240" w:lineRule="auto"/>
                    <w:ind w:firstLine="0" w:firstLineChars="0"/>
                    <w:jc w:val="center"/>
                    <w:rPr>
                      <w:sz w:val="21"/>
                      <w:szCs w:val="21"/>
                      <w:highlight w:val="none"/>
                      <w:u w:val="single"/>
                    </w:rPr>
                  </w:pPr>
                </w:p>
              </w:tc>
              <w:tc>
                <w:tcPr>
                  <w:tcW w:w="696" w:type="pct"/>
                  <w:vMerge w:val="continue"/>
                  <w:tcBorders>
                    <w:tl2br w:val="nil"/>
                    <w:tr2bl w:val="nil"/>
                  </w:tcBorders>
                  <w:vAlign w:val="center"/>
                </w:tcPr>
                <w:p w14:paraId="4E77A251">
                  <w:pPr>
                    <w:widowControl w:val="0"/>
                    <w:adjustRightInd w:val="0"/>
                    <w:snapToGrid w:val="0"/>
                    <w:spacing w:line="240" w:lineRule="auto"/>
                    <w:ind w:firstLine="0" w:firstLineChars="0"/>
                    <w:jc w:val="center"/>
                    <w:rPr>
                      <w:b w:val="0"/>
                      <w:bCs/>
                      <w:sz w:val="21"/>
                      <w:szCs w:val="21"/>
                      <w:highlight w:val="none"/>
                      <w:u w:val="single"/>
                    </w:rPr>
                  </w:pPr>
                </w:p>
              </w:tc>
              <w:tc>
                <w:tcPr>
                  <w:tcW w:w="699" w:type="pct"/>
                  <w:tcBorders>
                    <w:tl2br w:val="nil"/>
                    <w:tr2bl w:val="nil"/>
                  </w:tcBorders>
                  <w:vAlign w:val="center"/>
                </w:tcPr>
                <w:p w14:paraId="345BC381">
                  <w:pPr>
                    <w:widowControl w:val="0"/>
                    <w:adjustRightInd w:val="0"/>
                    <w:snapToGrid w:val="0"/>
                    <w:spacing w:line="240" w:lineRule="auto"/>
                    <w:ind w:firstLine="0" w:firstLineChars="0"/>
                    <w:jc w:val="center"/>
                    <w:rPr>
                      <w:rFonts w:hint="default" w:ascii="Times New Roman" w:hAnsi="Times New Roman" w:eastAsia="宋体" w:cs="Times New Roman"/>
                      <w:b w:val="0"/>
                      <w:bCs/>
                      <w:sz w:val="21"/>
                      <w:szCs w:val="21"/>
                      <w:highlight w:val="none"/>
                      <w:u w:val="single"/>
                      <w:lang w:val="en-US" w:eastAsia="zh-CN"/>
                    </w:rPr>
                  </w:pPr>
                  <w:r>
                    <w:rPr>
                      <w:rFonts w:hint="default" w:ascii="Times New Roman" w:hAnsi="Times New Roman" w:eastAsia="宋体" w:cs="Times New Roman"/>
                      <w:b w:val="0"/>
                      <w:bCs/>
                      <w:sz w:val="21"/>
                      <w:szCs w:val="21"/>
                      <w:highlight w:val="none"/>
                      <w:u w:val="single"/>
                      <w:lang w:val="en-US" w:eastAsia="zh-CN"/>
                    </w:rPr>
                    <w:t>Ⅱ级灰</w:t>
                  </w:r>
                </w:p>
              </w:tc>
              <w:tc>
                <w:tcPr>
                  <w:tcW w:w="1396" w:type="pct"/>
                  <w:tcBorders>
                    <w:tl2br w:val="nil"/>
                    <w:tr2bl w:val="nil"/>
                  </w:tcBorders>
                  <w:vAlign w:val="center"/>
                </w:tcPr>
                <w:p w14:paraId="348E9A2A">
                  <w:pPr>
                    <w:widowControl w:val="0"/>
                    <w:adjustRightInd w:val="0"/>
                    <w:snapToGrid w:val="0"/>
                    <w:spacing w:line="240" w:lineRule="auto"/>
                    <w:ind w:firstLine="0" w:firstLineChars="0"/>
                    <w:jc w:val="center"/>
                    <w:rPr>
                      <w:rFonts w:hint="default" w:eastAsia="宋体"/>
                      <w:b w:val="0"/>
                      <w:bCs/>
                      <w:sz w:val="21"/>
                      <w:szCs w:val="21"/>
                      <w:highlight w:val="none"/>
                      <w:u w:val="single"/>
                      <w:lang w:val="en-US" w:eastAsia="zh-CN"/>
                    </w:rPr>
                  </w:pPr>
                  <w:r>
                    <w:rPr>
                      <w:rFonts w:hint="eastAsia"/>
                      <w:b w:val="0"/>
                      <w:bCs/>
                      <w:sz w:val="21"/>
                      <w:szCs w:val="21"/>
                      <w:highlight w:val="none"/>
                      <w:u w:val="single"/>
                      <w:lang w:val="en-US" w:eastAsia="zh-CN"/>
                    </w:rPr>
                    <w:t>269999.1441</w:t>
                  </w:r>
                </w:p>
              </w:tc>
            </w:tr>
            <w:tr w14:paraId="45A023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695" w:type="pct"/>
                  <w:vMerge w:val="continue"/>
                  <w:tcBorders>
                    <w:tl2br w:val="nil"/>
                    <w:tr2bl w:val="nil"/>
                  </w:tcBorders>
                  <w:vAlign w:val="center"/>
                </w:tcPr>
                <w:p w14:paraId="42FD147F">
                  <w:pPr>
                    <w:widowControl w:val="0"/>
                    <w:adjustRightInd w:val="0"/>
                    <w:snapToGrid w:val="0"/>
                    <w:spacing w:line="240" w:lineRule="auto"/>
                    <w:ind w:firstLine="0" w:firstLineChars="0"/>
                    <w:jc w:val="center"/>
                    <w:rPr>
                      <w:sz w:val="21"/>
                      <w:szCs w:val="21"/>
                      <w:highlight w:val="none"/>
                      <w:u w:val="single"/>
                    </w:rPr>
                  </w:pPr>
                </w:p>
              </w:tc>
              <w:tc>
                <w:tcPr>
                  <w:tcW w:w="1513" w:type="pct"/>
                  <w:vMerge w:val="continue"/>
                  <w:tcBorders>
                    <w:tl2br w:val="nil"/>
                    <w:tr2bl w:val="nil"/>
                  </w:tcBorders>
                  <w:vAlign w:val="center"/>
                </w:tcPr>
                <w:p w14:paraId="69995870">
                  <w:pPr>
                    <w:widowControl w:val="0"/>
                    <w:adjustRightInd w:val="0"/>
                    <w:snapToGrid w:val="0"/>
                    <w:spacing w:line="240" w:lineRule="auto"/>
                    <w:ind w:firstLine="0" w:firstLineChars="0"/>
                    <w:jc w:val="center"/>
                    <w:rPr>
                      <w:sz w:val="21"/>
                      <w:szCs w:val="21"/>
                      <w:highlight w:val="none"/>
                      <w:u w:val="single"/>
                    </w:rPr>
                  </w:pPr>
                </w:p>
              </w:tc>
              <w:tc>
                <w:tcPr>
                  <w:tcW w:w="696" w:type="pct"/>
                  <w:vMerge w:val="continue"/>
                  <w:tcBorders>
                    <w:tl2br w:val="nil"/>
                    <w:tr2bl w:val="nil"/>
                  </w:tcBorders>
                  <w:vAlign w:val="center"/>
                </w:tcPr>
                <w:p w14:paraId="541EB0AC">
                  <w:pPr>
                    <w:widowControl w:val="0"/>
                    <w:adjustRightInd w:val="0"/>
                    <w:snapToGrid w:val="0"/>
                    <w:spacing w:line="240" w:lineRule="auto"/>
                    <w:ind w:firstLine="0" w:firstLineChars="0"/>
                    <w:jc w:val="center"/>
                    <w:rPr>
                      <w:b w:val="0"/>
                      <w:bCs/>
                      <w:sz w:val="21"/>
                      <w:szCs w:val="21"/>
                      <w:highlight w:val="none"/>
                      <w:u w:val="single"/>
                    </w:rPr>
                  </w:pPr>
                </w:p>
              </w:tc>
              <w:tc>
                <w:tcPr>
                  <w:tcW w:w="699" w:type="pct"/>
                  <w:tcBorders>
                    <w:tl2br w:val="nil"/>
                    <w:tr2bl w:val="nil"/>
                  </w:tcBorders>
                  <w:vAlign w:val="center"/>
                </w:tcPr>
                <w:p w14:paraId="16B023AB">
                  <w:pPr>
                    <w:widowControl w:val="0"/>
                    <w:adjustRightInd w:val="0"/>
                    <w:snapToGrid w:val="0"/>
                    <w:spacing w:line="240" w:lineRule="auto"/>
                    <w:ind w:firstLine="0" w:firstLineChars="0"/>
                    <w:jc w:val="center"/>
                    <w:rPr>
                      <w:rFonts w:hint="default" w:ascii="Times New Roman" w:hAnsi="Times New Roman" w:eastAsia="宋体" w:cs="Times New Roman"/>
                      <w:b w:val="0"/>
                      <w:bCs/>
                      <w:sz w:val="21"/>
                      <w:szCs w:val="21"/>
                      <w:highlight w:val="none"/>
                      <w:u w:val="single"/>
                      <w:lang w:val="en-US" w:eastAsia="zh-CN"/>
                    </w:rPr>
                  </w:pPr>
                  <w:r>
                    <w:rPr>
                      <w:rFonts w:hint="default" w:ascii="Times New Roman" w:hAnsi="Times New Roman" w:eastAsia="宋体" w:cs="Times New Roman"/>
                      <w:b w:val="0"/>
                      <w:bCs/>
                      <w:sz w:val="21"/>
                      <w:szCs w:val="21"/>
                      <w:highlight w:val="none"/>
                      <w:u w:val="single"/>
                      <w:lang w:val="en-US" w:eastAsia="zh-CN"/>
                    </w:rPr>
                    <w:t>Ⅲ级灰</w:t>
                  </w:r>
                </w:p>
              </w:tc>
              <w:tc>
                <w:tcPr>
                  <w:tcW w:w="1396" w:type="pct"/>
                  <w:tcBorders>
                    <w:tl2br w:val="nil"/>
                    <w:tr2bl w:val="nil"/>
                  </w:tcBorders>
                  <w:vAlign w:val="center"/>
                </w:tcPr>
                <w:p w14:paraId="12F21B1C">
                  <w:pPr>
                    <w:widowControl w:val="0"/>
                    <w:adjustRightInd w:val="0"/>
                    <w:snapToGrid w:val="0"/>
                    <w:spacing w:line="240" w:lineRule="auto"/>
                    <w:ind w:firstLine="0" w:firstLineChars="0"/>
                    <w:jc w:val="center"/>
                    <w:rPr>
                      <w:rFonts w:hint="default" w:eastAsia="宋体"/>
                      <w:b w:val="0"/>
                      <w:bCs/>
                      <w:sz w:val="21"/>
                      <w:szCs w:val="21"/>
                      <w:highlight w:val="none"/>
                      <w:u w:val="single"/>
                      <w:lang w:val="en-US" w:eastAsia="zh-CN"/>
                    </w:rPr>
                  </w:pPr>
                  <w:r>
                    <w:rPr>
                      <w:rFonts w:hint="eastAsia"/>
                      <w:b w:val="0"/>
                      <w:bCs/>
                      <w:sz w:val="21"/>
                      <w:szCs w:val="21"/>
                      <w:highlight w:val="none"/>
                      <w:u w:val="single"/>
                      <w:lang w:val="en-US" w:eastAsia="zh-CN"/>
                    </w:rPr>
                    <w:t>449998.5735</w:t>
                  </w:r>
                </w:p>
              </w:tc>
            </w:tr>
            <w:tr w14:paraId="394950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95" w:type="pct"/>
                  <w:tcBorders>
                    <w:tl2br w:val="nil"/>
                    <w:tr2bl w:val="nil"/>
                  </w:tcBorders>
                  <w:vAlign w:val="center"/>
                </w:tcPr>
                <w:p w14:paraId="0CA961EB">
                  <w:pPr>
                    <w:widowControl w:val="0"/>
                    <w:adjustRightInd w:val="0"/>
                    <w:snapToGrid w:val="0"/>
                    <w:spacing w:line="240" w:lineRule="auto"/>
                    <w:ind w:firstLine="0" w:firstLineChars="0"/>
                    <w:jc w:val="center"/>
                    <w:rPr>
                      <w:rFonts w:hint="eastAsia" w:eastAsia="宋体"/>
                      <w:bCs/>
                      <w:sz w:val="21"/>
                      <w:szCs w:val="21"/>
                      <w:highlight w:val="none"/>
                      <w:u w:val="single"/>
                      <w:lang w:val="en-US" w:eastAsia="zh-CN"/>
                    </w:rPr>
                  </w:pPr>
                  <w:r>
                    <w:rPr>
                      <w:rFonts w:hint="eastAsia"/>
                      <w:bCs/>
                      <w:sz w:val="21"/>
                      <w:szCs w:val="21"/>
                      <w:highlight w:val="none"/>
                      <w:u w:val="single"/>
                      <w:lang w:val="en-US" w:eastAsia="zh-CN"/>
                    </w:rPr>
                    <w:t>粉煤灰</w:t>
                  </w:r>
                </w:p>
              </w:tc>
              <w:tc>
                <w:tcPr>
                  <w:tcW w:w="1513" w:type="pct"/>
                  <w:tcBorders>
                    <w:tl2br w:val="nil"/>
                    <w:tr2bl w:val="nil"/>
                  </w:tcBorders>
                  <w:vAlign w:val="center"/>
                </w:tcPr>
                <w:p w14:paraId="591E352F">
                  <w:pPr>
                    <w:widowControl w:val="0"/>
                    <w:adjustRightInd w:val="0"/>
                    <w:snapToGrid w:val="0"/>
                    <w:spacing w:line="240" w:lineRule="auto"/>
                    <w:ind w:firstLine="0" w:firstLineChars="0"/>
                    <w:jc w:val="center"/>
                    <w:rPr>
                      <w:rFonts w:hint="default" w:eastAsia="宋体"/>
                      <w:bCs/>
                      <w:sz w:val="21"/>
                      <w:szCs w:val="21"/>
                      <w:highlight w:val="none"/>
                      <w:u w:val="single"/>
                      <w:lang w:val="en-US" w:eastAsia="zh-CN"/>
                    </w:rPr>
                  </w:pPr>
                  <w:r>
                    <w:rPr>
                      <w:rFonts w:hint="eastAsia"/>
                      <w:bCs/>
                      <w:sz w:val="21"/>
                      <w:szCs w:val="21"/>
                      <w:highlight w:val="none"/>
                      <w:u w:val="single"/>
                      <w:lang w:val="en-US" w:eastAsia="zh-CN"/>
                    </w:rPr>
                    <w:t>900000</w:t>
                  </w:r>
                </w:p>
              </w:tc>
              <w:tc>
                <w:tcPr>
                  <w:tcW w:w="1395" w:type="pct"/>
                  <w:gridSpan w:val="2"/>
                  <w:tcBorders>
                    <w:tl2br w:val="nil"/>
                    <w:tr2bl w:val="nil"/>
                  </w:tcBorders>
                  <w:vAlign w:val="center"/>
                </w:tcPr>
                <w:p w14:paraId="5F73C569">
                  <w:pPr>
                    <w:widowControl w:val="0"/>
                    <w:adjustRightInd w:val="0"/>
                    <w:snapToGrid w:val="0"/>
                    <w:spacing w:line="240" w:lineRule="auto"/>
                    <w:ind w:firstLine="0" w:firstLineChars="0"/>
                    <w:jc w:val="center"/>
                    <w:rPr>
                      <w:rFonts w:hint="eastAsia" w:eastAsia="宋体"/>
                      <w:bCs/>
                      <w:sz w:val="21"/>
                      <w:szCs w:val="21"/>
                      <w:highlight w:val="none"/>
                      <w:u w:val="single"/>
                      <w:lang w:val="en-US" w:eastAsia="zh-CN"/>
                    </w:rPr>
                  </w:pPr>
                  <w:r>
                    <w:rPr>
                      <w:rFonts w:hint="eastAsia"/>
                      <w:bCs/>
                      <w:sz w:val="21"/>
                      <w:szCs w:val="21"/>
                      <w:highlight w:val="none"/>
                      <w:u w:val="single"/>
                      <w:lang w:val="en-US" w:eastAsia="zh-CN"/>
                    </w:rPr>
                    <w:t>废气</w:t>
                  </w:r>
                </w:p>
              </w:tc>
              <w:tc>
                <w:tcPr>
                  <w:tcW w:w="1396" w:type="pct"/>
                  <w:tcBorders>
                    <w:tl2br w:val="nil"/>
                    <w:tr2bl w:val="nil"/>
                  </w:tcBorders>
                  <w:vAlign w:val="center"/>
                </w:tcPr>
                <w:p w14:paraId="41F741FA">
                  <w:pPr>
                    <w:widowControl w:val="0"/>
                    <w:adjustRightInd w:val="0"/>
                    <w:snapToGrid w:val="0"/>
                    <w:spacing w:line="240" w:lineRule="auto"/>
                    <w:ind w:firstLine="0" w:firstLineChars="0"/>
                    <w:jc w:val="center"/>
                    <w:rPr>
                      <w:rFonts w:hint="default" w:eastAsia="宋体"/>
                      <w:bCs/>
                      <w:sz w:val="21"/>
                      <w:szCs w:val="21"/>
                      <w:highlight w:val="none"/>
                      <w:u w:val="single"/>
                      <w:lang w:val="en-US" w:eastAsia="zh-CN"/>
                    </w:rPr>
                  </w:pPr>
                  <w:r>
                    <w:rPr>
                      <w:rFonts w:hint="eastAsia"/>
                      <w:bCs/>
                      <w:sz w:val="21"/>
                      <w:szCs w:val="21"/>
                      <w:highlight w:val="none"/>
                      <w:u w:val="single"/>
                      <w:lang w:val="en-US" w:eastAsia="zh-CN"/>
                    </w:rPr>
                    <w:t>2.853</w:t>
                  </w:r>
                </w:p>
              </w:tc>
            </w:tr>
            <w:tr w14:paraId="1B95F9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95" w:type="pct"/>
                  <w:tcBorders>
                    <w:tl2br w:val="nil"/>
                    <w:tr2bl w:val="nil"/>
                  </w:tcBorders>
                  <w:vAlign w:val="center"/>
                </w:tcPr>
                <w:p w14:paraId="0CE0935F">
                  <w:pPr>
                    <w:widowControl w:val="0"/>
                    <w:adjustRightInd w:val="0"/>
                    <w:snapToGrid w:val="0"/>
                    <w:spacing w:line="240" w:lineRule="auto"/>
                    <w:ind w:firstLine="0" w:firstLineChars="0"/>
                    <w:jc w:val="center"/>
                    <w:rPr>
                      <w:bCs/>
                      <w:sz w:val="21"/>
                      <w:szCs w:val="21"/>
                      <w:highlight w:val="none"/>
                      <w:u w:val="single"/>
                    </w:rPr>
                  </w:pPr>
                  <w:r>
                    <w:rPr>
                      <w:rFonts w:hint="eastAsia"/>
                      <w:bCs/>
                      <w:sz w:val="21"/>
                      <w:szCs w:val="21"/>
                      <w:highlight w:val="none"/>
                      <w:u w:val="single"/>
                    </w:rPr>
                    <w:t>合计</w:t>
                  </w:r>
                </w:p>
              </w:tc>
              <w:tc>
                <w:tcPr>
                  <w:tcW w:w="1513" w:type="pct"/>
                  <w:tcBorders>
                    <w:tl2br w:val="nil"/>
                    <w:tr2bl w:val="nil"/>
                  </w:tcBorders>
                  <w:vAlign w:val="center"/>
                </w:tcPr>
                <w:p w14:paraId="1E82678D">
                  <w:pPr>
                    <w:widowControl w:val="0"/>
                    <w:adjustRightInd w:val="0"/>
                    <w:snapToGrid w:val="0"/>
                    <w:spacing w:line="240" w:lineRule="auto"/>
                    <w:ind w:firstLine="0" w:firstLineChars="0"/>
                    <w:jc w:val="center"/>
                    <w:rPr>
                      <w:rFonts w:hint="default" w:eastAsia="宋体"/>
                      <w:bCs/>
                      <w:sz w:val="21"/>
                      <w:szCs w:val="21"/>
                      <w:highlight w:val="none"/>
                      <w:u w:val="single"/>
                      <w:lang w:val="en-US" w:eastAsia="zh-CN"/>
                    </w:rPr>
                  </w:pPr>
                  <w:r>
                    <w:rPr>
                      <w:rFonts w:hint="eastAsia"/>
                      <w:bCs/>
                      <w:sz w:val="21"/>
                      <w:szCs w:val="21"/>
                      <w:highlight w:val="none"/>
                      <w:u w:val="single"/>
                      <w:lang w:val="en-US" w:eastAsia="zh-CN"/>
                    </w:rPr>
                    <w:t>900000</w:t>
                  </w:r>
                </w:p>
              </w:tc>
              <w:tc>
                <w:tcPr>
                  <w:tcW w:w="1395" w:type="pct"/>
                  <w:gridSpan w:val="2"/>
                  <w:tcBorders>
                    <w:tl2br w:val="nil"/>
                    <w:tr2bl w:val="nil"/>
                  </w:tcBorders>
                  <w:vAlign w:val="center"/>
                </w:tcPr>
                <w:p w14:paraId="2A16D35B">
                  <w:pPr>
                    <w:widowControl w:val="0"/>
                    <w:adjustRightInd w:val="0"/>
                    <w:snapToGrid w:val="0"/>
                    <w:spacing w:line="240" w:lineRule="auto"/>
                    <w:ind w:firstLine="0" w:firstLineChars="0"/>
                    <w:jc w:val="center"/>
                    <w:rPr>
                      <w:bCs/>
                      <w:sz w:val="21"/>
                      <w:szCs w:val="21"/>
                      <w:highlight w:val="none"/>
                      <w:u w:val="single"/>
                    </w:rPr>
                  </w:pPr>
                  <w:r>
                    <w:rPr>
                      <w:rFonts w:hint="eastAsia"/>
                      <w:bCs/>
                      <w:sz w:val="21"/>
                      <w:szCs w:val="21"/>
                      <w:highlight w:val="none"/>
                      <w:u w:val="single"/>
                    </w:rPr>
                    <w:t>/</w:t>
                  </w:r>
                </w:p>
              </w:tc>
              <w:tc>
                <w:tcPr>
                  <w:tcW w:w="1396" w:type="pct"/>
                  <w:tcBorders>
                    <w:tl2br w:val="nil"/>
                    <w:tr2bl w:val="nil"/>
                  </w:tcBorders>
                  <w:vAlign w:val="center"/>
                </w:tcPr>
                <w:p w14:paraId="7BB0A7E4">
                  <w:pPr>
                    <w:widowControl w:val="0"/>
                    <w:adjustRightInd w:val="0"/>
                    <w:snapToGrid w:val="0"/>
                    <w:spacing w:line="240" w:lineRule="auto"/>
                    <w:ind w:firstLine="0" w:firstLineChars="0"/>
                    <w:jc w:val="center"/>
                    <w:rPr>
                      <w:rFonts w:hint="default" w:eastAsia="宋体"/>
                      <w:bCs/>
                      <w:sz w:val="21"/>
                      <w:szCs w:val="21"/>
                      <w:highlight w:val="none"/>
                      <w:u w:val="single"/>
                      <w:lang w:val="en-US" w:eastAsia="zh-CN"/>
                    </w:rPr>
                  </w:pPr>
                  <w:r>
                    <w:rPr>
                      <w:rFonts w:hint="eastAsia"/>
                      <w:bCs/>
                      <w:sz w:val="21"/>
                      <w:szCs w:val="21"/>
                      <w:highlight w:val="none"/>
                      <w:u w:val="single"/>
                      <w:lang w:val="en-US" w:eastAsia="zh-CN"/>
                    </w:rPr>
                    <w:t>900000</w:t>
                  </w:r>
                </w:p>
              </w:tc>
            </w:tr>
          </w:tbl>
          <w:p w14:paraId="077D912F">
            <w:pPr>
              <w:numPr>
                <w:ilvl w:val="0"/>
                <w:numId w:val="17"/>
              </w:numPr>
              <w:autoSpaceDE w:val="0"/>
              <w:autoSpaceDN w:val="0"/>
              <w:adjustRightInd w:val="0"/>
              <w:snapToGrid w:val="0"/>
              <w:spacing w:before="120" w:beforeLines="50"/>
              <w:ind w:firstLineChars="0"/>
              <w:rPr>
                <w:b/>
              </w:rPr>
            </w:pPr>
            <w:r>
              <w:rPr>
                <w:rFonts w:hint="eastAsia"/>
                <w:b/>
                <w:sz w:val="28"/>
                <w:szCs w:val="28"/>
              </w:rPr>
              <w:t>本项目资源及能耗消耗情况</w:t>
            </w:r>
          </w:p>
          <w:p w14:paraId="77377A15">
            <w:pPr>
              <w:autoSpaceDE w:val="0"/>
              <w:autoSpaceDN w:val="0"/>
              <w:adjustRightInd w:val="0"/>
              <w:snapToGrid w:val="0"/>
              <w:ind w:firstLine="480"/>
              <w:rPr>
                <w:rFonts w:hint="eastAsia"/>
                <w:bCs/>
              </w:rPr>
            </w:pPr>
            <w:r>
              <w:rPr>
                <w:rFonts w:hint="eastAsia"/>
                <w:bCs/>
              </w:rPr>
              <w:t>本项目营运期间原辅材料和能源消耗情况见下表：</w:t>
            </w:r>
          </w:p>
          <w:p w14:paraId="265378CF">
            <w:pPr>
              <w:widowControl w:val="0"/>
              <w:numPr>
                <w:ilvl w:val="0"/>
                <w:numId w:val="18"/>
              </w:numPr>
              <w:spacing w:line="240" w:lineRule="auto"/>
              <w:ind w:firstLineChars="0"/>
              <w:jc w:val="center"/>
              <w:rPr>
                <w:b/>
                <w:bCs/>
              </w:rPr>
            </w:pPr>
            <w:r>
              <w:rPr>
                <w:b/>
              </w:rPr>
              <w:t>主要原辅材料消耗一览表</w:t>
            </w:r>
          </w:p>
          <w:tbl>
            <w:tblPr>
              <w:tblStyle w:val="31"/>
              <w:tblW w:w="49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373"/>
              <w:gridCol w:w="1239"/>
              <w:gridCol w:w="1102"/>
              <w:gridCol w:w="644"/>
              <w:gridCol w:w="1087"/>
              <w:gridCol w:w="972"/>
              <w:gridCol w:w="1107"/>
            </w:tblGrid>
            <w:tr w14:paraId="3B17E9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blHeader/>
                <w:jc w:val="center"/>
              </w:trPr>
              <w:tc>
                <w:tcPr>
                  <w:tcW w:w="464" w:type="pct"/>
                  <w:tcBorders>
                    <w:tl2br w:val="nil"/>
                    <w:tr2bl w:val="nil"/>
                  </w:tcBorders>
                  <w:vAlign w:val="center"/>
                </w:tcPr>
                <w:p w14:paraId="6B4E565E">
                  <w:pPr>
                    <w:adjustRightInd w:val="0"/>
                    <w:snapToGrid w:val="0"/>
                    <w:spacing w:line="240" w:lineRule="auto"/>
                    <w:ind w:firstLine="0" w:firstLineChars="0"/>
                    <w:jc w:val="center"/>
                    <w:rPr>
                      <w:b/>
                      <w:bCs/>
                      <w:sz w:val="21"/>
                      <w:szCs w:val="21"/>
                      <w:u w:val="none"/>
                    </w:rPr>
                  </w:pPr>
                  <w:r>
                    <w:rPr>
                      <w:b/>
                      <w:bCs/>
                      <w:sz w:val="21"/>
                      <w:szCs w:val="21"/>
                      <w:u w:val="none"/>
                    </w:rPr>
                    <w:t>序号</w:t>
                  </w:r>
                </w:p>
              </w:tc>
              <w:tc>
                <w:tcPr>
                  <w:tcW w:w="828" w:type="pct"/>
                  <w:tcBorders>
                    <w:tl2br w:val="nil"/>
                    <w:tr2bl w:val="nil"/>
                  </w:tcBorders>
                  <w:vAlign w:val="center"/>
                </w:tcPr>
                <w:p w14:paraId="375444B1">
                  <w:pPr>
                    <w:adjustRightInd w:val="0"/>
                    <w:snapToGrid w:val="0"/>
                    <w:spacing w:line="240" w:lineRule="auto"/>
                    <w:ind w:firstLine="0" w:firstLineChars="0"/>
                    <w:jc w:val="center"/>
                    <w:rPr>
                      <w:b/>
                      <w:bCs/>
                      <w:sz w:val="21"/>
                      <w:szCs w:val="21"/>
                      <w:u w:val="none"/>
                    </w:rPr>
                  </w:pPr>
                  <w:r>
                    <w:rPr>
                      <w:b/>
                      <w:bCs/>
                      <w:sz w:val="21"/>
                      <w:szCs w:val="21"/>
                      <w:u w:val="none"/>
                    </w:rPr>
                    <w:t>原料名称</w:t>
                  </w:r>
                </w:p>
              </w:tc>
              <w:tc>
                <w:tcPr>
                  <w:tcW w:w="747" w:type="pct"/>
                  <w:tcBorders>
                    <w:tl2br w:val="nil"/>
                    <w:tr2bl w:val="nil"/>
                  </w:tcBorders>
                  <w:vAlign w:val="center"/>
                </w:tcPr>
                <w:p w14:paraId="36DC0D8C">
                  <w:pPr>
                    <w:adjustRightInd w:val="0"/>
                    <w:snapToGrid w:val="0"/>
                    <w:spacing w:line="240" w:lineRule="auto"/>
                    <w:ind w:firstLine="0" w:firstLineChars="0"/>
                    <w:jc w:val="center"/>
                    <w:rPr>
                      <w:rFonts w:hint="default" w:eastAsia="宋体"/>
                      <w:b/>
                      <w:bCs/>
                      <w:sz w:val="21"/>
                      <w:szCs w:val="21"/>
                      <w:u w:val="none"/>
                      <w:lang w:val="en-US" w:eastAsia="zh-CN"/>
                    </w:rPr>
                  </w:pPr>
                  <w:r>
                    <w:rPr>
                      <w:b/>
                      <w:bCs/>
                      <w:sz w:val="21"/>
                      <w:szCs w:val="21"/>
                      <w:u w:val="none"/>
                    </w:rPr>
                    <w:t>年用量</w:t>
                  </w:r>
                  <w:r>
                    <w:rPr>
                      <w:rFonts w:hint="eastAsia"/>
                      <w:b/>
                      <w:bCs/>
                      <w:sz w:val="21"/>
                      <w:szCs w:val="21"/>
                      <w:u w:val="none"/>
                      <w:lang w:val="en-US" w:eastAsia="zh-CN"/>
                    </w:rPr>
                    <w:t>/处理量</w:t>
                  </w:r>
                </w:p>
              </w:tc>
              <w:tc>
                <w:tcPr>
                  <w:tcW w:w="664" w:type="pct"/>
                  <w:tcBorders>
                    <w:tl2br w:val="nil"/>
                    <w:tr2bl w:val="nil"/>
                  </w:tcBorders>
                  <w:vAlign w:val="center"/>
                </w:tcPr>
                <w:p w14:paraId="33008622">
                  <w:pPr>
                    <w:adjustRightInd w:val="0"/>
                    <w:snapToGrid w:val="0"/>
                    <w:spacing w:line="240" w:lineRule="auto"/>
                    <w:ind w:firstLine="0" w:firstLineChars="0"/>
                    <w:jc w:val="center"/>
                    <w:rPr>
                      <w:b/>
                      <w:bCs/>
                      <w:sz w:val="21"/>
                      <w:szCs w:val="21"/>
                      <w:u w:val="none"/>
                    </w:rPr>
                  </w:pPr>
                  <w:r>
                    <w:rPr>
                      <w:b/>
                      <w:bCs/>
                      <w:sz w:val="21"/>
                      <w:szCs w:val="21"/>
                      <w:highlight w:val="none"/>
                      <w:u w:val="none"/>
                    </w:rPr>
                    <w:t>最大储存量</w:t>
                  </w:r>
                </w:p>
              </w:tc>
              <w:tc>
                <w:tcPr>
                  <w:tcW w:w="388" w:type="pct"/>
                  <w:tcBorders>
                    <w:tl2br w:val="nil"/>
                    <w:tr2bl w:val="nil"/>
                  </w:tcBorders>
                  <w:vAlign w:val="center"/>
                </w:tcPr>
                <w:p w14:paraId="36268AC3">
                  <w:pPr>
                    <w:adjustRightInd w:val="0"/>
                    <w:snapToGrid w:val="0"/>
                    <w:spacing w:line="240" w:lineRule="auto"/>
                    <w:ind w:firstLine="0" w:firstLineChars="0"/>
                    <w:jc w:val="center"/>
                    <w:rPr>
                      <w:b/>
                      <w:bCs/>
                      <w:sz w:val="21"/>
                      <w:szCs w:val="21"/>
                      <w:u w:val="none"/>
                    </w:rPr>
                  </w:pPr>
                  <w:r>
                    <w:rPr>
                      <w:b/>
                      <w:bCs/>
                      <w:sz w:val="21"/>
                      <w:szCs w:val="21"/>
                      <w:u w:val="none"/>
                    </w:rPr>
                    <w:t>形态</w:t>
                  </w:r>
                </w:p>
              </w:tc>
              <w:tc>
                <w:tcPr>
                  <w:tcW w:w="655" w:type="pct"/>
                  <w:tcBorders>
                    <w:tl2br w:val="nil"/>
                    <w:tr2bl w:val="nil"/>
                  </w:tcBorders>
                  <w:vAlign w:val="center"/>
                </w:tcPr>
                <w:p w14:paraId="7FA62E75">
                  <w:pPr>
                    <w:adjustRightInd w:val="0"/>
                    <w:snapToGrid w:val="0"/>
                    <w:spacing w:line="240" w:lineRule="auto"/>
                    <w:ind w:firstLine="0" w:firstLineChars="0"/>
                    <w:jc w:val="center"/>
                    <w:rPr>
                      <w:b/>
                      <w:bCs/>
                      <w:sz w:val="21"/>
                      <w:szCs w:val="21"/>
                      <w:u w:val="none"/>
                    </w:rPr>
                  </w:pPr>
                  <w:r>
                    <w:rPr>
                      <w:b/>
                      <w:bCs/>
                      <w:sz w:val="21"/>
                      <w:szCs w:val="21"/>
                      <w:u w:val="none"/>
                    </w:rPr>
                    <w:t>储存</w:t>
                  </w:r>
                </w:p>
                <w:p w14:paraId="2551339E">
                  <w:pPr>
                    <w:adjustRightInd w:val="0"/>
                    <w:snapToGrid w:val="0"/>
                    <w:spacing w:line="240" w:lineRule="auto"/>
                    <w:ind w:firstLine="0" w:firstLineChars="0"/>
                    <w:jc w:val="center"/>
                    <w:rPr>
                      <w:b/>
                      <w:bCs/>
                      <w:sz w:val="21"/>
                      <w:szCs w:val="21"/>
                      <w:u w:val="none"/>
                    </w:rPr>
                  </w:pPr>
                  <w:r>
                    <w:rPr>
                      <w:b/>
                      <w:bCs/>
                      <w:sz w:val="21"/>
                      <w:szCs w:val="21"/>
                      <w:u w:val="none"/>
                    </w:rPr>
                    <w:t>方式</w:t>
                  </w:r>
                </w:p>
              </w:tc>
              <w:tc>
                <w:tcPr>
                  <w:tcW w:w="586" w:type="pct"/>
                  <w:tcBorders>
                    <w:tl2br w:val="nil"/>
                    <w:tr2bl w:val="nil"/>
                  </w:tcBorders>
                  <w:vAlign w:val="center"/>
                </w:tcPr>
                <w:p w14:paraId="37360AA4">
                  <w:pPr>
                    <w:adjustRightInd w:val="0"/>
                    <w:snapToGrid w:val="0"/>
                    <w:spacing w:line="240" w:lineRule="auto"/>
                    <w:ind w:firstLine="0" w:firstLineChars="0"/>
                    <w:jc w:val="center"/>
                    <w:rPr>
                      <w:b/>
                      <w:bCs/>
                      <w:sz w:val="21"/>
                      <w:szCs w:val="21"/>
                      <w:u w:val="none"/>
                    </w:rPr>
                  </w:pPr>
                  <w:r>
                    <w:rPr>
                      <w:b/>
                      <w:bCs/>
                      <w:sz w:val="21"/>
                      <w:szCs w:val="21"/>
                      <w:u w:val="none"/>
                    </w:rPr>
                    <w:t>来源</w:t>
                  </w:r>
                </w:p>
              </w:tc>
              <w:tc>
                <w:tcPr>
                  <w:tcW w:w="665" w:type="pct"/>
                  <w:tcBorders>
                    <w:tl2br w:val="nil"/>
                    <w:tr2bl w:val="nil"/>
                  </w:tcBorders>
                  <w:vAlign w:val="center"/>
                </w:tcPr>
                <w:p w14:paraId="2F43120A">
                  <w:pPr>
                    <w:adjustRightInd w:val="0"/>
                    <w:snapToGrid w:val="0"/>
                    <w:spacing w:line="240" w:lineRule="auto"/>
                    <w:ind w:firstLine="0" w:firstLineChars="0"/>
                    <w:jc w:val="center"/>
                    <w:rPr>
                      <w:b/>
                      <w:bCs/>
                      <w:sz w:val="21"/>
                      <w:szCs w:val="21"/>
                      <w:u w:val="none"/>
                    </w:rPr>
                  </w:pPr>
                  <w:r>
                    <w:rPr>
                      <w:rFonts w:hint="eastAsia"/>
                      <w:b/>
                      <w:bCs/>
                      <w:sz w:val="21"/>
                      <w:szCs w:val="21"/>
                      <w:u w:val="none"/>
                    </w:rPr>
                    <w:t>备注</w:t>
                  </w:r>
                </w:p>
              </w:tc>
            </w:tr>
            <w:tr w14:paraId="442563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4" w:type="pct"/>
                  <w:tcBorders>
                    <w:tl2br w:val="nil"/>
                    <w:tr2bl w:val="nil"/>
                  </w:tcBorders>
                  <w:vAlign w:val="center"/>
                </w:tcPr>
                <w:p w14:paraId="1F532110">
                  <w:pPr>
                    <w:adjustRightInd w:val="0"/>
                    <w:snapToGrid w:val="0"/>
                    <w:spacing w:line="240" w:lineRule="auto"/>
                    <w:ind w:firstLine="0" w:firstLineChars="0"/>
                    <w:jc w:val="center"/>
                    <w:rPr>
                      <w:sz w:val="21"/>
                      <w:szCs w:val="21"/>
                      <w:u w:val="none"/>
                    </w:rPr>
                  </w:pPr>
                  <w:r>
                    <w:rPr>
                      <w:b/>
                      <w:bCs/>
                      <w:sz w:val="21"/>
                      <w:szCs w:val="21"/>
                      <w:u w:val="none"/>
                    </w:rPr>
                    <w:t>一</w:t>
                  </w:r>
                </w:p>
              </w:tc>
              <w:tc>
                <w:tcPr>
                  <w:tcW w:w="4535" w:type="pct"/>
                  <w:gridSpan w:val="7"/>
                  <w:tcBorders>
                    <w:tl2br w:val="nil"/>
                    <w:tr2bl w:val="nil"/>
                  </w:tcBorders>
                  <w:vAlign w:val="center"/>
                </w:tcPr>
                <w:p w14:paraId="532817C9">
                  <w:pPr>
                    <w:adjustRightInd w:val="0"/>
                    <w:snapToGrid w:val="0"/>
                    <w:spacing w:line="240" w:lineRule="auto"/>
                    <w:ind w:firstLine="0" w:firstLineChars="0"/>
                    <w:jc w:val="center"/>
                    <w:rPr>
                      <w:b/>
                      <w:bCs/>
                      <w:sz w:val="21"/>
                      <w:szCs w:val="21"/>
                      <w:u w:val="none"/>
                    </w:rPr>
                  </w:pPr>
                  <w:r>
                    <w:rPr>
                      <w:b/>
                      <w:bCs/>
                      <w:sz w:val="21"/>
                      <w:szCs w:val="21"/>
                      <w:u w:val="none"/>
                    </w:rPr>
                    <w:t>原辅材料消耗</w:t>
                  </w:r>
                </w:p>
              </w:tc>
            </w:tr>
            <w:tr w14:paraId="372FA1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4" w:type="pct"/>
                  <w:tcBorders>
                    <w:tl2br w:val="nil"/>
                    <w:tr2bl w:val="nil"/>
                  </w:tcBorders>
                  <w:vAlign w:val="center"/>
                </w:tcPr>
                <w:p w14:paraId="6978F4C9">
                  <w:pPr>
                    <w:adjustRightInd w:val="0"/>
                    <w:snapToGrid w:val="0"/>
                    <w:spacing w:line="240" w:lineRule="auto"/>
                    <w:ind w:firstLine="0" w:firstLineChars="0"/>
                    <w:jc w:val="center"/>
                    <w:rPr>
                      <w:sz w:val="21"/>
                      <w:szCs w:val="21"/>
                      <w:u w:val="none"/>
                    </w:rPr>
                  </w:pPr>
                  <w:r>
                    <w:rPr>
                      <w:sz w:val="21"/>
                      <w:szCs w:val="21"/>
                      <w:u w:val="none"/>
                    </w:rPr>
                    <w:t>1</w:t>
                  </w:r>
                </w:p>
              </w:tc>
              <w:tc>
                <w:tcPr>
                  <w:tcW w:w="828" w:type="pct"/>
                  <w:tcBorders>
                    <w:tl2br w:val="nil"/>
                    <w:tr2bl w:val="nil"/>
                  </w:tcBorders>
                  <w:vAlign w:val="center"/>
                </w:tcPr>
                <w:p w14:paraId="6053BF19">
                  <w:pPr>
                    <w:snapToGrid w:val="0"/>
                    <w:spacing w:line="240" w:lineRule="auto"/>
                    <w:ind w:firstLine="0" w:firstLineChars="0"/>
                    <w:jc w:val="center"/>
                    <w:rPr>
                      <w:rFonts w:hint="eastAsia" w:eastAsia="宋体"/>
                      <w:sz w:val="21"/>
                      <w:szCs w:val="21"/>
                      <w:u w:val="none"/>
                      <w:lang w:val="en-US" w:eastAsia="zh-CN"/>
                      <w14:ligatures w14:val="standardContextual"/>
                    </w:rPr>
                  </w:pPr>
                  <w:r>
                    <w:rPr>
                      <w:rFonts w:hint="eastAsia"/>
                      <w:sz w:val="21"/>
                      <w:szCs w:val="21"/>
                      <w:u w:val="none"/>
                      <w:lang w:val="en-US" w:eastAsia="zh-CN"/>
                      <w14:ligatures w14:val="standardContextual"/>
                    </w:rPr>
                    <w:t>粉煤灰</w:t>
                  </w:r>
                </w:p>
              </w:tc>
              <w:tc>
                <w:tcPr>
                  <w:tcW w:w="747" w:type="pct"/>
                  <w:tcBorders>
                    <w:tl2br w:val="nil"/>
                    <w:tr2bl w:val="nil"/>
                  </w:tcBorders>
                  <w:vAlign w:val="center"/>
                </w:tcPr>
                <w:p w14:paraId="07D71A7F">
                  <w:pPr>
                    <w:snapToGrid w:val="0"/>
                    <w:spacing w:line="240" w:lineRule="auto"/>
                    <w:ind w:firstLine="0" w:firstLineChars="0"/>
                    <w:jc w:val="center"/>
                    <w:rPr>
                      <w:rFonts w:hint="default" w:eastAsia="宋体"/>
                      <w:sz w:val="21"/>
                      <w:szCs w:val="21"/>
                      <w:u w:val="none"/>
                      <w:lang w:val="en-US" w:eastAsia="zh-CN"/>
                      <w14:ligatures w14:val="standardContextual"/>
                    </w:rPr>
                  </w:pPr>
                  <w:r>
                    <w:rPr>
                      <w:rFonts w:hint="eastAsia"/>
                      <w:sz w:val="21"/>
                      <w:szCs w:val="21"/>
                      <w:u w:val="none"/>
                      <w:lang w:val="en-US" w:eastAsia="zh-CN"/>
                      <w14:ligatures w14:val="standardContextual"/>
                    </w:rPr>
                    <w:t>90万吨</w:t>
                  </w:r>
                </w:p>
              </w:tc>
              <w:tc>
                <w:tcPr>
                  <w:tcW w:w="664" w:type="pct"/>
                  <w:tcBorders>
                    <w:tl2br w:val="nil"/>
                    <w:tr2bl w:val="nil"/>
                  </w:tcBorders>
                  <w:vAlign w:val="center"/>
                </w:tcPr>
                <w:p w14:paraId="622029A4">
                  <w:pPr>
                    <w:snapToGrid w:val="0"/>
                    <w:spacing w:line="240" w:lineRule="auto"/>
                    <w:ind w:firstLine="0" w:firstLineChars="0"/>
                    <w:jc w:val="center"/>
                    <w:rPr>
                      <w:rFonts w:hint="default" w:eastAsia="宋体"/>
                      <w:sz w:val="21"/>
                      <w:szCs w:val="21"/>
                      <w:u w:val="none"/>
                      <w:lang w:val="en-US" w:eastAsia="zh-CN"/>
                      <w14:ligatures w14:val="standardContextual"/>
                    </w:rPr>
                  </w:pPr>
                  <w:r>
                    <w:rPr>
                      <w:rFonts w:hint="eastAsia"/>
                      <w:sz w:val="21"/>
                      <w:szCs w:val="21"/>
                      <w:u w:val="none"/>
                      <w:lang w:val="en-US" w:eastAsia="zh-CN"/>
                      <w14:ligatures w14:val="standardContextual"/>
                    </w:rPr>
                    <w:t>9625</w:t>
                  </w:r>
                </w:p>
              </w:tc>
              <w:tc>
                <w:tcPr>
                  <w:tcW w:w="388" w:type="pct"/>
                  <w:tcBorders>
                    <w:tl2br w:val="nil"/>
                    <w:tr2bl w:val="nil"/>
                  </w:tcBorders>
                  <w:vAlign w:val="center"/>
                </w:tcPr>
                <w:p w14:paraId="06EA5891">
                  <w:pPr>
                    <w:snapToGrid w:val="0"/>
                    <w:spacing w:line="240" w:lineRule="auto"/>
                    <w:ind w:firstLine="0" w:firstLineChars="0"/>
                    <w:jc w:val="center"/>
                    <w:rPr>
                      <w:rFonts w:hint="eastAsia" w:eastAsia="宋体"/>
                      <w:sz w:val="21"/>
                      <w:szCs w:val="21"/>
                      <w:u w:val="none"/>
                      <w:lang w:val="en-US" w:eastAsia="zh-CN"/>
                      <w14:ligatures w14:val="standardContextual"/>
                    </w:rPr>
                  </w:pPr>
                  <w:r>
                    <w:rPr>
                      <w:rFonts w:hint="eastAsia"/>
                      <w:sz w:val="21"/>
                      <w:szCs w:val="21"/>
                      <w:u w:val="none"/>
                      <w:lang w:val="en-US" w:eastAsia="zh-CN"/>
                      <w14:ligatures w14:val="standardContextual"/>
                    </w:rPr>
                    <w:t>固</w:t>
                  </w:r>
                </w:p>
              </w:tc>
              <w:tc>
                <w:tcPr>
                  <w:tcW w:w="655" w:type="pct"/>
                  <w:tcBorders>
                    <w:tl2br w:val="nil"/>
                    <w:tr2bl w:val="nil"/>
                  </w:tcBorders>
                  <w:vAlign w:val="center"/>
                </w:tcPr>
                <w:p w14:paraId="675459F0">
                  <w:pPr>
                    <w:snapToGrid w:val="0"/>
                    <w:spacing w:line="240" w:lineRule="auto"/>
                    <w:ind w:firstLine="0" w:firstLineChars="0"/>
                    <w:jc w:val="center"/>
                    <w:rPr>
                      <w:rFonts w:hint="default" w:eastAsia="宋体"/>
                      <w:sz w:val="21"/>
                      <w:szCs w:val="21"/>
                      <w:u w:val="none"/>
                      <w:lang w:val="en-US" w:eastAsia="zh-CN"/>
                      <w14:ligatures w14:val="standardContextual"/>
                    </w:rPr>
                  </w:pPr>
                  <w:r>
                    <w:rPr>
                      <w:rFonts w:hint="eastAsia"/>
                      <w:sz w:val="21"/>
                      <w:szCs w:val="21"/>
                      <w:u w:val="none"/>
                      <w:lang w:val="en-US" w:eastAsia="zh-CN"/>
                      <w14:ligatures w14:val="standardContextual"/>
                    </w:rPr>
                    <w:t>灰罐储存</w:t>
                  </w:r>
                </w:p>
              </w:tc>
              <w:tc>
                <w:tcPr>
                  <w:tcW w:w="586" w:type="pct"/>
                  <w:tcBorders>
                    <w:tl2br w:val="nil"/>
                    <w:tr2bl w:val="nil"/>
                  </w:tcBorders>
                  <w:vAlign w:val="center"/>
                </w:tcPr>
                <w:p w14:paraId="2A0B2CEC">
                  <w:pPr>
                    <w:snapToGrid w:val="0"/>
                    <w:spacing w:line="240" w:lineRule="auto"/>
                    <w:ind w:firstLine="0" w:firstLineChars="0"/>
                    <w:jc w:val="center"/>
                    <w:rPr>
                      <w:rFonts w:hint="default" w:eastAsia="宋体"/>
                      <w:sz w:val="21"/>
                      <w:szCs w:val="21"/>
                      <w:u w:val="none"/>
                      <w:lang w:val="en-US" w:eastAsia="zh-CN"/>
                      <w14:ligatures w14:val="standardContextual"/>
                    </w:rPr>
                  </w:pPr>
                  <w:r>
                    <w:rPr>
                      <w:rFonts w:hint="eastAsia"/>
                      <w:sz w:val="21"/>
                      <w:szCs w:val="21"/>
                      <w:u w:val="none"/>
                      <w:lang w:val="en-US" w:eastAsia="zh-CN"/>
                      <w14:ligatures w14:val="standardContextual"/>
                    </w:rPr>
                    <w:t>电厂静电除尘系统</w:t>
                  </w:r>
                </w:p>
              </w:tc>
              <w:tc>
                <w:tcPr>
                  <w:tcW w:w="665" w:type="pct"/>
                  <w:tcBorders>
                    <w:tl2br w:val="nil"/>
                    <w:tr2bl w:val="nil"/>
                  </w:tcBorders>
                  <w:vAlign w:val="center"/>
                </w:tcPr>
                <w:p w14:paraId="09C72052">
                  <w:pPr>
                    <w:snapToGrid w:val="0"/>
                    <w:spacing w:line="240" w:lineRule="auto"/>
                    <w:ind w:firstLine="0" w:firstLineChars="0"/>
                    <w:jc w:val="center"/>
                    <w:rPr>
                      <w:sz w:val="21"/>
                      <w:szCs w:val="21"/>
                      <w:u w:val="none"/>
                      <w14:ligatures w14:val="standardContextual"/>
                    </w:rPr>
                  </w:pPr>
                  <w:r>
                    <w:rPr>
                      <w:rFonts w:hint="eastAsia"/>
                      <w:sz w:val="21"/>
                      <w:szCs w:val="21"/>
                      <w:u w:val="none"/>
                      <w14:ligatures w14:val="standardContextual"/>
                    </w:rPr>
                    <w:t>/</w:t>
                  </w:r>
                </w:p>
              </w:tc>
            </w:tr>
            <w:tr w14:paraId="6BF70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4" w:type="pct"/>
                  <w:tcBorders>
                    <w:tl2br w:val="nil"/>
                    <w:tr2bl w:val="nil"/>
                  </w:tcBorders>
                  <w:vAlign w:val="center"/>
                </w:tcPr>
                <w:p w14:paraId="25D75142">
                  <w:pPr>
                    <w:adjustRightInd w:val="0"/>
                    <w:snapToGrid w:val="0"/>
                    <w:spacing w:line="240" w:lineRule="auto"/>
                    <w:ind w:firstLine="0" w:firstLineChars="0"/>
                    <w:jc w:val="center"/>
                    <w:rPr>
                      <w:sz w:val="21"/>
                      <w:szCs w:val="21"/>
                      <w:u w:val="none"/>
                    </w:rPr>
                  </w:pPr>
                  <w:r>
                    <w:rPr>
                      <w:b/>
                      <w:bCs/>
                      <w:sz w:val="21"/>
                      <w:szCs w:val="21"/>
                      <w:u w:val="none"/>
                    </w:rPr>
                    <w:t>二</w:t>
                  </w:r>
                </w:p>
              </w:tc>
              <w:tc>
                <w:tcPr>
                  <w:tcW w:w="4535" w:type="pct"/>
                  <w:gridSpan w:val="7"/>
                  <w:tcBorders>
                    <w:tl2br w:val="nil"/>
                    <w:tr2bl w:val="nil"/>
                  </w:tcBorders>
                  <w:vAlign w:val="center"/>
                </w:tcPr>
                <w:p w14:paraId="50551AEE">
                  <w:pPr>
                    <w:adjustRightInd w:val="0"/>
                    <w:snapToGrid w:val="0"/>
                    <w:spacing w:line="240" w:lineRule="auto"/>
                    <w:ind w:firstLine="0" w:firstLineChars="0"/>
                    <w:jc w:val="center"/>
                    <w:rPr>
                      <w:b/>
                      <w:bCs/>
                      <w:sz w:val="21"/>
                      <w:szCs w:val="21"/>
                      <w:u w:val="none"/>
                    </w:rPr>
                  </w:pPr>
                  <w:r>
                    <w:rPr>
                      <w:b/>
                      <w:bCs/>
                      <w:sz w:val="21"/>
                      <w:szCs w:val="21"/>
                      <w:u w:val="none"/>
                    </w:rPr>
                    <w:t>资源及能源消耗</w:t>
                  </w:r>
                </w:p>
              </w:tc>
            </w:tr>
            <w:tr w14:paraId="5952E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4" w:type="pct"/>
                  <w:tcBorders>
                    <w:tl2br w:val="nil"/>
                    <w:tr2bl w:val="nil"/>
                  </w:tcBorders>
                  <w:vAlign w:val="center"/>
                </w:tcPr>
                <w:p w14:paraId="05BA5D52">
                  <w:pPr>
                    <w:adjustRightInd w:val="0"/>
                    <w:snapToGrid w:val="0"/>
                    <w:spacing w:line="240" w:lineRule="auto"/>
                    <w:ind w:firstLine="0" w:firstLineChars="0"/>
                    <w:jc w:val="center"/>
                    <w:rPr>
                      <w:sz w:val="21"/>
                      <w:szCs w:val="21"/>
                      <w:u w:val="none"/>
                    </w:rPr>
                  </w:pPr>
                  <w:r>
                    <w:rPr>
                      <w:rFonts w:hint="eastAsia"/>
                      <w:sz w:val="21"/>
                      <w:szCs w:val="21"/>
                      <w:u w:val="none"/>
                      <w:lang w:val="en-US" w:eastAsia="zh-CN"/>
                    </w:rPr>
                    <w:t>1</w:t>
                  </w:r>
                </w:p>
              </w:tc>
              <w:tc>
                <w:tcPr>
                  <w:tcW w:w="828" w:type="pct"/>
                  <w:tcBorders>
                    <w:tl2br w:val="nil"/>
                    <w:tr2bl w:val="nil"/>
                  </w:tcBorders>
                  <w:vAlign w:val="center"/>
                </w:tcPr>
                <w:p w14:paraId="599AD52D">
                  <w:pPr>
                    <w:pStyle w:val="172"/>
                    <w:spacing w:line="240" w:lineRule="auto"/>
                    <w:ind w:firstLine="0" w:firstLineChars="0"/>
                    <w:rPr>
                      <w:kern w:val="2"/>
                      <w:sz w:val="21"/>
                      <w:szCs w:val="21"/>
                      <w:u w:val="none"/>
                      <w:lang w:eastAsia="zh-CN"/>
                    </w:rPr>
                  </w:pPr>
                  <w:r>
                    <w:rPr>
                      <w:rFonts w:hint="eastAsia" w:ascii="宋体" w:hAnsi="宋体" w:eastAsia="宋体" w:cs="宋体"/>
                      <w:kern w:val="2"/>
                      <w:sz w:val="21"/>
                      <w:szCs w:val="21"/>
                      <w:u w:val="none"/>
                      <w:lang w:eastAsia="zh-CN"/>
                    </w:rPr>
                    <w:t>电</w:t>
                  </w:r>
                </w:p>
              </w:tc>
              <w:tc>
                <w:tcPr>
                  <w:tcW w:w="747" w:type="pct"/>
                  <w:tcBorders>
                    <w:tl2br w:val="nil"/>
                    <w:tr2bl w:val="nil"/>
                  </w:tcBorders>
                  <w:vAlign w:val="center"/>
                </w:tcPr>
                <w:p w14:paraId="23F0F6A4">
                  <w:pPr>
                    <w:pStyle w:val="172"/>
                    <w:spacing w:line="240" w:lineRule="auto"/>
                    <w:ind w:firstLine="0" w:firstLineChars="0"/>
                    <w:rPr>
                      <w:rFonts w:hint="default"/>
                      <w:kern w:val="2"/>
                      <w:sz w:val="21"/>
                      <w:szCs w:val="21"/>
                      <w:u w:val="none"/>
                      <w:lang w:val="en-US" w:eastAsia="zh-CN"/>
                    </w:rPr>
                  </w:pPr>
                  <w:r>
                    <w:rPr>
                      <w:rFonts w:hint="eastAsia"/>
                      <w:kern w:val="2"/>
                      <w:sz w:val="21"/>
                      <w:szCs w:val="21"/>
                      <w:u w:val="none"/>
                      <w:lang w:val="en-US" w:eastAsia="zh-CN"/>
                    </w:rPr>
                    <w:t>220万kW</w:t>
                  </w:r>
                  <w:r>
                    <w:rPr>
                      <w:rFonts w:hint="default" w:ascii="Times New Roman" w:hAnsi="Times New Roman" w:cs="Times New Roman"/>
                      <w:kern w:val="2"/>
                      <w:sz w:val="21"/>
                      <w:szCs w:val="21"/>
                      <w:u w:val="none"/>
                      <w:lang w:val="en-US" w:eastAsia="zh-CN"/>
                    </w:rPr>
                    <w:t>·</w:t>
                  </w:r>
                  <w:r>
                    <w:rPr>
                      <w:rFonts w:hint="eastAsia"/>
                      <w:kern w:val="2"/>
                      <w:sz w:val="21"/>
                      <w:szCs w:val="21"/>
                      <w:u w:val="none"/>
                      <w:lang w:val="en-US" w:eastAsia="zh-CN"/>
                    </w:rPr>
                    <w:t>h</w:t>
                  </w:r>
                </w:p>
              </w:tc>
              <w:tc>
                <w:tcPr>
                  <w:tcW w:w="664" w:type="pct"/>
                  <w:tcBorders>
                    <w:tl2br w:val="nil"/>
                    <w:tr2bl w:val="nil"/>
                  </w:tcBorders>
                  <w:vAlign w:val="center"/>
                </w:tcPr>
                <w:p w14:paraId="6E32BC81">
                  <w:pPr>
                    <w:adjustRightInd w:val="0"/>
                    <w:snapToGrid w:val="0"/>
                    <w:spacing w:line="240" w:lineRule="auto"/>
                    <w:ind w:firstLine="0" w:firstLineChars="0"/>
                    <w:jc w:val="center"/>
                    <w:rPr>
                      <w:sz w:val="21"/>
                      <w:szCs w:val="21"/>
                      <w:u w:val="none"/>
                    </w:rPr>
                  </w:pPr>
                  <w:r>
                    <w:rPr>
                      <w:sz w:val="21"/>
                      <w:szCs w:val="21"/>
                      <w:u w:val="none"/>
                    </w:rPr>
                    <w:t>/</w:t>
                  </w:r>
                </w:p>
              </w:tc>
              <w:tc>
                <w:tcPr>
                  <w:tcW w:w="388" w:type="pct"/>
                  <w:tcBorders>
                    <w:tl2br w:val="nil"/>
                    <w:tr2bl w:val="nil"/>
                  </w:tcBorders>
                  <w:vAlign w:val="center"/>
                </w:tcPr>
                <w:p w14:paraId="2B769348">
                  <w:pPr>
                    <w:adjustRightInd w:val="0"/>
                    <w:snapToGrid w:val="0"/>
                    <w:spacing w:line="240" w:lineRule="auto"/>
                    <w:ind w:firstLine="0" w:firstLineChars="0"/>
                    <w:jc w:val="center"/>
                    <w:rPr>
                      <w:sz w:val="21"/>
                      <w:szCs w:val="21"/>
                      <w:u w:val="none"/>
                    </w:rPr>
                  </w:pPr>
                  <w:r>
                    <w:rPr>
                      <w:rFonts w:hint="eastAsia"/>
                      <w:sz w:val="21"/>
                      <w:szCs w:val="21"/>
                      <w:u w:val="none"/>
                    </w:rPr>
                    <w:t>/</w:t>
                  </w:r>
                </w:p>
              </w:tc>
              <w:tc>
                <w:tcPr>
                  <w:tcW w:w="655" w:type="pct"/>
                  <w:tcBorders>
                    <w:tl2br w:val="nil"/>
                    <w:tr2bl w:val="nil"/>
                  </w:tcBorders>
                  <w:vAlign w:val="center"/>
                </w:tcPr>
                <w:p w14:paraId="7EFCF2B7">
                  <w:pPr>
                    <w:adjustRightInd w:val="0"/>
                    <w:snapToGrid w:val="0"/>
                    <w:spacing w:line="240" w:lineRule="auto"/>
                    <w:ind w:firstLine="0" w:firstLineChars="0"/>
                    <w:jc w:val="center"/>
                    <w:rPr>
                      <w:sz w:val="21"/>
                      <w:szCs w:val="21"/>
                      <w:u w:val="none"/>
                    </w:rPr>
                  </w:pPr>
                  <w:r>
                    <w:rPr>
                      <w:sz w:val="21"/>
                      <w:szCs w:val="21"/>
                      <w:u w:val="none"/>
                    </w:rPr>
                    <w:t>/</w:t>
                  </w:r>
                </w:p>
              </w:tc>
              <w:tc>
                <w:tcPr>
                  <w:tcW w:w="586" w:type="pct"/>
                  <w:tcBorders>
                    <w:tl2br w:val="nil"/>
                    <w:tr2bl w:val="nil"/>
                  </w:tcBorders>
                  <w:vAlign w:val="center"/>
                </w:tcPr>
                <w:p w14:paraId="48F85436">
                  <w:pPr>
                    <w:adjustRightInd w:val="0"/>
                    <w:snapToGrid w:val="0"/>
                    <w:spacing w:line="240" w:lineRule="auto"/>
                    <w:ind w:firstLine="0" w:firstLineChars="0"/>
                    <w:jc w:val="center"/>
                    <w:rPr>
                      <w:sz w:val="21"/>
                      <w:szCs w:val="21"/>
                      <w:u w:val="none"/>
                    </w:rPr>
                  </w:pPr>
                  <w:r>
                    <w:rPr>
                      <w:rFonts w:hint="eastAsia"/>
                      <w:sz w:val="21"/>
                      <w:szCs w:val="21"/>
                      <w:u w:val="none"/>
                      <w:lang w:val="en-US" w:eastAsia="zh-CN"/>
                    </w:rPr>
                    <w:t>电厂厂内用电</w:t>
                  </w:r>
                </w:p>
              </w:tc>
              <w:tc>
                <w:tcPr>
                  <w:tcW w:w="665" w:type="pct"/>
                  <w:tcBorders>
                    <w:tl2br w:val="nil"/>
                    <w:tr2bl w:val="nil"/>
                  </w:tcBorders>
                  <w:vAlign w:val="center"/>
                </w:tcPr>
                <w:p w14:paraId="79C36DA9">
                  <w:pPr>
                    <w:adjustRightInd w:val="0"/>
                    <w:snapToGrid w:val="0"/>
                    <w:spacing w:line="240" w:lineRule="auto"/>
                    <w:ind w:firstLine="0" w:firstLineChars="0"/>
                    <w:jc w:val="center"/>
                    <w:rPr>
                      <w:sz w:val="21"/>
                      <w:szCs w:val="21"/>
                      <w:u w:val="none"/>
                    </w:rPr>
                  </w:pPr>
                  <w:r>
                    <w:rPr>
                      <w:rFonts w:hint="eastAsia"/>
                      <w:sz w:val="21"/>
                      <w:szCs w:val="21"/>
                      <w:u w:val="none"/>
                    </w:rPr>
                    <w:t>/</w:t>
                  </w:r>
                </w:p>
              </w:tc>
            </w:tr>
          </w:tbl>
          <w:p w14:paraId="6381AB2A">
            <w:pPr>
              <w:numPr>
                <w:ilvl w:val="0"/>
                <w:numId w:val="17"/>
              </w:numPr>
              <w:autoSpaceDE w:val="0"/>
              <w:autoSpaceDN w:val="0"/>
              <w:adjustRightInd w:val="0"/>
              <w:snapToGrid w:val="0"/>
              <w:spacing w:before="120" w:beforeLines="50"/>
              <w:ind w:firstLineChars="0"/>
              <w:rPr>
                <w:b/>
                <w:u w:val="none"/>
              </w:rPr>
            </w:pPr>
            <w:r>
              <w:rPr>
                <w:rFonts w:hint="eastAsia"/>
                <w:b/>
                <w:sz w:val="28"/>
                <w:szCs w:val="28"/>
                <w:u w:val="none"/>
              </w:rPr>
              <w:t>主要设备</w:t>
            </w:r>
          </w:p>
          <w:p w14:paraId="009052DD">
            <w:pPr>
              <w:autoSpaceDE w:val="0"/>
              <w:autoSpaceDN w:val="0"/>
              <w:adjustRightInd w:val="0"/>
              <w:snapToGrid w:val="0"/>
              <w:ind w:firstLine="480"/>
              <w:rPr>
                <w:rFonts w:hint="eastAsia"/>
                <w:bCs/>
                <w:u w:val="none"/>
              </w:rPr>
            </w:pPr>
            <w:r>
              <w:rPr>
                <w:rFonts w:hint="eastAsia"/>
                <w:bCs/>
                <w:u w:val="none"/>
              </w:rPr>
              <w:t>本项目主要设备如下表所示。</w:t>
            </w:r>
          </w:p>
          <w:p w14:paraId="3BC78B47">
            <w:pPr>
              <w:widowControl w:val="0"/>
              <w:numPr>
                <w:ilvl w:val="0"/>
                <w:numId w:val="18"/>
              </w:numPr>
              <w:spacing w:line="240" w:lineRule="auto"/>
              <w:ind w:firstLineChars="0"/>
              <w:jc w:val="center"/>
            </w:pPr>
            <w:r>
              <w:rPr>
                <w:rFonts w:hint="eastAsia"/>
                <w:b/>
                <w:bCs/>
              </w:rPr>
              <w:t>本项目主要设备一览表</w:t>
            </w:r>
          </w:p>
          <w:tbl>
            <w:tblPr>
              <w:tblStyle w:val="31"/>
              <w:tblW w:w="5000"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1112"/>
              <w:gridCol w:w="4725"/>
              <w:gridCol w:w="662"/>
              <w:gridCol w:w="1126"/>
            </w:tblGrid>
            <w:tr w14:paraId="172E4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9" w:hRule="atLeast"/>
                <w:tblHeader/>
              </w:trPr>
              <w:tc>
                <w:tcPr>
                  <w:tcW w:w="407" w:type="pct"/>
                  <w:tcBorders>
                    <w:tl2br w:val="nil"/>
                    <w:tr2bl w:val="nil"/>
                  </w:tcBorders>
                  <w:vAlign w:val="center"/>
                </w:tcPr>
                <w:p w14:paraId="1705899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u w:val="single"/>
                    </w:rPr>
                  </w:pPr>
                  <w:r>
                    <w:rPr>
                      <w:rFonts w:hint="default" w:ascii="Times New Roman" w:hAnsi="Times New Roman" w:eastAsia="宋体" w:cs="Times New Roman"/>
                      <w:b/>
                      <w:bCs/>
                      <w:sz w:val="21"/>
                      <w:szCs w:val="21"/>
                      <w:u w:val="single"/>
                    </w:rPr>
                    <w:t>序号</w:t>
                  </w:r>
                </w:p>
              </w:tc>
              <w:tc>
                <w:tcPr>
                  <w:tcW w:w="670" w:type="pct"/>
                  <w:tcBorders>
                    <w:tl2br w:val="nil"/>
                    <w:tr2bl w:val="nil"/>
                  </w:tcBorders>
                  <w:vAlign w:val="center"/>
                </w:tcPr>
                <w:p w14:paraId="4A7B162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u w:val="single"/>
                    </w:rPr>
                  </w:pPr>
                  <w:r>
                    <w:rPr>
                      <w:rFonts w:hint="default" w:ascii="Times New Roman" w:hAnsi="Times New Roman" w:eastAsia="宋体" w:cs="Times New Roman"/>
                      <w:b/>
                      <w:bCs/>
                      <w:sz w:val="21"/>
                      <w:szCs w:val="21"/>
                      <w:u w:val="single"/>
                    </w:rPr>
                    <w:t>名称</w:t>
                  </w:r>
                </w:p>
              </w:tc>
              <w:tc>
                <w:tcPr>
                  <w:tcW w:w="2846" w:type="pct"/>
                  <w:tcBorders>
                    <w:tl2br w:val="nil"/>
                    <w:tr2bl w:val="nil"/>
                  </w:tcBorders>
                  <w:vAlign w:val="center"/>
                </w:tcPr>
                <w:p w14:paraId="6F0DC2E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u w:val="single"/>
                    </w:rPr>
                  </w:pPr>
                  <w:r>
                    <w:rPr>
                      <w:rFonts w:hint="default" w:ascii="Times New Roman" w:hAnsi="Times New Roman" w:eastAsia="宋体" w:cs="Times New Roman"/>
                      <w:b/>
                      <w:bCs/>
                      <w:sz w:val="21"/>
                      <w:szCs w:val="21"/>
                      <w:u w:val="single"/>
                    </w:rPr>
                    <w:t>规格型号</w:t>
                  </w:r>
                </w:p>
              </w:tc>
              <w:tc>
                <w:tcPr>
                  <w:tcW w:w="399" w:type="pct"/>
                  <w:tcBorders>
                    <w:tl2br w:val="nil"/>
                    <w:tr2bl w:val="nil"/>
                  </w:tcBorders>
                  <w:vAlign w:val="center"/>
                </w:tcPr>
                <w:p w14:paraId="0B53750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u w:val="single"/>
                    </w:rPr>
                  </w:pPr>
                  <w:r>
                    <w:rPr>
                      <w:rFonts w:hint="default" w:ascii="Times New Roman" w:hAnsi="Times New Roman" w:eastAsia="宋体" w:cs="Times New Roman"/>
                      <w:b/>
                      <w:bCs/>
                      <w:sz w:val="21"/>
                      <w:szCs w:val="21"/>
                      <w:u w:val="single"/>
                    </w:rPr>
                    <w:t>数量</w:t>
                  </w:r>
                </w:p>
              </w:tc>
              <w:tc>
                <w:tcPr>
                  <w:tcW w:w="676" w:type="pct"/>
                  <w:tcBorders>
                    <w:tl2br w:val="nil"/>
                    <w:tr2bl w:val="nil"/>
                  </w:tcBorders>
                  <w:vAlign w:val="center"/>
                </w:tcPr>
                <w:p w14:paraId="607582F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bCs/>
                      <w:sz w:val="21"/>
                      <w:szCs w:val="21"/>
                      <w:u w:val="single"/>
                      <w:lang w:eastAsia="zh-CN"/>
                    </w:rPr>
                  </w:pPr>
                  <w:r>
                    <w:rPr>
                      <w:rFonts w:hint="eastAsia" w:ascii="Times New Roman" w:hAnsi="Times New Roman" w:eastAsia="宋体" w:cs="Times New Roman"/>
                      <w:b/>
                      <w:bCs/>
                      <w:sz w:val="21"/>
                      <w:szCs w:val="21"/>
                      <w:u w:val="single"/>
                      <w:lang w:val="en-US" w:eastAsia="zh-CN"/>
                    </w:rPr>
                    <w:t>备注</w:t>
                  </w:r>
                </w:p>
              </w:tc>
            </w:tr>
            <w:tr w14:paraId="3D60B4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5000" w:type="pct"/>
                  <w:gridSpan w:val="5"/>
                  <w:tcBorders>
                    <w:tl2br w:val="nil"/>
                    <w:tr2bl w:val="nil"/>
                  </w:tcBorders>
                  <w:vAlign w:val="center"/>
                </w:tcPr>
                <w:p w14:paraId="4B8DB67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b/>
                      <w:bCs/>
                      <w:sz w:val="21"/>
                      <w:szCs w:val="21"/>
                      <w:u w:val="single"/>
                      <w:lang w:val="en-US" w:eastAsia="zh-CN"/>
                    </w:rPr>
                    <w:t>一期灰库</w:t>
                  </w:r>
                </w:p>
              </w:tc>
            </w:tr>
            <w:tr w14:paraId="4509EE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407" w:type="pct"/>
                  <w:tcBorders>
                    <w:tl2br w:val="nil"/>
                    <w:tr2bl w:val="nil"/>
                  </w:tcBorders>
                  <w:vAlign w:val="center"/>
                </w:tcPr>
                <w:p w14:paraId="652FFE4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1</w:t>
                  </w:r>
                </w:p>
              </w:tc>
              <w:tc>
                <w:tcPr>
                  <w:tcW w:w="670" w:type="pct"/>
                  <w:tcBorders>
                    <w:tl2br w:val="nil"/>
                    <w:tr2bl w:val="nil"/>
                  </w:tcBorders>
                  <w:vAlign w:val="center"/>
                </w:tcPr>
                <w:p w14:paraId="7D3BD15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干灰散装机</w:t>
                  </w:r>
                </w:p>
              </w:tc>
              <w:tc>
                <w:tcPr>
                  <w:tcW w:w="2846" w:type="pct"/>
                  <w:tcBorders>
                    <w:tl2br w:val="nil"/>
                    <w:tr2bl w:val="nil"/>
                  </w:tcBorders>
                  <w:vAlign w:val="center"/>
                </w:tcPr>
                <w:p w14:paraId="7ADC1DF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型号：SZG-100；口径：300mm；出力：100（150）t/h；升降行程：2m；</w:t>
                  </w:r>
                </w:p>
              </w:tc>
              <w:tc>
                <w:tcPr>
                  <w:tcW w:w="399" w:type="pct"/>
                  <w:tcBorders>
                    <w:tl2br w:val="nil"/>
                    <w:tr2bl w:val="nil"/>
                  </w:tcBorders>
                  <w:vAlign w:val="center"/>
                </w:tcPr>
                <w:p w14:paraId="68DD378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eastAsia="zh-CN"/>
                    </w:rPr>
                  </w:pPr>
                  <w:r>
                    <w:rPr>
                      <w:rFonts w:hint="eastAsia" w:cs="Times New Roman"/>
                      <w:sz w:val="21"/>
                      <w:szCs w:val="21"/>
                      <w:u w:val="single"/>
                      <w:lang w:val="en-US" w:eastAsia="zh-CN" w:bidi="ar"/>
                    </w:rPr>
                    <w:t>1</w:t>
                  </w:r>
                </w:p>
              </w:tc>
              <w:tc>
                <w:tcPr>
                  <w:tcW w:w="676" w:type="pct"/>
                  <w:tcBorders>
                    <w:tl2br w:val="nil"/>
                    <w:tr2bl w:val="nil"/>
                  </w:tcBorders>
                  <w:vAlign w:val="center"/>
                </w:tcPr>
                <w:p w14:paraId="2175F37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依托现有</w:t>
                  </w:r>
                </w:p>
              </w:tc>
            </w:tr>
            <w:tr w14:paraId="4C5BA9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407" w:type="pct"/>
                  <w:tcBorders>
                    <w:tl2br w:val="nil"/>
                    <w:tr2bl w:val="nil"/>
                  </w:tcBorders>
                  <w:vAlign w:val="center"/>
                </w:tcPr>
                <w:p w14:paraId="28FE500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2</w:t>
                  </w:r>
                </w:p>
              </w:tc>
              <w:tc>
                <w:tcPr>
                  <w:tcW w:w="670" w:type="pct"/>
                  <w:tcBorders>
                    <w:tl2br w:val="nil"/>
                    <w:tr2bl w:val="nil"/>
                  </w:tcBorders>
                  <w:vAlign w:val="center"/>
                </w:tcPr>
                <w:p w14:paraId="3F51C8B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散装机脉冲布袋除尘器</w:t>
                  </w:r>
                </w:p>
              </w:tc>
              <w:tc>
                <w:tcPr>
                  <w:tcW w:w="2846" w:type="pct"/>
                  <w:tcBorders>
                    <w:tl2br w:val="nil"/>
                    <w:tr2bl w:val="nil"/>
                  </w:tcBorders>
                  <w:vAlign w:val="center"/>
                </w:tcPr>
                <w:p w14:paraId="3F8D944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型号：DMC-32；过滤面积：12m²；过滤风速：＜1.5m/min；效率：＞99.9%；功率：2.2</w:t>
                  </w:r>
                  <w:r>
                    <w:rPr>
                      <w:rFonts w:hint="eastAsia" w:cs="Times New Roman"/>
                      <w:sz w:val="21"/>
                      <w:szCs w:val="21"/>
                      <w:highlight w:val="none"/>
                      <w:u w:val="single"/>
                      <w:lang w:eastAsia="zh-CN"/>
                    </w:rPr>
                    <w:t>kW</w:t>
                  </w:r>
                </w:p>
              </w:tc>
              <w:tc>
                <w:tcPr>
                  <w:tcW w:w="399" w:type="pct"/>
                  <w:tcBorders>
                    <w:tl2br w:val="nil"/>
                    <w:tr2bl w:val="nil"/>
                  </w:tcBorders>
                  <w:vAlign w:val="center"/>
                </w:tcPr>
                <w:p w14:paraId="27C804A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highlight w:val="none"/>
                      <w:u w:val="single"/>
                      <w:lang w:eastAsia="zh-CN"/>
                    </w:rPr>
                  </w:pPr>
                  <w:r>
                    <w:rPr>
                      <w:rFonts w:hint="eastAsia" w:cs="Times New Roman"/>
                      <w:sz w:val="21"/>
                      <w:szCs w:val="21"/>
                      <w:highlight w:val="none"/>
                      <w:u w:val="single"/>
                      <w:lang w:val="en-US" w:eastAsia="zh-CN" w:bidi="ar"/>
                    </w:rPr>
                    <w:t>1</w:t>
                  </w:r>
                </w:p>
              </w:tc>
              <w:tc>
                <w:tcPr>
                  <w:tcW w:w="676" w:type="pct"/>
                  <w:tcBorders>
                    <w:tl2br w:val="nil"/>
                    <w:tr2bl w:val="nil"/>
                  </w:tcBorders>
                  <w:vAlign w:val="center"/>
                </w:tcPr>
                <w:p w14:paraId="2223A41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依托现有</w:t>
                  </w:r>
                </w:p>
              </w:tc>
            </w:tr>
            <w:tr w14:paraId="36E0A8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407" w:type="pct"/>
                  <w:tcBorders>
                    <w:tl2br w:val="nil"/>
                    <w:tr2bl w:val="nil"/>
                  </w:tcBorders>
                  <w:vAlign w:val="center"/>
                </w:tcPr>
                <w:p w14:paraId="737DB49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3</w:t>
                  </w:r>
                </w:p>
              </w:tc>
              <w:tc>
                <w:tcPr>
                  <w:tcW w:w="670" w:type="pct"/>
                  <w:tcBorders>
                    <w:tl2br w:val="nil"/>
                    <w:tr2bl w:val="nil"/>
                  </w:tcBorders>
                  <w:vAlign w:val="center"/>
                </w:tcPr>
                <w:p w14:paraId="38861A9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散装机脉冲布袋除尘器</w:t>
                  </w:r>
                </w:p>
              </w:tc>
              <w:tc>
                <w:tcPr>
                  <w:tcW w:w="2846" w:type="pct"/>
                  <w:tcBorders>
                    <w:tl2br w:val="nil"/>
                    <w:tr2bl w:val="nil"/>
                  </w:tcBorders>
                  <w:vAlign w:val="center"/>
                </w:tcPr>
                <w:p w14:paraId="0BB5DD2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型号：SFGM-33；过滤面积：19.89m²；过滤风速：＜1.2m/min；效率：＞99.9%；功率：2.2</w:t>
                  </w:r>
                  <w:r>
                    <w:rPr>
                      <w:rFonts w:hint="eastAsia" w:cs="Times New Roman"/>
                      <w:sz w:val="21"/>
                      <w:szCs w:val="21"/>
                      <w:highlight w:val="none"/>
                      <w:u w:val="single"/>
                      <w:lang w:eastAsia="zh-CN"/>
                    </w:rPr>
                    <w:t>kW</w:t>
                  </w:r>
                </w:p>
              </w:tc>
              <w:tc>
                <w:tcPr>
                  <w:tcW w:w="399" w:type="pct"/>
                  <w:tcBorders>
                    <w:tl2br w:val="nil"/>
                    <w:tr2bl w:val="nil"/>
                  </w:tcBorders>
                  <w:vAlign w:val="center"/>
                </w:tcPr>
                <w:p w14:paraId="1336CAD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highlight w:val="none"/>
                      <w:u w:val="single"/>
                      <w:lang w:eastAsia="zh-CN"/>
                    </w:rPr>
                  </w:pPr>
                  <w:r>
                    <w:rPr>
                      <w:rFonts w:hint="eastAsia" w:cs="Times New Roman"/>
                      <w:sz w:val="21"/>
                      <w:szCs w:val="21"/>
                      <w:highlight w:val="none"/>
                      <w:u w:val="single"/>
                      <w:lang w:val="en-US" w:eastAsia="zh-CN" w:bidi="ar"/>
                    </w:rPr>
                    <w:t>1</w:t>
                  </w:r>
                </w:p>
              </w:tc>
              <w:tc>
                <w:tcPr>
                  <w:tcW w:w="676" w:type="pct"/>
                  <w:tcBorders>
                    <w:tl2br w:val="nil"/>
                    <w:tr2bl w:val="nil"/>
                  </w:tcBorders>
                  <w:vAlign w:val="center"/>
                </w:tcPr>
                <w:p w14:paraId="143E58C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依托现有</w:t>
                  </w:r>
                </w:p>
              </w:tc>
            </w:tr>
            <w:tr w14:paraId="674F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90" w:hRule="atLeast"/>
              </w:trPr>
              <w:tc>
                <w:tcPr>
                  <w:tcW w:w="407" w:type="pct"/>
                  <w:tcBorders>
                    <w:tl2br w:val="nil"/>
                    <w:tr2bl w:val="nil"/>
                  </w:tcBorders>
                  <w:vAlign w:val="center"/>
                </w:tcPr>
                <w:p w14:paraId="63BA95E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4</w:t>
                  </w:r>
                </w:p>
              </w:tc>
              <w:tc>
                <w:tcPr>
                  <w:tcW w:w="670" w:type="pct"/>
                  <w:tcBorders>
                    <w:tl2br w:val="nil"/>
                    <w:tr2bl w:val="nil"/>
                  </w:tcBorders>
                  <w:vAlign w:val="center"/>
                </w:tcPr>
                <w:p w14:paraId="1898BD0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eastAsia" w:cs="Times New Roman"/>
                      <w:sz w:val="21"/>
                      <w:szCs w:val="21"/>
                      <w:u w:val="single"/>
                      <w:lang w:val="en-US" w:eastAsia="zh-CN"/>
                    </w:rPr>
                    <w:t>仓</w:t>
                  </w:r>
                  <w:r>
                    <w:rPr>
                      <w:rFonts w:hint="default" w:ascii="Times New Roman" w:hAnsi="Times New Roman" w:eastAsia="宋体" w:cs="Times New Roman"/>
                      <w:sz w:val="21"/>
                      <w:szCs w:val="21"/>
                      <w:u w:val="single"/>
                    </w:rPr>
                    <w:t>顶脉冲布袋除尘器</w:t>
                  </w:r>
                </w:p>
              </w:tc>
              <w:tc>
                <w:tcPr>
                  <w:tcW w:w="2846" w:type="pct"/>
                  <w:tcBorders>
                    <w:tl2br w:val="nil"/>
                    <w:tr2bl w:val="nil"/>
                  </w:tcBorders>
                  <w:vAlign w:val="center"/>
                </w:tcPr>
                <w:p w14:paraId="3698FCB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型号：DMC-120；风量：8100m³/h；过滤风速：＜1.5m/min；效率：＞99.9%；功率：7.5</w:t>
                  </w:r>
                  <w:r>
                    <w:rPr>
                      <w:rFonts w:hint="eastAsia" w:cs="Times New Roman"/>
                      <w:sz w:val="21"/>
                      <w:szCs w:val="21"/>
                      <w:u w:val="single"/>
                      <w:lang w:eastAsia="zh-CN"/>
                    </w:rPr>
                    <w:t>kW</w:t>
                  </w:r>
                </w:p>
              </w:tc>
              <w:tc>
                <w:tcPr>
                  <w:tcW w:w="399" w:type="pct"/>
                  <w:tcBorders>
                    <w:tl2br w:val="nil"/>
                    <w:tr2bl w:val="nil"/>
                  </w:tcBorders>
                  <w:vAlign w:val="center"/>
                </w:tcPr>
                <w:p w14:paraId="34E3F94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eastAsia="zh-CN"/>
                    </w:rPr>
                  </w:pPr>
                  <w:r>
                    <w:rPr>
                      <w:rFonts w:hint="eastAsia" w:cs="Times New Roman"/>
                      <w:sz w:val="21"/>
                      <w:szCs w:val="21"/>
                      <w:u w:val="single"/>
                      <w:lang w:val="en-US" w:eastAsia="zh-CN" w:bidi="ar"/>
                    </w:rPr>
                    <w:t>2</w:t>
                  </w:r>
                </w:p>
              </w:tc>
              <w:tc>
                <w:tcPr>
                  <w:tcW w:w="676" w:type="pct"/>
                  <w:tcBorders>
                    <w:tl2br w:val="nil"/>
                    <w:tr2bl w:val="nil"/>
                  </w:tcBorders>
                  <w:vAlign w:val="center"/>
                </w:tcPr>
                <w:p w14:paraId="287D3B1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依托现有</w:t>
                  </w:r>
                </w:p>
              </w:tc>
            </w:tr>
            <w:tr w14:paraId="69D80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407" w:type="pct"/>
                  <w:tcBorders>
                    <w:tl2br w:val="nil"/>
                    <w:tr2bl w:val="nil"/>
                  </w:tcBorders>
                  <w:vAlign w:val="center"/>
                </w:tcPr>
                <w:p w14:paraId="17462E3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5</w:t>
                  </w:r>
                </w:p>
              </w:tc>
              <w:tc>
                <w:tcPr>
                  <w:tcW w:w="670" w:type="pct"/>
                  <w:tcBorders>
                    <w:tl2br w:val="nil"/>
                    <w:tr2bl w:val="nil"/>
                  </w:tcBorders>
                  <w:vAlign w:val="center"/>
                </w:tcPr>
                <w:p w14:paraId="7A689FE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气化风机</w:t>
                  </w:r>
                </w:p>
              </w:tc>
              <w:tc>
                <w:tcPr>
                  <w:tcW w:w="2846" w:type="pct"/>
                  <w:tcBorders>
                    <w:tl2br w:val="nil"/>
                    <w:tr2bl w:val="nil"/>
                  </w:tcBorders>
                  <w:vAlign w:val="center"/>
                </w:tcPr>
                <w:p w14:paraId="1ACBD85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型号：BSW100E；风量：8.3m³/h；压力：80kpa；功率：30</w:t>
                  </w:r>
                  <w:r>
                    <w:rPr>
                      <w:rFonts w:hint="eastAsia" w:cs="Times New Roman"/>
                      <w:sz w:val="21"/>
                      <w:szCs w:val="21"/>
                      <w:highlight w:val="none"/>
                      <w:u w:val="single"/>
                      <w:lang w:eastAsia="zh-CN"/>
                    </w:rPr>
                    <w:t>kW</w:t>
                  </w:r>
                  <w:r>
                    <w:rPr>
                      <w:rFonts w:hint="default" w:ascii="Times New Roman" w:hAnsi="Times New Roman" w:eastAsia="宋体" w:cs="Times New Roman"/>
                      <w:sz w:val="21"/>
                      <w:szCs w:val="21"/>
                      <w:highlight w:val="none"/>
                      <w:u w:val="single"/>
                    </w:rPr>
                    <w:t>；转速：1450r/min；</w:t>
                  </w:r>
                </w:p>
              </w:tc>
              <w:tc>
                <w:tcPr>
                  <w:tcW w:w="399" w:type="pct"/>
                  <w:tcBorders>
                    <w:tl2br w:val="nil"/>
                    <w:tr2bl w:val="nil"/>
                  </w:tcBorders>
                  <w:vAlign w:val="center"/>
                </w:tcPr>
                <w:p w14:paraId="6EFA88F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highlight w:val="none"/>
                      <w:u w:val="single"/>
                      <w:lang w:eastAsia="zh-CN"/>
                    </w:rPr>
                  </w:pPr>
                  <w:r>
                    <w:rPr>
                      <w:rFonts w:hint="eastAsia" w:cs="Times New Roman"/>
                      <w:sz w:val="21"/>
                      <w:szCs w:val="21"/>
                      <w:highlight w:val="none"/>
                      <w:u w:val="single"/>
                      <w:lang w:val="en-US" w:eastAsia="zh-CN" w:bidi="ar"/>
                    </w:rPr>
                    <w:t>4</w:t>
                  </w:r>
                </w:p>
              </w:tc>
              <w:tc>
                <w:tcPr>
                  <w:tcW w:w="676" w:type="pct"/>
                  <w:tcBorders>
                    <w:tl2br w:val="nil"/>
                    <w:tr2bl w:val="nil"/>
                  </w:tcBorders>
                  <w:vAlign w:val="center"/>
                </w:tcPr>
                <w:p w14:paraId="28052E9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依托现有</w:t>
                  </w:r>
                </w:p>
              </w:tc>
            </w:tr>
            <w:tr w14:paraId="1805CC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407" w:type="pct"/>
                  <w:tcBorders>
                    <w:tl2br w:val="nil"/>
                    <w:tr2bl w:val="nil"/>
                  </w:tcBorders>
                  <w:vAlign w:val="center"/>
                </w:tcPr>
                <w:p w14:paraId="1EBCD9B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6</w:t>
                  </w:r>
                </w:p>
              </w:tc>
              <w:tc>
                <w:tcPr>
                  <w:tcW w:w="670" w:type="pct"/>
                  <w:tcBorders>
                    <w:tl2br w:val="nil"/>
                    <w:tr2bl w:val="nil"/>
                  </w:tcBorders>
                  <w:vAlign w:val="center"/>
                </w:tcPr>
                <w:p w14:paraId="4DF9371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分选下灰锁气器</w:t>
                  </w:r>
                </w:p>
              </w:tc>
              <w:tc>
                <w:tcPr>
                  <w:tcW w:w="2846" w:type="pct"/>
                  <w:tcBorders>
                    <w:tl2br w:val="nil"/>
                    <w:tr2bl w:val="nil"/>
                  </w:tcBorders>
                  <w:vAlign w:val="center"/>
                </w:tcPr>
                <w:p w14:paraId="6CC45A7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型号：山西太原锅炉厂自产；出力：100t/h；电机功率：2.2</w:t>
                  </w:r>
                  <w:r>
                    <w:rPr>
                      <w:rFonts w:hint="eastAsia" w:cs="Times New Roman"/>
                      <w:sz w:val="21"/>
                      <w:szCs w:val="21"/>
                      <w:u w:val="single"/>
                      <w:lang w:eastAsia="zh-CN"/>
                    </w:rPr>
                    <w:t>kW</w:t>
                  </w:r>
                  <w:r>
                    <w:rPr>
                      <w:rFonts w:hint="default" w:ascii="Times New Roman" w:hAnsi="Times New Roman" w:eastAsia="宋体" w:cs="Times New Roman"/>
                      <w:sz w:val="21"/>
                      <w:szCs w:val="21"/>
                      <w:u w:val="single"/>
                    </w:rPr>
                    <w:t>。</w:t>
                  </w:r>
                </w:p>
              </w:tc>
              <w:tc>
                <w:tcPr>
                  <w:tcW w:w="399" w:type="pct"/>
                  <w:tcBorders>
                    <w:tl2br w:val="nil"/>
                    <w:tr2bl w:val="nil"/>
                  </w:tcBorders>
                  <w:vAlign w:val="center"/>
                </w:tcPr>
                <w:p w14:paraId="1D910F6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eastAsia="zh-CN"/>
                    </w:rPr>
                  </w:pPr>
                  <w:r>
                    <w:rPr>
                      <w:rFonts w:hint="eastAsia" w:cs="Times New Roman"/>
                      <w:sz w:val="21"/>
                      <w:szCs w:val="21"/>
                      <w:u w:val="single"/>
                      <w:lang w:val="en-US" w:eastAsia="zh-CN" w:bidi="ar"/>
                    </w:rPr>
                    <w:t>1</w:t>
                  </w:r>
                </w:p>
              </w:tc>
              <w:tc>
                <w:tcPr>
                  <w:tcW w:w="676" w:type="pct"/>
                  <w:tcBorders>
                    <w:tl2br w:val="nil"/>
                    <w:tr2bl w:val="nil"/>
                  </w:tcBorders>
                  <w:vAlign w:val="center"/>
                </w:tcPr>
                <w:p w14:paraId="4CF96E3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新增</w:t>
                  </w:r>
                </w:p>
              </w:tc>
            </w:tr>
            <w:tr w14:paraId="6BBC15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407" w:type="pct"/>
                  <w:tcBorders>
                    <w:tl2br w:val="nil"/>
                    <w:tr2bl w:val="nil"/>
                  </w:tcBorders>
                  <w:vAlign w:val="center"/>
                </w:tcPr>
                <w:p w14:paraId="3185539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7</w:t>
                  </w:r>
                </w:p>
              </w:tc>
              <w:tc>
                <w:tcPr>
                  <w:tcW w:w="670" w:type="pct"/>
                  <w:tcBorders>
                    <w:tl2br w:val="nil"/>
                    <w:tr2bl w:val="nil"/>
                  </w:tcBorders>
                  <w:vAlign w:val="center"/>
                </w:tcPr>
                <w:p w14:paraId="62E529F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分选风机</w:t>
                  </w:r>
                </w:p>
              </w:tc>
              <w:tc>
                <w:tcPr>
                  <w:tcW w:w="2846" w:type="pct"/>
                  <w:tcBorders>
                    <w:tl2br w:val="nil"/>
                    <w:tr2bl w:val="nil"/>
                  </w:tcBorders>
                  <w:vAlign w:val="center"/>
                </w:tcPr>
                <w:p w14:paraId="0C88B01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型号：武汉博力风机厂自产；流量：30000m³/h；压力：13.2kpa；转速：1450r/min；</w:t>
                  </w:r>
                </w:p>
              </w:tc>
              <w:tc>
                <w:tcPr>
                  <w:tcW w:w="399" w:type="pct"/>
                  <w:tcBorders>
                    <w:tl2br w:val="nil"/>
                    <w:tr2bl w:val="nil"/>
                  </w:tcBorders>
                  <w:vAlign w:val="center"/>
                </w:tcPr>
                <w:p w14:paraId="6FEB54E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lang w:bidi="ar"/>
                    </w:rPr>
                    <w:t>1</w:t>
                  </w:r>
                </w:p>
              </w:tc>
              <w:tc>
                <w:tcPr>
                  <w:tcW w:w="676" w:type="pct"/>
                  <w:tcBorders>
                    <w:tl2br w:val="nil"/>
                    <w:tr2bl w:val="nil"/>
                  </w:tcBorders>
                  <w:vAlign w:val="center"/>
                </w:tcPr>
                <w:p w14:paraId="5960A58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新增</w:t>
                  </w:r>
                </w:p>
              </w:tc>
            </w:tr>
            <w:tr w14:paraId="078EC8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407" w:type="pct"/>
                  <w:tcBorders>
                    <w:tl2br w:val="nil"/>
                    <w:tr2bl w:val="nil"/>
                  </w:tcBorders>
                  <w:vAlign w:val="center"/>
                </w:tcPr>
                <w:p w14:paraId="298BCC3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8</w:t>
                  </w:r>
                </w:p>
              </w:tc>
              <w:tc>
                <w:tcPr>
                  <w:tcW w:w="670" w:type="pct"/>
                  <w:tcBorders>
                    <w:tl2br w:val="nil"/>
                    <w:tr2bl w:val="nil"/>
                  </w:tcBorders>
                  <w:vAlign w:val="center"/>
                </w:tcPr>
                <w:p w14:paraId="73269F4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分选分级机</w:t>
                  </w:r>
                </w:p>
              </w:tc>
              <w:tc>
                <w:tcPr>
                  <w:tcW w:w="2846" w:type="pct"/>
                  <w:tcBorders>
                    <w:tl2br w:val="nil"/>
                    <w:tr2bl w:val="nil"/>
                  </w:tcBorders>
                  <w:vAlign w:val="center"/>
                </w:tcPr>
                <w:p w14:paraId="2BB8D78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出力：100t/h</w:t>
                  </w:r>
                </w:p>
              </w:tc>
              <w:tc>
                <w:tcPr>
                  <w:tcW w:w="399" w:type="pct"/>
                  <w:tcBorders>
                    <w:tl2br w:val="nil"/>
                    <w:tr2bl w:val="nil"/>
                  </w:tcBorders>
                  <w:vAlign w:val="center"/>
                </w:tcPr>
                <w:p w14:paraId="75F7917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eastAsia="zh-CN"/>
                    </w:rPr>
                  </w:pPr>
                  <w:r>
                    <w:rPr>
                      <w:rFonts w:hint="eastAsia" w:cs="Times New Roman"/>
                      <w:sz w:val="21"/>
                      <w:szCs w:val="21"/>
                      <w:u w:val="single"/>
                      <w:lang w:val="en-US" w:eastAsia="zh-CN" w:bidi="ar"/>
                    </w:rPr>
                    <w:t>1</w:t>
                  </w:r>
                </w:p>
              </w:tc>
              <w:tc>
                <w:tcPr>
                  <w:tcW w:w="676" w:type="pct"/>
                  <w:tcBorders>
                    <w:tl2br w:val="nil"/>
                    <w:tr2bl w:val="nil"/>
                  </w:tcBorders>
                  <w:vAlign w:val="center"/>
                </w:tcPr>
                <w:p w14:paraId="1D5CAE1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新增</w:t>
                  </w:r>
                </w:p>
              </w:tc>
            </w:tr>
            <w:tr w14:paraId="3D1FF3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407" w:type="pct"/>
                  <w:tcBorders>
                    <w:tl2br w:val="nil"/>
                    <w:tr2bl w:val="nil"/>
                  </w:tcBorders>
                  <w:vAlign w:val="center"/>
                </w:tcPr>
                <w:p w14:paraId="0BBDE9A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9</w:t>
                  </w:r>
                </w:p>
              </w:tc>
              <w:tc>
                <w:tcPr>
                  <w:tcW w:w="670" w:type="pct"/>
                  <w:tcBorders>
                    <w:tl2br w:val="nil"/>
                    <w:tr2bl w:val="nil"/>
                  </w:tcBorders>
                  <w:vAlign w:val="center"/>
                </w:tcPr>
                <w:p w14:paraId="0FB9C48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旋风分离器</w:t>
                  </w:r>
                </w:p>
              </w:tc>
              <w:tc>
                <w:tcPr>
                  <w:tcW w:w="2846" w:type="pct"/>
                  <w:tcBorders>
                    <w:tl2br w:val="nil"/>
                    <w:tr2bl w:val="nil"/>
                  </w:tcBorders>
                  <w:vAlign w:val="center"/>
                </w:tcPr>
                <w:p w14:paraId="64B5112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rPr>
                    <w:t>山西太原锅炉厂自产</w:t>
                  </w:r>
                </w:p>
              </w:tc>
              <w:tc>
                <w:tcPr>
                  <w:tcW w:w="399" w:type="pct"/>
                  <w:tcBorders>
                    <w:tl2br w:val="nil"/>
                    <w:tr2bl w:val="nil"/>
                  </w:tcBorders>
                  <w:vAlign w:val="center"/>
                </w:tcPr>
                <w:p w14:paraId="0CF3E1A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eastAsia="zh-CN"/>
                    </w:rPr>
                  </w:pPr>
                  <w:r>
                    <w:rPr>
                      <w:rFonts w:hint="eastAsia" w:cs="Times New Roman"/>
                      <w:sz w:val="21"/>
                      <w:szCs w:val="21"/>
                      <w:u w:val="single"/>
                      <w:lang w:val="en-US" w:eastAsia="zh-CN" w:bidi="ar"/>
                    </w:rPr>
                    <w:t>1</w:t>
                  </w:r>
                </w:p>
              </w:tc>
              <w:tc>
                <w:tcPr>
                  <w:tcW w:w="676" w:type="pct"/>
                  <w:tcBorders>
                    <w:tl2br w:val="nil"/>
                    <w:tr2bl w:val="nil"/>
                  </w:tcBorders>
                  <w:vAlign w:val="center"/>
                </w:tcPr>
                <w:p w14:paraId="4275D2A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新增</w:t>
                  </w:r>
                </w:p>
              </w:tc>
            </w:tr>
            <w:tr w14:paraId="2C7367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5000" w:type="pct"/>
                  <w:gridSpan w:val="5"/>
                  <w:tcBorders>
                    <w:tl2br w:val="nil"/>
                    <w:tr2bl w:val="nil"/>
                  </w:tcBorders>
                  <w:vAlign w:val="center"/>
                </w:tcPr>
                <w:p w14:paraId="72D8A30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b/>
                      <w:bCs/>
                      <w:sz w:val="21"/>
                      <w:szCs w:val="21"/>
                      <w:u w:val="single"/>
                      <w:lang w:val="en-US" w:eastAsia="zh-CN"/>
                    </w:rPr>
                    <w:t>二期灰库</w:t>
                  </w:r>
                </w:p>
              </w:tc>
            </w:tr>
            <w:tr w14:paraId="6A908A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407" w:type="pct"/>
                  <w:tcBorders>
                    <w:tl2br w:val="nil"/>
                    <w:tr2bl w:val="nil"/>
                  </w:tcBorders>
                  <w:vAlign w:val="center"/>
                </w:tcPr>
                <w:p w14:paraId="0DDA6A6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10</w:t>
                  </w:r>
                </w:p>
              </w:tc>
              <w:tc>
                <w:tcPr>
                  <w:tcW w:w="670" w:type="pct"/>
                  <w:tcBorders>
                    <w:tl2br w:val="nil"/>
                    <w:tr2bl w:val="nil"/>
                  </w:tcBorders>
                  <w:shd w:val="clear" w:color="auto" w:fill="auto"/>
                  <w:vAlign w:val="center"/>
                </w:tcPr>
                <w:p w14:paraId="0F30CF7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bidi="ar-SA"/>
                    </w:rPr>
                  </w:pPr>
                  <w:r>
                    <w:rPr>
                      <w:rFonts w:hint="eastAsia" w:cs="Times New Roman"/>
                      <w:sz w:val="21"/>
                      <w:szCs w:val="21"/>
                      <w:u w:val="single"/>
                      <w:lang w:val="en-US" w:eastAsia="zh-CN"/>
                    </w:rPr>
                    <w:t>干灰散装机</w:t>
                  </w:r>
                </w:p>
              </w:tc>
              <w:tc>
                <w:tcPr>
                  <w:tcW w:w="2846" w:type="pct"/>
                  <w:tcBorders>
                    <w:tl2br w:val="nil"/>
                    <w:tr2bl w:val="nil"/>
                  </w:tcBorders>
                  <w:vAlign w:val="center"/>
                </w:tcPr>
                <w:p w14:paraId="5E936D6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型号：SZG-100；口径：300mm；出力：100（150）t/h；升降行程：2m。</w:t>
                  </w:r>
                </w:p>
              </w:tc>
              <w:tc>
                <w:tcPr>
                  <w:tcW w:w="399" w:type="pct"/>
                  <w:tcBorders>
                    <w:tl2br w:val="nil"/>
                    <w:tr2bl w:val="nil"/>
                  </w:tcBorders>
                  <w:vAlign w:val="center"/>
                </w:tcPr>
                <w:p w14:paraId="19044F3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eastAsia="zh-CN"/>
                    </w:rPr>
                  </w:pPr>
                  <w:r>
                    <w:rPr>
                      <w:rFonts w:hint="eastAsia" w:cs="Times New Roman"/>
                      <w:sz w:val="21"/>
                      <w:szCs w:val="21"/>
                      <w:u w:val="single"/>
                      <w:lang w:val="en-US" w:eastAsia="zh-CN" w:bidi="ar"/>
                    </w:rPr>
                    <w:t>1</w:t>
                  </w:r>
                </w:p>
              </w:tc>
              <w:tc>
                <w:tcPr>
                  <w:tcW w:w="676" w:type="pct"/>
                  <w:tcBorders>
                    <w:tl2br w:val="nil"/>
                    <w:tr2bl w:val="nil"/>
                  </w:tcBorders>
                  <w:vAlign w:val="center"/>
                </w:tcPr>
                <w:p w14:paraId="02073BD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依托现有</w:t>
                  </w:r>
                </w:p>
              </w:tc>
            </w:tr>
            <w:tr w14:paraId="4CBD06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407" w:type="pct"/>
                  <w:tcBorders>
                    <w:tl2br w:val="nil"/>
                    <w:tr2bl w:val="nil"/>
                  </w:tcBorders>
                  <w:vAlign w:val="center"/>
                </w:tcPr>
                <w:p w14:paraId="3391762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11</w:t>
                  </w:r>
                </w:p>
              </w:tc>
              <w:tc>
                <w:tcPr>
                  <w:tcW w:w="670" w:type="pct"/>
                  <w:tcBorders>
                    <w:tl2br w:val="nil"/>
                    <w:tr2bl w:val="nil"/>
                  </w:tcBorders>
                  <w:shd w:val="clear" w:color="auto" w:fill="auto"/>
                  <w:vAlign w:val="center"/>
                </w:tcPr>
                <w:p w14:paraId="6E6DF3C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bidi="ar-SA"/>
                    </w:rPr>
                  </w:pPr>
                  <w:r>
                    <w:rPr>
                      <w:rFonts w:hint="default" w:ascii="Times New Roman" w:hAnsi="Times New Roman" w:eastAsia="宋体" w:cs="Times New Roman"/>
                      <w:sz w:val="21"/>
                      <w:szCs w:val="21"/>
                      <w:highlight w:val="none"/>
                      <w:u w:val="single"/>
                    </w:rPr>
                    <w:t>散装机脉冲布袋除尘器</w:t>
                  </w:r>
                </w:p>
              </w:tc>
              <w:tc>
                <w:tcPr>
                  <w:tcW w:w="2846" w:type="pct"/>
                  <w:tcBorders>
                    <w:tl2br w:val="nil"/>
                    <w:tr2bl w:val="nil"/>
                  </w:tcBorders>
                  <w:shd w:val="clear" w:color="auto" w:fill="auto"/>
                  <w:vAlign w:val="center"/>
                </w:tcPr>
                <w:p w14:paraId="0B2E1C0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bidi="ar-SA"/>
                    </w:rPr>
                  </w:pPr>
                  <w:r>
                    <w:rPr>
                      <w:rFonts w:hint="default" w:ascii="Times New Roman" w:hAnsi="Times New Roman" w:eastAsia="宋体" w:cs="Times New Roman"/>
                      <w:sz w:val="21"/>
                      <w:szCs w:val="21"/>
                      <w:highlight w:val="none"/>
                      <w:u w:val="single"/>
                    </w:rPr>
                    <w:t>型号：DMC-32；过滤面积：12m²；过滤风速：＜1.5m/min；效率：＞99.9%；功率：2.2</w:t>
                  </w:r>
                  <w:r>
                    <w:rPr>
                      <w:rFonts w:hint="eastAsia" w:cs="Times New Roman"/>
                      <w:sz w:val="21"/>
                      <w:szCs w:val="21"/>
                      <w:highlight w:val="none"/>
                      <w:u w:val="single"/>
                      <w:lang w:eastAsia="zh-CN"/>
                    </w:rPr>
                    <w:t>kW</w:t>
                  </w:r>
                </w:p>
              </w:tc>
              <w:tc>
                <w:tcPr>
                  <w:tcW w:w="399" w:type="pct"/>
                  <w:tcBorders>
                    <w:tl2br w:val="nil"/>
                    <w:tr2bl w:val="nil"/>
                  </w:tcBorders>
                  <w:vAlign w:val="center"/>
                </w:tcPr>
                <w:p w14:paraId="4BF744B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lang w:bidi="ar"/>
                    </w:rPr>
                    <w:t>1</w:t>
                  </w:r>
                </w:p>
              </w:tc>
              <w:tc>
                <w:tcPr>
                  <w:tcW w:w="676" w:type="pct"/>
                  <w:tcBorders>
                    <w:tl2br w:val="nil"/>
                    <w:tr2bl w:val="nil"/>
                  </w:tcBorders>
                  <w:vAlign w:val="center"/>
                </w:tcPr>
                <w:p w14:paraId="09423A2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依托现有</w:t>
                  </w:r>
                </w:p>
              </w:tc>
            </w:tr>
            <w:tr w14:paraId="783007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76" w:hRule="atLeast"/>
              </w:trPr>
              <w:tc>
                <w:tcPr>
                  <w:tcW w:w="407" w:type="pct"/>
                  <w:tcBorders>
                    <w:tl2br w:val="nil"/>
                    <w:tr2bl w:val="nil"/>
                  </w:tcBorders>
                  <w:vAlign w:val="center"/>
                </w:tcPr>
                <w:p w14:paraId="0A9E7A3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12</w:t>
                  </w:r>
                </w:p>
              </w:tc>
              <w:tc>
                <w:tcPr>
                  <w:tcW w:w="670" w:type="pct"/>
                  <w:tcBorders>
                    <w:tl2br w:val="nil"/>
                    <w:tr2bl w:val="nil"/>
                  </w:tcBorders>
                  <w:shd w:val="clear" w:color="auto" w:fill="auto"/>
                  <w:vAlign w:val="center"/>
                </w:tcPr>
                <w:p w14:paraId="7CC45B9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bidi="ar-SA"/>
                    </w:rPr>
                  </w:pPr>
                  <w:r>
                    <w:rPr>
                      <w:rFonts w:hint="default" w:ascii="Times New Roman" w:hAnsi="Times New Roman" w:eastAsia="宋体" w:cs="Times New Roman"/>
                      <w:sz w:val="21"/>
                      <w:szCs w:val="21"/>
                      <w:highlight w:val="none"/>
                      <w:u w:val="single"/>
                    </w:rPr>
                    <w:t>散装机脉冲布袋除尘器</w:t>
                  </w:r>
                </w:p>
              </w:tc>
              <w:tc>
                <w:tcPr>
                  <w:tcW w:w="2846" w:type="pct"/>
                  <w:tcBorders>
                    <w:tl2br w:val="nil"/>
                    <w:tr2bl w:val="nil"/>
                  </w:tcBorders>
                  <w:shd w:val="clear" w:color="auto" w:fill="auto"/>
                  <w:vAlign w:val="center"/>
                </w:tcPr>
                <w:p w14:paraId="13FB6DA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bidi="ar-SA"/>
                    </w:rPr>
                  </w:pPr>
                  <w:r>
                    <w:rPr>
                      <w:rFonts w:hint="default" w:ascii="Times New Roman" w:hAnsi="Times New Roman" w:eastAsia="宋体" w:cs="Times New Roman"/>
                      <w:sz w:val="21"/>
                      <w:szCs w:val="21"/>
                      <w:highlight w:val="none"/>
                      <w:u w:val="single"/>
                    </w:rPr>
                    <w:t>型号：SFGM-33；过滤面积：19.89m²；过滤风速：＜1.2m/min；效率：＞99.9%；功率：2.2</w:t>
                  </w:r>
                  <w:r>
                    <w:rPr>
                      <w:rFonts w:hint="eastAsia" w:cs="Times New Roman"/>
                      <w:sz w:val="21"/>
                      <w:szCs w:val="21"/>
                      <w:highlight w:val="none"/>
                      <w:u w:val="single"/>
                      <w:lang w:eastAsia="zh-CN"/>
                    </w:rPr>
                    <w:t>kW</w:t>
                  </w:r>
                </w:p>
              </w:tc>
              <w:tc>
                <w:tcPr>
                  <w:tcW w:w="399" w:type="pct"/>
                  <w:tcBorders>
                    <w:tl2br w:val="nil"/>
                    <w:tr2bl w:val="nil"/>
                  </w:tcBorders>
                  <w:vAlign w:val="center"/>
                </w:tcPr>
                <w:p w14:paraId="13BA3AE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highlight w:val="none"/>
                      <w:u w:val="single"/>
                      <w:lang w:eastAsia="zh-CN"/>
                    </w:rPr>
                  </w:pPr>
                  <w:r>
                    <w:rPr>
                      <w:rFonts w:hint="eastAsia" w:cs="Times New Roman"/>
                      <w:sz w:val="21"/>
                      <w:szCs w:val="21"/>
                      <w:highlight w:val="none"/>
                      <w:u w:val="single"/>
                      <w:lang w:val="en-US" w:eastAsia="zh-CN" w:bidi="ar"/>
                    </w:rPr>
                    <w:t>1</w:t>
                  </w:r>
                </w:p>
              </w:tc>
              <w:tc>
                <w:tcPr>
                  <w:tcW w:w="676" w:type="pct"/>
                  <w:tcBorders>
                    <w:tl2br w:val="nil"/>
                    <w:tr2bl w:val="nil"/>
                  </w:tcBorders>
                  <w:vAlign w:val="center"/>
                </w:tcPr>
                <w:p w14:paraId="4310D7B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依托现有</w:t>
                  </w:r>
                </w:p>
              </w:tc>
            </w:tr>
            <w:tr w14:paraId="0E1D77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0" w:hRule="atLeast"/>
              </w:trPr>
              <w:tc>
                <w:tcPr>
                  <w:tcW w:w="407" w:type="pct"/>
                  <w:tcBorders>
                    <w:tl2br w:val="nil"/>
                    <w:tr2bl w:val="nil"/>
                  </w:tcBorders>
                  <w:vAlign w:val="center"/>
                </w:tcPr>
                <w:p w14:paraId="36F5A82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13</w:t>
                  </w:r>
                </w:p>
              </w:tc>
              <w:tc>
                <w:tcPr>
                  <w:tcW w:w="670" w:type="pct"/>
                  <w:tcBorders>
                    <w:tl2br w:val="nil"/>
                    <w:tr2bl w:val="nil"/>
                  </w:tcBorders>
                  <w:shd w:val="clear" w:color="auto" w:fill="auto"/>
                  <w:vAlign w:val="center"/>
                </w:tcPr>
                <w:p w14:paraId="0941861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bidi="ar-SA"/>
                    </w:rPr>
                  </w:pPr>
                  <w:r>
                    <w:rPr>
                      <w:rFonts w:hint="eastAsia" w:cs="Times New Roman"/>
                      <w:sz w:val="21"/>
                      <w:szCs w:val="21"/>
                      <w:u w:val="single"/>
                      <w:lang w:val="en-US" w:eastAsia="zh-CN"/>
                    </w:rPr>
                    <w:t>侧抽模块化除尘器</w:t>
                  </w:r>
                </w:p>
              </w:tc>
              <w:tc>
                <w:tcPr>
                  <w:tcW w:w="2846" w:type="pct"/>
                  <w:tcBorders>
                    <w:tl2br w:val="nil"/>
                    <w:tr2bl w:val="nil"/>
                  </w:tcBorders>
                  <w:vAlign w:val="center"/>
                </w:tcPr>
                <w:p w14:paraId="31C2D01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型号：</w:t>
                  </w:r>
                  <w:r>
                    <w:rPr>
                      <w:rStyle w:val="178"/>
                      <w:rFonts w:hint="default" w:ascii="Times New Roman" w:hAnsi="Times New Roman" w:cs="Times New Roman"/>
                      <w:sz w:val="21"/>
                      <w:szCs w:val="21"/>
                      <w:highlight w:val="none"/>
                      <w:u w:val="single"/>
                      <w:lang w:val="zh-CN" w:eastAsia="zh-CN" w:bidi="ar"/>
                    </w:rPr>
                    <w:t>FQF225</w:t>
                  </w:r>
                  <w:r>
                    <w:rPr>
                      <w:rFonts w:hint="default" w:ascii="Times New Roman" w:hAnsi="Times New Roman" w:eastAsia="宋体" w:cs="Times New Roman"/>
                      <w:sz w:val="21"/>
                      <w:szCs w:val="21"/>
                      <w:u w:val="single"/>
                    </w:rPr>
                    <w:t>；风量：</w:t>
                  </w:r>
                  <w:r>
                    <w:rPr>
                      <w:rFonts w:hint="eastAsia" w:cs="Times New Roman"/>
                      <w:sz w:val="21"/>
                      <w:szCs w:val="21"/>
                      <w:u w:val="single"/>
                      <w:lang w:val="en-US" w:eastAsia="zh-CN"/>
                    </w:rPr>
                    <w:t>10800m</w:t>
                  </w:r>
                  <w:r>
                    <w:rPr>
                      <w:rFonts w:hint="eastAsia" w:cs="Times New Roman"/>
                      <w:sz w:val="21"/>
                      <w:szCs w:val="21"/>
                      <w:u w:val="single"/>
                      <w:vertAlign w:val="superscript"/>
                      <w:lang w:val="en-US" w:eastAsia="zh-CN"/>
                    </w:rPr>
                    <w:t>3</w:t>
                  </w:r>
                  <w:r>
                    <w:rPr>
                      <w:rFonts w:hint="eastAsia" w:cs="Times New Roman"/>
                      <w:sz w:val="21"/>
                      <w:szCs w:val="21"/>
                      <w:u w:val="single"/>
                      <w:lang w:val="en-US" w:eastAsia="zh-CN"/>
                    </w:rPr>
                    <w:t>/h</w:t>
                  </w:r>
                  <w:r>
                    <w:rPr>
                      <w:rFonts w:hint="default" w:ascii="Times New Roman" w:hAnsi="Times New Roman" w:eastAsia="宋体" w:cs="Times New Roman"/>
                      <w:sz w:val="21"/>
                      <w:szCs w:val="21"/>
                      <w:u w:val="single"/>
                    </w:rPr>
                    <w:t>；</w:t>
                  </w:r>
                  <w:r>
                    <w:rPr>
                      <w:rFonts w:hint="eastAsia" w:cs="Times New Roman"/>
                      <w:sz w:val="21"/>
                      <w:szCs w:val="21"/>
                      <w:u w:val="single"/>
                      <w:lang w:val="en-US" w:eastAsia="zh-CN"/>
                    </w:rPr>
                    <w:t>单条</w:t>
                  </w:r>
                  <w:r>
                    <w:rPr>
                      <w:rFonts w:hint="default" w:ascii="Times New Roman" w:hAnsi="Times New Roman" w:eastAsia="宋体" w:cs="Times New Roman"/>
                      <w:sz w:val="21"/>
                      <w:szCs w:val="21"/>
                      <w:u w:val="single"/>
                    </w:rPr>
                    <w:t>过滤面积</w:t>
                  </w:r>
                  <w:r>
                    <w:rPr>
                      <w:rFonts w:hint="eastAsia" w:cs="Times New Roman"/>
                      <w:sz w:val="21"/>
                      <w:szCs w:val="21"/>
                      <w:u w:val="single"/>
                      <w:lang w:val="en-US" w:eastAsia="zh-CN"/>
                    </w:rPr>
                    <w:t>1.5</w:t>
                  </w:r>
                  <w:r>
                    <w:rPr>
                      <w:rFonts w:hint="default" w:ascii="Times New Roman" w:hAnsi="Times New Roman" w:eastAsia="宋体" w:cs="Times New Roman"/>
                      <w:sz w:val="21"/>
                      <w:szCs w:val="21"/>
                      <w:u w:val="single"/>
                    </w:rPr>
                    <w:t>m</w:t>
                  </w:r>
                  <w:r>
                    <w:rPr>
                      <w:rFonts w:hint="eastAsia" w:cs="Times New Roman"/>
                      <w:sz w:val="21"/>
                      <w:szCs w:val="21"/>
                      <w:u w:val="single"/>
                      <w:vertAlign w:val="superscript"/>
                      <w:lang w:val="en-US" w:eastAsia="zh-CN"/>
                    </w:rPr>
                    <w:t>2</w:t>
                  </w:r>
                  <w:r>
                    <w:rPr>
                      <w:rFonts w:hint="eastAsia" w:cs="Times New Roman"/>
                      <w:sz w:val="21"/>
                      <w:szCs w:val="21"/>
                      <w:u w:val="single"/>
                      <w:lang w:eastAsia="zh-CN"/>
                    </w:rPr>
                    <w:t>，</w:t>
                  </w:r>
                  <w:r>
                    <w:rPr>
                      <w:rFonts w:hint="eastAsia" w:cs="Times New Roman"/>
                      <w:sz w:val="21"/>
                      <w:szCs w:val="21"/>
                      <w:u w:val="single"/>
                      <w:lang w:val="en-US" w:eastAsia="zh-CN"/>
                    </w:rPr>
                    <w:t>设置150条滤袋，总过滤面积225m</w:t>
                  </w:r>
                  <w:r>
                    <w:rPr>
                      <w:rFonts w:hint="eastAsia" w:cs="Times New Roman"/>
                      <w:sz w:val="21"/>
                      <w:szCs w:val="21"/>
                      <w:u w:val="single"/>
                      <w:vertAlign w:val="superscript"/>
                      <w:lang w:val="en-US" w:eastAsia="zh-CN"/>
                    </w:rPr>
                    <w:t>2</w:t>
                  </w:r>
                  <w:r>
                    <w:rPr>
                      <w:rFonts w:hint="default" w:ascii="Times New Roman" w:hAnsi="Times New Roman" w:eastAsia="宋体" w:cs="Times New Roman"/>
                      <w:sz w:val="21"/>
                      <w:szCs w:val="21"/>
                      <w:u w:val="single"/>
                    </w:rPr>
                    <w:t>；</w:t>
                  </w:r>
                  <w:r>
                    <w:rPr>
                      <w:rFonts w:hint="eastAsia" w:cs="Times New Roman"/>
                      <w:sz w:val="21"/>
                      <w:szCs w:val="21"/>
                      <w:u w:val="single"/>
                      <w:lang w:val="en-US" w:eastAsia="zh-CN"/>
                    </w:rPr>
                    <w:t>处理</w:t>
                  </w:r>
                  <w:r>
                    <w:rPr>
                      <w:rFonts w:hint="default" w:ascii="Times New Roman" w:hAnsi="Times New Roman" w:eastAsia="宋体" w:cs="Times New Roman"/>
                      <w:sz w:val="21"/>
                      <w:szCs w:val="21"/>
                      <w:u w:val="single"/>
                    </w:rPr>
                    <w:t>效率：99%；</w:t>
                  </w:r>
                </w:p>
              </w:tc>
              <w:tc>
                <w:tcPr>
                  <w:tcW w:w="399" w:type="pct"/>
                  <w:tcBorders>
                    <w:tl2br w:val="nil"/>
                    <w:tr2bl w:val="nil"/>
                  </w:tcBorders>
                  <w:vAlign w:val="center"/>
                </w:tcPr>
                <w:p w14:paraId="156DD5F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eastAsia="zh-CN"/>
                    </w:rPr>
                  </w:pPr>
                  <w:r>
                    <w:rPr>
                      <w:rFonts w:hint="eastAsia" w:cs="Times New Roman"/>
                      <w:sz w:val="21"/>
                      <w:szCs w:val="21"/>
                      <w:u w:val="single"/>
                      <w:lang w:val="en-US" w:eastAsia="zh-CN"/>
                    </w:rPr>
                    <w:t>2</w:t>
                  </w:r>
                </w:p>
              </w:tc>
              <w:tc>
                <w:tcPr>
                  <w:tcW w:w="676" w:type="pct"/>
                  <w:tcBorders>
                    <w:tl2br w:val="nil"/>
                    <w:tr2bl w:val="nil"/>
                  </w:tcBorders>
                  <w:vAlign w:val="center"/>
                </w:tcPr>
                <w:p w14:paraId="465D8E0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依托现有</w:t>
                  </w:r>
                </w:p>
              </w:tc>
            </w:tr>
            <w:tr w14:paraId="375B6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21" w:hRule="atLeast"/>
              </w:trPr>
              <w:tc>
                <w:tcPr>
                  <w:tcW w:w="407" w:type="pct"/>
                  <w:vAlign w:val="center"/>
                </w:tcPr>
                <w:p w14:paraId="58984EE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14</w:t>
                  </w:r>
                </w:p>
              </w:tc>
              <w:tc>
                <w:tcPr>
                  <w:tcW w:w="670" w:type="pct"/>
                  <w:shd w:val="clear" w:color="auto" w:fill="auto"/>
                  <w:vAlign w:val="center"/>
                </w:tcPr>
                <w:p w14:paraId="0D8A75B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bidi="ar-SA"/>
                    </w:rPr>
                  </w:pPr>
                  <w:r>
                    <w:rPr>
                      <w:rFonts w:hint="default" w:ascii="Times New Roman" w:hAnsi="Times New Roman" w:eastAsia="宋体" w:cs="Times New Roman"/>
                      <w:sz w:val="21"/>
                      <w:szCs w:val="21"/>
                      <w:highlight w:val="none"/>
                      <w:u w:val="single"/>
                    </w:rPr>
                    <w:t>气化风机</w:t>
                  </w:r>
                </w:p>
              </w:tc>
              <w:tc>
                <w:tcPr>
                  <w:tcW w:w="2846" w:type="pct"/>
                  <w:vAlign w:val="center"/>
                </w:tcPr>
                <w:p w14:paraId="78710EA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型号：SSP150H；流量：12.71m³/min；压力：80kpa；转速：1110r/min；效率：87%；冷却方式：风冷；功率：37</w:t>
                  </w:r>
                  <w:r>
                    <w:rPr>
                      <w:rFonts w:hint="eastAsia" w:cs="Times New Roman"/>
                      <w:sz w:val="21"/>
                      <w:szCs w:val="21"/>
                      <w:highlight w:val="none"/>
                      <w:u w:val="single"/>
                      <w:lang w:eastAsia="zh-CN"/>
                    </w:rPr>
                    <w:t>kW</w:t>
                  </w:r>
                </w:p>
              </w:tc>
              <w:tc>
                <w:tcPr>
                  <w:tcW w:w="399" w:type="pct"/>
                  <w:vAlign w:val="center"/>
                </w:tcPr>
                <w:p w14:paraId="2C2A414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3</w:t>
                  </w:r>
                </w:p>
              </w:tc>
              <w:tc>
                <w:tcPr>
                  <w:tcW w:w="676" w:type="pct"/>
                  <w:shd w:val="clear" w:color="auto" w:fill="auto"/>
                  <w:vAlign w:val="center"/>
                </w:tcPr>
                <w:p w14:paraId="2B0C9D7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bidi="ar-SA"/>
                    </w:rPr>
                  </w:pPr>
                  <w:r>
                    <w:rPr>
                      <w:rFonts w:hint="eastAsia" w:cs="Times New Roman"/>
                      <w:sz w:val="21"/>
                      <w:szCs w:val="21"/>
                      <w:highlight w:val="none"/>
                      <w:u w:val="single"/>
                      <w:lang w:val="en-US" w:eastAsia="zh-CN"/>
                    </w:rPr>
                    <w:t>依托现有</w:t>
                  </w:r>
                </w:p>
              </w:tc>
            </w:tr>
            <w:tr w14:paraId="402793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31" w:hRule="atLeast"/>
              </w:trPr>
              <w:tc>
                <w:tcPr>
                  <w:tcW w:w="407" w:type="pct"/>
                  <w:vAlign w:val="center"/>
                </w:tcPr>
                <w:p w14:paraId="17A575C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15</w:t>
                  </w:r>
                </w:p>
              </w:tc>
              <w:tc>
                <w:tcPr>
                  <w:tcW w:w="670" w:type="pct"/>
                  <w:shd w:val="clear" w:color="auto" w:fill="auto"/>
                  <w:vAlign w:val="center"/>
                </w:tcPr>
                <w:p w14:paraId="7644717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bidi="ar-SA"/>
                    </w:rPr>
                  </w:pPr>
                  <w:r>
                    <w:rPr>
                      <w:rFonts w:hint="default" w:ascii="Times New Roman" w:hAnsi="Times New Roman" w:eastAsia="宋体" w:cs="Times New Roman"/>
                      <w:sz w:val="21"/>
                      <w:szCs w:val="21"/>
                      <w:highlight w:val="none"/>
                      <w:u w:val="single"/>
                    </w:rPr>
                    <w:t>分选下灰锁气器</w:t>
                  </w:r>
                </w:p>
              </w:tc>
              <w:tc>
                <w:tcPr>
                  <w:tcW w:w="2846" w:type="pct"/>
                  <w:vAlign w:val="center"/>
                </w:tcPr>
                <w:p w14:paraId="40A6EB0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型号：山西太原锅炉厂自产；出力：100t/h；电机功率：2.2</w:t>
                  </w:r>
                  <w:r>
                    <w:rPr>
                      <w:rFonts w:hint="eastAsia" w:cs="Times New Roman"/>
                      <w:sz w:val="21"/>
                      <w:szCs w:val="21"/>
                      <w:highlight w:val="none"/>
                      <w:u w:val="single"/>
                      <w:lang w:eastAsia="zh-CN"/>
                    </w:rPr>
                    <w:t>kW</w:t>
                  </w:r>
                  <w:r>
                    <w:rPr>
                      <w:rFonts w:hint="default" w:ascii="Times New Roman" w:hAnsi="Times New Roman" w:eastAsia="宋体" w:cs="Times New Roman"/>
                      <w:sz w:val="21"/>
                      <w:szCs w:val="21"/>
                      <w:highlight w:val="none"/>
                      <w:u w:val="single"/>
                    </w:rPr>
                    <w:t>。</w:t>
                  </w:r>
                </w:p>
              </w:tc>
              <w:tc>
                <w:tcPr>
                  <w:tcW w:w="399" w:type="pct"/>
                  <w:vAlign w:val="center"/>
                </w:tcPr>
                <w:p w14:paraId="6F327B6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1</w:t>
                  </w:r>
                </w:p>
              </w:tc>
              <w:tc>
                <w:tcPr>
                  <w:tcW w:w="676" w:type="pct"/>
                  <w:vAlign w:val="center"/>
                </w:tcPr>
                <w:p w14:paraId="2345C46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新增</w:t>
                  </w:r>
                </w:p>
              </w:tc>
            </w:tr>
            <w:tr w14:paraId="137C7A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63" w:hRule="atLeast"/>
              </w:trPr>
              <w:tc>
                <w:tcPr>
                  <w:tcW w:w="407" w:type="pct"/>
                  <w:vAlign w:val="center"/>
                </w:tcPr>
                <w:p w14:paraId="6C90AD8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16</w:t>
                  </w:r>
                </w:p>
              </w:tc>
              <w:tc>
                <w:tcPr>
                  <w:tcW w:w="670" w:type="pct"/>
                  <w:shd w:val="clear" w:color="auto" w:fill="auto"/>
                  <w:vAlign w:val="center"/>
                </w:tcPr>
                <w:p w14:paraId="3EF83D1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bidi="ar-SA"/>
                    </w:rPr>
                  </w:pPr>
                  <w:r>
                    <w:rPr>
                      <w:rFonts w:hint="default" w:ascii="Times New Roman" w:hAnsi="Times New Roman" w:eastAsia="宋体" w:cs="Times New Roman"/>
                      <w:sz w:val="21"/>
                      <w:szCs w:val="21"/>
                      <w:highlight w:val="none"/>
                      <w:u w:val="single"/>
                    </w:rPr>
                    <w:t>分选风机</w:t>
                  </w:r>
                </w:p>
              </w:tc>
              <w:tc>
                <w:tcPr>
                  <w:tcW w:w="2846" w:type="pct"/>
                  <w:vAlign w:val="center"/>
                </w:tcPr>
                <w:p w14:paraId="0D2E235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型号：武汉博力风机厂自产；流量：30000m³/h；压力：13.2kpa；转速：1450r/min；电机功率：200</w:t>
                  </w:r>
                  <w:r>
                    <w:rPr>
                      <w:rFonts w:hint="eastAsia" w:cs="Times New Roman"/>
                      <w:sz w:val="21"/>
                      <w:szCs w:val="21"/>
                      <w:highlight w:val="none"/>
                      <w:u w:val="single"/>
                      <w:lang w:eastAsia="zh-CN"/>
                    </w:rPr>
                    <w:t>kW</w:t>
                  </w:r>
                  <w:r>
                    <w:rPr>
                      <w:rFonts w:hint="default" w:ascii="Times New Roman" w:hAnsi="Times New Roman" w:eastAsia="宋体" w:cs="Times New Roman"/>
                      <w:sz w:val="21"/>
                      <w:szCs w:val="21"/>
                      <w:highlight w:val="none"/>
                      <w:u w:val="single"/>
                    </w:rPr>
                    <w:t>；配用电机Y315L2-4</w:t>
                  </w:r>
                </w:p>
              </w:tc>
              <w:tc>
                <w:tcPr>
                  <w:tcW w:w="399" w:type="pct"/>
                  <w:vAlign w:val="center"/>
                </w:tcPr>
                <w:p w14:paraId="5E7A45E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1</w:t>
                  </w:r>
                </w:p>
              </w:tc>
              <w:tc>
                <w:tcPr>
                  <w:tcW w:w="676" w:type="pct"/>
                  <w:vAlign w:val="center"/>
                </w:tcPr>
                <w:p w14:paraId="6DF6C26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新增</w:t>
                  </w:r>
                </w:p>
              </w:tc>
            </w:tr>
            <w:tr w14:paraId="675988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407" w:type="pct"/>
                  <w:vAlign w:val="center"/>
                </w:tcPr>
                <w:p w14:paraId="43061C6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17</w:t>
                  </w:r>
                </w:p>
              </w:tc>
              <w:tc>
                <w:tcPr>
                  <w:tcW w:w="670" w:type="pct"/>
                  <w:shd w:val="clear" w:color="auto" w:fill="auto"/>
                  <w:vAlign w:val="center"/>
                </w:tcPr>
                <w:p w14:paraId="2C54D31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bidi="ar-SA"/>
                    </w:rPr>
                  </w:pPr>
                  <w:r>
                    <w:rPr>
                      <w:rFonts w:hint="default" w:ascii="Times New Roman" w:hAnsi="Times New Roman" w:eastAsia="宋体" w:cs="Times New Roman"/>
                      <w:sz w:val="21"/>
                      <w:szCs w:val="21"/>
                      <w:u w:val="single"/>
                    </w:rPr>
                    <w:t>分选分级机</w:t>
                  </w:r>
                </w:p>
              </w:tc>
              <w:tc>
                <w:tcPr>
                  <w:tcW w:w="2846" w:type="pct"/>
                  <w:vAlign w:val="center"/>
                </w:tcPr>
                <w:p w14:paraId="4446789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型号：山西太原锅炉厂自产；出力：100t/h。</w:t>
                  </w:r>
                </w:p>
              </w:tc>
              <w:tc>
                <w:tcPr>
                  <w:tcW w:w="399" w:type="pct"/>
                  <w:vAlign w:val="center"/>
                </w:tcPr>
                <w:p w14:paraId="49FA7F3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1</w:t>
                  </w:r>
                </w:p>
              </w:tc>
              <w:tc>
                <w:tcPr>
                  <w:tcW w:w="676" w:type="pct"/>
                  <w:vAlign w:val="center"/>
                </w:tcPr>
                <w:p w14:paraId="3F7A3B7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新增</w:t>
                  </w:r>
                </w:p>
              </w:tc>
            </w:tr>
            <w:tr w14:paraId="2B4AC7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3" w:hRule="atLeast"/>
              </w:trPr>
              <w:tc>
                <w:tcPr>
                  <w:tcW w:w="407" w:type="pct"/>
                  <w:vAlign w:val="center"/>
                </w:tcPr>
                <w:p w14:paraId="545EC7F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18</w:t>
                  </w:r>
                </w:p>
              </w:tc>
              <w:tc>
                <w:tcPr>
                  <w:tcW w:w="670" w:type="pct"/>
                  <w:shd w:val="clear" w:color="auto" w:fill="auto"/>
                  <w:vAlign w:val="center"/>
                </w:tcPr>
                <w:p w14:paraId="1F84FFB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bidi="ar-SA"/>
                    </w:rPr>
                  </w:pPr>
                  <w:r>
                    <w:rPr>
                      <w:rFonts w:hint="default" w:ascii="Times New Roman" w:hAnsi="Times New Roman" w:eastAsia="宋体" w:cs="Times New Roman"/>
                      <w:sz w:val="21"/>
                      <w:szCs w:val="21"/>
                      <w:u w:val="single"/>
                    </w:rPr>
                    <w:t>旋风分离器</w:t>
                  </w:r>
                </w:p>
              </w:tc>
              <w:tc>
                <w:tcPr>
                  <w:tcW w:w="2846" w:type="pct"/>
                  <w:vAlign w:val="center"/>
                </w:tcPr>
                <w:p w14:paraId="652164B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型号：山西太原锅炉厂自产；</w:t>
                  </w:r>
                </w:p>
              </w:tc>
              <w:tc>
                <w:tcPr>
                  <w:tcW w:w="399" w:type="pct"/>
                  <w:vAlign w:val="center"/>
                </w:tcPr>
                <w:p w14:paraId="7F69D40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1</w:t>
                  </w:r>
                </w:p>
              </w:tc>
              <w:tc>
                <w:tcPr>
                  <w:tcW w:w="676" w:type="pct"/>
                  <w:vAlign w:val="center"/>
                </w:tcPr>
                <w:p w14:paraId="5FDD8EF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新增</w:t>
                  </w:r>
                </w:p>
              </w:tc>
            </w:tr>
            <w:tr w14:paraId="517954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5000" w:type="pct"/>
                  <w:gridSpan w:val="5"/>
                  <w:vAlign w:val="center"/>
                </w:tcPr>
                <w:p w14:paraId="76B47CC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b/>
                      <w:bCs/>
                      <w:sz w:val="21"/>
                      <w:szCs w:val="21"/>
                      <w:u w:val="single"/>
                      <w:lang w:val="en-US" w:eastAsia="zh-CN"/>
                    </w:rPr>
                    <w:t>三期灰库</w:t>
                  </w:r>
                </w:p>
              </w:tc>
            </w:tr>
            <w:tr w14:paraId="24F83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vAlign w:val="center"/>
                </w:tcPr>
                <w:p w14:paraId="78CB8FF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19</w:t>
                  </w:r>
                </w:p>
              </w:tc>
              <w:tc>
                <w:tcPr>
                  <w:tcW w:w="670" w:type="pct"/>
                  <w:shd w:val="clear" w:color="auto" w:fill="auto"/>
                  <w:vAlign w:val="center"/>
                </w:tcPr>
                <w:p w14:paraId="1BF75BD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干灰散装机</w:t>
                  </w:r>
                </w:p>
              </w:tc>
              <w:tc>
                <w:tcPr>
                  <w:tcW w:w="2846" w:type="pct"/>
                  <w:vAlign w:val="center"/>
                </w:tcPr>
                <w:p w14:paraId="7DA63C6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装卸能力：2000；散装机头行程：2.5m；</w:t>
                  </w:r>
                </w:p>
              </w:tc>
              <w:tc>
                <w:tcPr>
                  <w:tcW w:w="399" w:type="pct"/>
                  <w:vAlign w:val="center"/>
                </w:tcPr>
                <w:p w14:paraId="69EB2A9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1</w:t>
                  </w:r>
                </w:p>
              </w:tc>
              <w:tc>
                <w:tcPr>
                  <w:tcW w:w="676" w:type="pct"/>
                  <w:vAlign w:val="center"/>
                </w:tcPr>
                <w:p w14:paraId="16A5A83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eastAsia" w:cs="Times New Roman"/>
                      <w:sz w:val="21"/>
                      <w:szCs w:val="21"/>
                      <w:u w:val="single"/>
                      <w:lang w:val="en-US" w:eastAsia="zh-CN"/>
                    </w:rPr>
                    <w:t>依托现有</w:t>
                  </w:r>
                </w:p>
              </w:tc>
            </w:tr>
            <w:tr w14:paraId="25C20D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vAlign w:val="center"/>
                </w:tcPr>
                <w:p w14:paraId="65AED9F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20</w:t>
                  </w:r>
                </w:p>
              </w:tc>
              <w:tc>
                <w:tcPr>
                  <w:tcW w:w="670" w:type="pct"/>
                  <w:shd w:val="clear" w:color="auto" w:fill="auto"/>
                  <w:vAlign w:val="center"/>
                </w:tcPr>
                <w:p w14:paraId="1845EFA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散装机布袋除尘器</w:t>
                  </w:r>
                </w:p>
              </w:tc>
              <w:tc>
                <w:tcPr>
                  <w:tcW w:w="2846" w:type="pct"/>
                  <w:vAlign w:val="center"/>
                </w:tcPr>
                <w:p w14:paraId="16E0A20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抽尘风机型号：9-19；吸尘器直径：134mm；抽尘风机压力：3500pa</w:t>
                  </w:r>
                </w:p>
              </w:tc>
              <w:tc>
                <w:tcPr>
                  <w:tcW w:w="399" w:type="pct"/>
                  <w:vAlign w:val="center"/>
                </w:tcPr>
                <w:p w14:paraId="11EB239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1</w:t>
                  </w:r>
                </w:p>
              </w:tc>
              <w:tc>
                <w:tcPr>
                  <w:tcW w:w="676" w:type="pct"/>
                  <w:vAlign w:val="center"/>
                </w:tcPr>
                <w:p w14:paraId="108C252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eastAsia" w:cs="Times New Roman"/>
                      <w:sz w:val="21"/>
                      <w:szCs w:val="21"/>
                      <w:u w:val="single"/>
                      <w:lang w:val="en-US" w:eastAsia="zh-CN"/>
                    </w:rPr>
                    <w:t>依托现有</w:t>
                  </w:r>
                </w:p>
              </w:tc>
            </w:tr>
            <w:tr w14:paraId="1C7BDF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739086B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bidi="ar-SA"/>
                    </w:rPr>
                  </w:pPr>
                  <w:r>
                    <w:rPr>
                      <w:rFonts w:hint="eastAsia" w:cs="Times New Roman"/>
                      <w:sz w:val="21"/>
                      <w:szCs w:val="21"/>
                      <w:highlight w:val="none"/>
                      <w:u w:val="single"/>
                      <w:lang w:val="en-US" w:eastAsia="zh-CN"/>
                    </w:rPr>
                    <w:t>21</w:t>
                  </w:r>
                </w:p>
              </w:tc>
              <w:tc>
                <w:tcPr>
                  <w:tcW w:w="670" w:type="pct"/>
                  <w:shd w:val="clear" w:color="auto" w:fill="auto"/>
                  <w:vAlign w:val="center"/>
                </w:tcPr>
                <w:p w14:paraId="292D223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散装机锁气器</w:t>
                  </w:r>
                </w:p>
              </w:tc>
              <w:tc>
                <w:tcPr>
                  <w:tcW w:w="2846" w:type="pct"/>
                  <w:vAlign w:val="center"/>
                </w:tcPr>
                <w:p w14:paraId="3A109BB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eastAsia" w:cs="Times New Roman"/>
                      <w:sz w:val="21"/>
                      <w:szCs w:val="21"/>
                      <w:highlight w:val="none"/>
                      <w:u w:val="single"/>
                      <w:lang w:val="en-US" w:eastAsia="zh-CN"/>
                    </w:rPr>
                    <w:t>型号：</w:t>
                  </w:r>
                  <w:r>
                    <w:rPr>
                      <w:rFonts w:hint="default" w:ascii="Times New Roman" w:hAnsi="Times New Roman" w:eastAsia="宋体" w:cs="Times New Roman"/>
                      <w:sz w:val="21"/>
                      <w:szCs w:val="21"/>
                      <w:highlight w:val="none"/>
                      <w:u w:val="single"/>
                    </w:rPr>
                    <w:t>DS200</w:t>
                  </w:r>
                  <w:r>
                    <w:rPr>
                      <w:rFonts w:hint="eastAsia" w:cs="Times New Roman"/>
                      <w:sz w:val="21"/>
                      <w:szCs w:val="21"/>
                      <w:highlight w:val="none"/>
                      <w:u w:val="single"/>
                      <w:lang w:eastAsia="zh-CN"/>
                    </w:rPr>
                    <w:t>，</w:t>
                  </w:r>
                  <w:r>
                    <w:rPr>
                      <w:rFonts w:hint="default" w:ascii="Times New Roman" w:hAnsi="Times New Roman" w:eastAsia="宋体" w:cs="Times New Roman"/>
                      <w:sz w:val="21"/>
                      <w:szCs w:val="21"/>
                      <w:highlight w:val="none"/>
                      <w:u w:val="single"/>
                    </w:rPr>
                    <w:t>进出口尺寸：500×500mm；电机功率：5.5</w:t>
                  </w:r>
                  <w:r>
                    <w:rPr>
                      <w:rFonts w:hint="eastAsia" w:cs="Times New Roman"/>
                      <w:sz w:val="21"/>
                      <w:szCs w:val="21"/>
                      <w:highlight w:val="none"/>
                      <w:u w:val="single"/>
                      <w:lang w:eastAsia="zh-CN"/>
                    </w:rPr>
                    <w:t>kW</w:t>
                  </w:r>
                  <w:r>
                    <w:rPr>
                      <w:rFonts w:hint="default" w:ascii="Times New Roman" w:hAnsi="Times New Roman" w:eastAsia="宋体" w:cs="Times New Roman"/>
                      <w:sz w:val="21"/>
                      <w:szCs w:val="21"/>
                      <w:highlight w:val="none"/>
                      <w:u w:val="single"/>
                    </w:rPr>
                    <w:t>；减速机型号：XWD6-43-5.5</w:t>
                  </w:r>
                  <w:r>
                    <w:rPr>
                      <w:rFonts w:hint="eastAsia" w:cs="Times New Roman"/>
                      <w:sz w:val="21"/>
                      <w:szCs w:val="21"/>
                      <w:highlight w:val="none"/>
                      <w:u w:val="single"/>
                      <w:lang w:eastAsia="zh-CN"/>
                    </w:rPr>
                    <w:t>kW</w:t>
                  </w:r>
                  <w:r>
                    <w:rPr>
                      <w:rFonts w:hint="default" w:ascii="Times New Roman" w:hAnsi="Times New Roman" w:eastAsia="宋体" w:cs="Times New Roman"/>
                      <w:sz w:val="21"/>
                      <w:szCs w:val="21"/>
                      <w:highlight w:val="none"/>
                      <w:u w:val="single"/>
                    </w:rPr>
                    <w:t>；配用电机型号：Y132S-4</w:t>
                  </w:r>
                </w:p>
              </w:tc>
              <w:tc>
                <w:tcPr>
                  <w:tcW w:w="399" w:type="pct"/>
                  <w:vAlign w:val="center"/>
                </w:tcPr>
                <w:p w14:paraId="14F4F9C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1</w:t>
                  </w:r>
                </w:p>
              </w:tc>
              <w:tc>
                <w:tcPr>
                  <w:tcW w:w="676" w:type="pct"/>
                  <w:vAlign w:val="center"/>
                </w:tcPr>
                <w:p w14:paraId="7626B4A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eastAsia" w:cs="Times New Roman"/>
                      <w:sz w:val="21"/>
                      <w:szCs w:val="21"/>
                      <w:highlight w:val="none"/>
                      <w:u w:val="single"/>
                      <w:lang w:val="en-US" w:eastAsia="zh-CN"/>
                    </w:rPr>
                    <w:t>依托现有</w:t>
                  </w:r>
                </w:p>
              </w:tc>
            </w:tr>
            <w:tr w14:paraId="2E30B0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631EB9D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bidi="ar-SA"/>
                    </w:rPr>
                  </w:pPr>
                  <w:r>
                    <w:rPr>
                      <w:rFonts w:hint="eastAsia" w:cs="Times New Roman"/>
                      <w:sz w:val="21"/>
                      <w:szCs w:val="21"/>
                      <w:u w:val="single"/>
                      <w:lang w:val="en-US" w:eastAsia="zh-CN"/>
                    </w:rPr>
                    <w:t>22</w:t>
                  </w:r>
                </w:p>
              </w:tc>
              <w:tc>
                <w:tcPr>
                  <w:tcW w:w="670" w:type="pct"/>
                  <w:shd w:val="clear" w:color="auto" w:fill="auto"/>
                  <w:vAlign w:val="center"/>
                </w:tcPr>
                <w:p w14:paraId="0046DB4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双轴搅拌机</w:t>
                  </w:r>
                </w:p>
              </w:tc>
              <w:tc>
                <w:tcPr>
                  <w:tcW w:w="2846" w:type="pct"/>
                  <w:vAlign w:val="center"/>
                </w:tcPr>
                <w:p w14:paraId="43498E2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eastAsia" w:cs="Times New Roman"/>
                      <w:sz w:val="21"/>
                      <w:szCs w:val="21"/>
                      <w:u w:val="single"/>
                      <w:lang w:val="en-US" w:eastAsia="zh-CN"/>
                    </w:rPr>
                    <w:t>型号：SJC200，</w:t>
                  </w:r>
                  <w:r>
                    <w:rPr>
                      <w:rFonts w:hint="default" w:ascii="Times New Roman" w:hAnsi="Times New Roman" w:eastAsia="宋体" w:cs="Times New Roman"/>
                      <w:sz w:val="21"/>
                      <w:szCs w:val="21"/>
                      <w:u w:val="single"/>
                    </w:rPr>
                    <w:t>减速机型号：KTK10-22.62-30KW-4P；处理量：200t/h；水量：40-60t/h；水压：0.4-0.6；叶片转速：63.7r/min</w:t>
                  </w:r>
                </w:p>
              </w:tc>
              <w:tc>
                <w:tcPr>
                  <w:tcW w:w="399" w:type="pct"/>
                  <w:vAlign w:val="center"/>
                </w:tcPr>
                <w:p w14:paraId="3E31D12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1</w:t>
                  </w:r>
                </w:p>
              </w:tc>
              <w:tc>
                <w:tcPr>
                  <w:tcW w:w="676" w:type="pct"/>
                  <w:vAlign w:val="center"/>
                </w:tcPr>
                <w:p w14:paraId="583C51C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eastAsia" w:cs="Times New Roman"/>
                      <w:sz w:val="21"/>
                      <w:szCs w:val="21"/>
                      <w:u w:val="single"/>
                      <w:lang w:val="en-US" w:eastAsia="zh-CN"/>
                    </w:rPr>
                    <w:t>依托现有</w:t>
                  </w:r>
                </w:p>
              </w:tc>
            </w:tr>
            <w:tr w14:paraId="61ADC6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381D138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bidi="ar-SA"/>
                    </w:rPr>
                  </w:pPr>
                  <w:r>
                    <w:rPr>
                      <w:rFonts w:hint="eastAsia" w:cs="Times New Roman"/>
                      <w:sz w:val="21"/>
                      <w:szCs w:val="21"/>
                      <w:u w:val="single"/>
                      <w:lang w:val="en-US" w:eastAsia="zh-CN"/>
                    </w:rPr>
                    <w:t>23</w:t>
                  </w:r>
                </w:p>
              </w:tc>
              <w:tc>
                <w:tcPr>
                  <w:tcW w:w="670" w:type="pct"/>
                  <w:shd w:val="clear" w:color="auto" w:fill="auto"/>
                  <w:vAlign w:val="center"/>
                </w:tcPr>
                <w:p w14:paraId="5ECAFD1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排污泵</w:t>
                  </w:r>
                </w:p>
              </w:tc>
              <w:tc>
                <w:tcPr>
                  <w:tcW w:w="2846" w:type="pct"/>
                  <w:vAlign w:val="center"/>
                </w:tcPr>
                <w:p w14:paraId="15E75F7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eastAsia" w:cs="Times New Roman"/>
                      <w:sz w:val="21"/>
                      <w:szCs w:val="21"/>
                      <w:u w:val="single"/>
                      <w:lang w:val="en-US" w:eastAsia="zh-CN"/>
                    </w:rPr>
                    <w:t>型号：</w:t>
                  </w:r>
                  <w:r>
                    <w:rPr>
                      <w:rFonts w:hint="default" w:ascii="Times New Roman" w:hAnsi="Times New Roman" w:eastAsia="宋体" w:cs="Times New Roman"/>
                      <w:sz w:val="21"/>
                      <w:szCs w:val="21"/>
                      <w:u w:val="single"/>
                    </w:rPr>
                    <w:t>80YZ50-50-22</w:t>
                  </w:r>
                  <w:r>
                    <w:rPr>
                      <w:rFonts w:hint="eastAsia" w:cs="Times New Roman"/>
                      <w:sz w:val="21"/>
                      <w:szCs w:val="21"/>
                      <w:u w:val="single"/>
                      <w:lang w:eastAsia="zh-CN"/>
                    </w:rPr>
                    <w:t>，</w:t>
                  </w:r>
                  <w:r>
                    <w:rPr>
                      <w:rFonts w:hint="default" w:ascii="Times New Roman" w:hAnsi="Times New Roman" w:eastAsia="宋体" w:cs="Times New Roman"/>
                      <w:sz w:val="21"/>
                      <w:szCs w:val="21"/>
                      <w:u w:val="single"/>
                    </w:rPr>
                    <w:t>电机功率：22</w:t>
                  </w:r>
                  <w:r>
                    <w:rPr>
                      <w:rFonts w:hint="eastAsia" w:cs="Times New Roman"/>
                      <w:sz w:val="21"/>
                      <w:szCs w:val="21"/>
                      <w:u w:val="single"/>
                      <w:lang w:eastAsia="zh-CN"/>
                    </w:rPr>
                    <w:t>kW</w:t>
                  </w:r>
                  <w:r>
                    <w:rPr>
                      <w:rFonts w:hint="default" w:ascii="Times New Roman" w:hAnsi="Times New Roman" w:eastAsia="宋体" w:cs="Times New Roman"/>
                      <w:sz w:val="21"/>
                      <w:szCs w:val="21"/>
                      <w:u w:val="single"/>
                    </w:rPr>
                    <w:t>；流量：50m³/h；扬程：50m；转速：1450r/min；</w:t>
                  </w:r>
                </w:p>
              </w:tc>
              <w:tc>
                <w:tcPr>
                  <w:tcW w:w="399" w:type="pct"/>
                  <w:vAlign w:val="center"/>
                </w:tcPr>
                <w:p w14:paraId="3DBE85A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1</w:t>
                  </w:r>
                </w:p>
              </w:tc>
              <w:tc>
                <w:tcPr>
                  <w:tcW w:w="676" w:type="pct"/>
                  <w:vAlign w:val="center"/>
                </w:tcPr>
                <w:p w14:paraId="0E9F53F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依托现有</w:t>
                  </w:r>
                </w:p>
              </w:tc>
            </w:tr>
            <w:tr w14:paraId="3C4D32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7C530BE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bidi="ar-SA"/>
                    </w:rPr>
                  </w:pPr>
                  <w:r>
                    <w:rPr>
                      <w:rFonts w:hint="eastAsia" w:cs="Times New Roman"/>
                      <w:sz w:val="21"/>
                      <w:szCs w:val="21"/>
                      <w:u w:val="single"/>
                      <w:lang w:val="en-US" w:eastAsia="zh-CN"/>
                    </w:rPr>
                    <w:t>24</w:t>
                  </w:r>
                </w:p>
              </w:tc>
              <w:tc>
                <w:tcPr>
                  <w:tcW w:w="670" w:type="pct"/>
                  <w:shd w:val="clear" w:color="auto" w:fill="auto"/>
                  <w:vAlign w:val="center"/>
                </w:tcPr>
                <w:p w14:paraId="2812338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加湿泵</w:t>
                  </w:r>
                </w:p>
              </w:tc>
              <w:tc>
                <w:tcPr>
                  <w:tcW w:w="2846" w:type="pct"/>
                  <w:vAlign w:val="center"/>
                </w:tcPr>
                <w:p w14:paraId="0E6F16A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eastAsia" w:cs="Times New Roman"/>
                      <w:sz w:val="21"/>
                      <w:szCs w:val="21"/>
                      <w:u w:val="single"/>
                      <w:lang w:val="en-US" w:eastAsia="zh-CN"/>
                    </w:rPr>
                    <w:t>型号：IS100-65-250A，</w:t>
                  </w:r>
                  <w:r>
                    <w:rPr>
                      <w:rFonts w:hint="default" w:ascii="Times New Roman" w:hAnsi="Times New Roman" w:eastAsia="宋体" w:cs="Times New Roman"/>
                      <w:sz w:val="21"/>
                      <w:szCs w:val="21"/>
                      <w:u w:val="single"/>
                    </w:rPr>
                    <w:t>扬程：60m；流量：60m³/h；功率：30</w:t>
                  </w:r>
                  <w:r>
                    <w:rPr>
                      <w:rFonts w:hint="eastAsia" w:cs="Times New Roman"/>
                      <w:sz w:val="21"/>
                      <w:szCs w:val="21"/>
                      <w:u w:val="single"/>
                      <w:lang w:eastAsia="zh-CN"/>
                    </w:rPr>
                    <w:t>kW</w:t>
                  </w:r>
                  <w:r>
                    <w:rPr>
                      <w:rFonts w:hint="default" w:ascii="Times New Roman" w:hAnsi="Times New Roman" w:eastAsia="宋体" w:cs="Times New Roman"/>
                      <w:sz w:val="21"/>
                      <w:szCs w:val="21"/>
                      <w:u w:val="single"/>
                    </w:rPr>
                    <w:t>；转速：2900r/min；</w:t>
                  </w:r>
                </w:p>
              </w:tc>
              <w:tc>
                <w:tcPr>
                  <w:tcW w:w="399" w:type="pct"/>
                  <w:vAlign w:val="center"/>
                </w:tcPr>
                <w:p w14:paraId="69A635B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3</w:t>
                  </w:r>
                </w:p>
              </w:tc>
              <w:tc>
                <w:tcPr>
                  <w:tcW w:w="676" w:type="pct"/>
                  <w:vAlign w:val="center"/>
                </w:tcPr>
                <w:p w14:paraId="2A3B7DA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依托现有</w:t>
                  </w:r>
                </w:p>
              </w:tc>
            </w:tr>
            <w:tr w14:paraId="6E292E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7C9FBC4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bidi="ar-SA"/>
                    </w:rPr>
                  </w:pPr>
                  <w:r>
                    <w:rPr>
                      <w:rFonts w:hint="eastAsia" w:cs="Times New Roman"/>
                      <w:sz w:val="21"/>
                      <w:szCs w:val="21"/>
                      <w:highlight w:val="none"/>
                      <w:u w:val="single"/>
                      <w:lang w:val="en-US" w:eastAsia="zh-CN"/>
                    </w:rPr>
                    <w:t>25</w:t>
                  </w:r>
                </w:p>
              </w:tc>
              <w:tc>
                <w:tcPr>
                  <w:tcW w:w="670" w:type="pct"/>
                  <w:shd w:val="clear" w:color="auto" w:fill="auto"/>
                  <w:vAlign w:val="center"/>
                </w:tcPr>
                <w:p w14:paraId="244CA68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气化风机</w:t>
                  </w:r>
                </w:p>
              </w:tc>
              <w:tc>
                <w:tcPr>
                  <w:tcW w:w="2846" w:type="pct"/>
                  <w:vAlign w:val="center"/>
                </w:tcPr>
                <w:p w14:paraId="78FDB1E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eastAsia" w:cs="Times New Roman"/>
                      <w:sz w:val="21"/>
                      <w:szCs w:val="21"/>
                      <w:highlight w:val="none"/>
                      <w:u w:val="single"/>
                      <w:lang w:val="en-US" w:eastAsia="zh-CN"/>
                    </w:rPr>
                    <w:t>型号：SNH 811</w:t>
                  </w:r>
                  <w:r>
                    <w:rPr>
                      <w:rFonts w:hint="default" w:ascii="Times New Roman" w:hAnsi="Times New Roman" w:eastAsia="宋体" w:cs="Times New Roman"/>
                      <w:sz w:val="21"/>
                      <w:szCs w:val="21"/>
                      <w:highlight w:val="none"/>
                      <w:u w:val="single"/>
                    </w:rPr>
                    <w:t>风压：78.4KPa；风量：19.8m³/min；配用电机：Y2-225M-4；</w:t>
                  </w:r>
                </w:p>
              </w:tc>
              <w:tc>
                <w:tcPr>
                  <w:tcW w:w="399" w:type="pct"/>
                  <w:vAlign w:val="center"/>
                </w:tcPr>
                <w:p w14:paraId="7D3B3F6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4</w:t>
                  </w:r>
                </w:p>
              </w:tc>
              <w:tc>
                <w:tcPr>
                  <w:tcW w:w="676" w:type="pct"/>
                  <w:vAlign w:val="center"/>
                </w:tcPr>
                <w:p w14:paraId="42C6A62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依托现有</w:t>
                  </w:r>
                </w:p>
              </w:tc>
            </w:tr>
            <w:tr w14:paraId="48F5D6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4AFA899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bidi="ar-SA"/>
                    </w:rPr>
                  </w:pPr>
                  <w:r>
                    <w:rPr>
                      <w:rFonts w:hint="eastAsia" w:cs="Times New Roman"/>
                      <w:sz w:val="21"/>
                      <w:szCs w:val="21"/>
                      <w:u w:val="single"/>
                      <w:lang w:val="en-US" w:eastAsia="zh-CN"/>
                    </w:rPr>
                    <w:t>26</w:t>
                  </w:r>
                </w:p>
              </w:tc>
              <w:tc>
                <w:tcPr>
                  <w:tcW w:w="670" w:type="pct"/>
                  <w:shd w:val="clear" w:color="auto" w:fill="auto"/>
                  <w:vAlign w:val="center"/>
                </w:tcPr>
                <w:p w14:paraId="1F96469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侧抽模块化除尘器</w:t>
                  </w:r>
                </w:p>
              </w:tc>
              <w:tc>
                <w:tcPr>
                  <w:tcW w:w="2846" w:type="pct"/>
                  <w:vAlign w:val="center"/>
                </w:tcPr>
                <w:p w14:paraId="2EA53AD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型号：</w:t>
                  </w:r>
                  <w:r>
                    <w:rPr>
                      <w:rStyle w:val="178"/>
                      <w:rFonts w:hint="default" w:ascii="Times New Roman" w:hAnsi="Times New Roman" w:cs="Times New Roman"/>
                      <w:sz w:val="21"/>
                      <w:szCs w:val="21"/>
                      <w:highlight w:val="none"/>
                      <w:u w:val="single"/>
                      <w:lang w:val="zh-CN" w:eastAsia="zh-CN" w:bidi="ar"/>
                    </w:rPr>
                    <w:t>FQF</w:t>
                  </w:r>
                  <w:r>
                    <w:rPr>
                      <w:rStyle w:val="178"/>
                      <w:rFonts w:hint="eastAsia" w:ascii="Times New Roman" w:hAnsi="Times New Roman" w:cs="Times New Roman"/>
                      <w:sz w:val="21"/>
                      <w:szCs w:val="21"/>
                      <w:highlight w:val="none"/>
                      <w:u w:val="single"/>
                      <w:lang w:val="en-US" w:eastAsia="zh-CN" w:bidi="ar"/>
                    </w:rPr>
                    <w:t>360</w:t>
                  </w:r>
                  <w:r>
                    <w:rPr>
                      <w:rFonts w:hint="default" w:ascii="Times New Roman" w:hAnsi="Times New Roman" w:eastAsia="宋体" w:cs="Times New Roman"/>
                      <w:sz w:val="21"/>
                      <w:szCs w:val="21"/>
                      <w:u w:val="single"/>
                    </w:rPr>
                    <w:t>；风量：</w:t>
                  </w:r>
                  <w:r>
                    <w:rPr>
                      <w:rFonts w:hint="eastAsia" w:cs="Times New Roman"/>
                      <w:sz w:val="21"/>
                      <w:szCs w:val="21"/>
                      <w:u w:val="single"/>
                      <w:lang w:val="en-US" w:eastAsia="zh-CN"/>
                    </w:rPr>
                    <w:t>17280m</w:t>
                  </w:r>
                  <w:r>
                    <w:rPr>
                      <w:rFonts w:hint="eastAsia" w:cs="Times New Roman"/>
                      <w:sz w:val="21"/>
                      <w:szCs w:val="21"/>
                      <w:u w:val="single"/>
                      <w:vertAlign w:val="superscript"/>
                      <w:lang w:val="en-US" w:eastAsia="zh-CN"/>
                    </w:rPr>
                    <w:t>3</w:t>
                  </w:r>
                  <w:r>
                    <w:rPr>
                      <w:rFonts w:hint="eastAsia" w:cs="Times New Roman"/>
                      <w:sz w:val="21"/>
                      <w:szCs w:val="21"/>
                      <w:u w:val="single"/>
                      <w:lang w:val="en-US" w:eastAsia="zh-CN"/>
                    </w:rPr>
                    <w:t>/h</w:t>
                  </w:r>
                  <w:r>
                    <w:rPr>
                      <w:rFonts w:hint="default" w:ascii="Times New Roman" w:hAnsi="Times New Roman" w:eastAsia="宋体" w:cs="Times New Roman"/>
                      <w:sz w:val="21"/>
                      <w:szCs w:val="21"/>
                      <w:u w:val="single"/>
                    </w:rPr>
                    <w:t>；</w:t>
                  </w:r>
                  <w:r>
                    <w:rPr>
                      <w:rFonts w:hint="eastAsia" w:cs="Times New Roman"/>
                      <w:sz w:val="21"/>
                      <w:szCs w:val="21"/>
                      <w:u w:val="single"/>
                      <w:lang w:val="en-US" w:eastAsia="zh-CN"/>
                    </w:rPr>
                    <w:t>单条</w:t>
                  </w:r>
                  <w:r>
                    <w:rPr>
                      <w:rFonts w:hint="default" w:ascii="Times New Roman" w:hAnsi="Times New Roman" w:eastAsia="宋体" w:cs="Times New Roman"/>
                      <w:sz w:val="21"/>
                      <w:szCs w:val="21"/>
                      <w:u w:val="single"/>
                    </w:rPr>
                    <w:t>过滤面积</w:t>
                  </w:r>
                  <w:r>
                    <w:rPr>
                      <w:rFonts w:hint="eastAsia" w:cs="Times New Roman"/>
                      <w:sz w:val="21"/>
                      <w:szCs w:val="21"/>
                      <w:u w:val="single"/>
                      <w:lang w:val="en-US" w:eastAsia="zh-CN"/>
                    </w:rPr>
                    <w:t>1.5</w:t>
                  </w:r>
                  <w:r>
                    <w:rPr>
                      <w:rFonts w:hint="default" w:ascii="Times New Roman" w:hAnsi="Times New Roman" w:eastAsia="宋体" w:cs="Times New Roman"/>
                      <w:sz w:val="21"/>
                      <w:szCs w:val="21"/>
                      <w:u w:val="single"/>
                    </w:rPr>
                    <w:t>m</w:t>
                  </w:r>
                  <w:r>
                    <w:rPr>
                      <w:rFonts w:hint="eastAsia" w:cs="Times New Roman"/>
                      <w:sz w:val="21"/>
                      <w:szCs w:val="21"/>
                      <w:u w:val="single"/>
                      <w:vertAlign w:val="superscript"/>
                      <w:lang w:val="en-US" w:eastAsia="zh-CN"/>
                    </w:rPr>
                    <w:t>2</w:t>
                  </w:r>
                  <w:r>
                    <w:rPr>
                      <w:rFonts w:hint="eastAsia" w:cs="Times New Roman"/>
                      <w:sz w:val="21"/>
                      <w:szCs w:val="21"/>
                      <w:u w:val="single"/>
                      <w:lang w:eastAsia="zh-CN"/>
                    </w:rPr>
                    <w:t>，</w:t>
                  </w:r>
                  <w:r>
                    <w:rPr>
                      <w:rFonts w:hint="eastAsia" w:cs="Times New Roman"/>
                      <w:sz w:val="21"/>
                      <w:szCs w:val="21"/>
                      <w:u w:val="single"/>
                      <w:lang w:val="en-US" w:eastAsia="zh-CN"/>
                    </w:rPr>
                    <w:t>设置240条滤袋，总过滤面积360m</w:t>
                  </w:r>
                  <w:r>
                    <w:rPr>
                      <w:rFonts w:hint="eastAsia" w:cs="Times New Roman"/>
                      <w:sz w:val="21"/>
                      <w:szCs w:val="21"/>
                      <w:u w:val="single"/>
                      <w:vertAlign w:val="superscript"/>
                      <w:lang w:val="en-US" w:eastAsia="zh-CN"/>
                    </w:rPr>
                    <w:t>2</w:t>
                  </w:r>
                  <w:r>
                    <w:rPr>
                      <w:rFonts w:hint="default" w:ascii="Times New Roman" w:hAnsi="Times New Roman" w:eastAsia="宋体" w:cs="Times New Roman"/>
                      <w:sz w:val="21"/>
                      <w:szCs w:val="21"/>
                      <w:u w:val="single"/>
                    </w:rPr>
                    <w:t>；</w:t>
                  </w:r>
                  <w:r>
                    <w:rPr>
                      <w:rFonts w:hint="eastAsia" w:ascii="Times New Roman" w:hAnsi="Times New Roman" w:eastAsia="宋体" w:cs="Times New Roman"/>
                      <w:sz w:val="21"/>
                      <w:szCs w:val="21"/>
                      <w:u w:val="single"/>
                      <w:lang w:val="en-US" w:eastAsia="zh-CN"/>
                    </w:rPr>
                    <w:t>处理</w:t>
                  </w:r>
                  <w:r>
                    <w:rPr>
                      <w:rFonts w:hint="default" w:ascii="Times New Roman" w:hAnsi="Times New Roman" w:eastAsia="宋体" w:cs="Times New Roman"/>
                      <w:sz w:val="21"/>
                      <w:szCs w:val="21"/>
                      <w:u w:val="single"/>
                    </w:rPr>
                    <w:t>效率：99%；</w:t>
                  </w:r>
                </w:p>
              </w:tc>
              <w:tc>
                <w:tcPr>
                  <w:tcW w:w="399" w:type="pct"/>
                  <w:vAlign w:val="center"/>
                </w:tcPr>
                <w:p w14:paraId="2180E44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1</w:t>
                  </w:r>
                </w:p>
              </w:tc>
              <w:tc>
                <w:tcPr>
                  <w:tcW w:w="676" w:type="pct"/>
                  <w:vAlign w:val="center"/>
                </w:tcPr>
                <w:p w14:paraId="04A88B8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依托现有</w:t>
                  </w:r>
                </w:p>
              </w:tc>
            </w:tr>
            <w:tr w14:paraId="7E84F2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415FDE8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bidi="ar-SA"/>
                    </w:rPr>
                  </w:pPr>
                  <w:r>
                    <w:rPr>
                      <w:rFonts w:hint="eastAsia" w:cs="Times New Roman"/>
                      <w:sz w:val="21"/>
                      <w:szCs w:val="21"/>
                      <w:u w:val="single"/>
                      <w:lang w:val="en-US" w:eastAsia="zh-CN"/>
                    </w:rPr>
                    <w:t>27</w:t>
                  </w:r>
                </w:p>
              </w:tc>
              <w:tc>
                <w:tcPr>
                  <w:tcW w:w="670" w:type="pct"/>
                  <w:shd w:val="clear" w:color="auto" w:fill="auto"/>
                  <w:vAlign w:val="center"/>
                </w:tcPr>
                <w:p w14:paraId="0D1176F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分选下灰锁气器</w:t>
                  </w:r>
                </w:p>
              </w:tc>
              <w:tc>
                <w:tcPr>
                  <w:tcW w:w="2846" w:type="pct"/>
                  <w:vAlign w:val="center"/>
                </w:tcPr>
                <w:p w14:paraId="2603702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eastAsia" w:cs="Times New Roman"/>
                      <w:sz w:val="21"/>
                      <w:szCs w:val="21"/>
                      <w:u w:val="single"/>
                      <w:lang w:val="en-US" w:eastAsia="zh-CN"/>
                    </w:rPr>
                    <w:t>型号：DSG400，</w:t>
                  </w:r>
                  <w:r>
                    <w:rPr>
                      <w:rFonts w:hint="default" w:ascii="Times New Roman" w:hAnsi="Times New Roman" w:eastAsia="宋体" w:cs="Times New Roman"/>
                      <w:sz w:val="21"/>
                      <w:szCs w:val="21"/>
                      <w:u w:val="single"/>
                    </w:rPr>
                    <w:t>减速机型号：XWVP2.2-4-29-FN；功率：2.2KW</w:t>
                  </w:r>
                </w:p>
              </w:tc>
              <w:tc>
                <w:tcPr>
                  <w:tcW w:w="399" w:type="pct"/>
                  <w:vAlign w:val="center"/>
                </w:tcPr>
                <w:p w14:paraId="2C5471C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2</w:t>
                  </w:r>
                </w:p>
              </w:tc>
              <w:tc>
                <w:tcPr>
                  <w:tcW w:w="676" w:type="pct"/>
                  <w:vAlign w:val="center"/>
                </w:tcPr>
                <w:p w14:paraId="690BCB2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新增</w:t>
                  </w:r>
                </w:p>
              </w:tc>
            </w:tr>
            <w:tr w14:paraId="328F90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6314C49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bidi="ar-SA"/>
                    </w:rPr>
                  </w:pPr>
                  <w:r>
                    <w:rPr>
                      <w:rFonts w:hint="eastAsia" w:cs="Times New Roman"/>
                      <w:sz w:val="21"/>
                      <w:szCs w:val="21"/>
                      <w:u w:val="single"/>
                      <w:lang w:val="en-US" w:eastAsia="zh-CN"/>
                    </w:rPr>
                    <w:t>28</w:t>
                  </w:r>
                </w:p>
              </w:tc>
              <w:tc>
                <w:tcPr>
                  <w:tcW w:w="670" w:type="pct"/>
                  <w:shd w:val="clear" w:color="auto" w:fill="auto"/>
                  <w:vAlign w:val="center"/>
                </w:tcPr>
                <w:p w14:paraId="73215D8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分选分离锁气器</w:t>
                  </w:r>
                </w:p>
              </w:tc>
              <w:tc>
                <w:tcPr>
                  <w:tcW w:w="2846" w:type="pct"/>
                  <w:vAlign w:val="center"/>
                </w:tcPr>
                <w:p w14:paraId="4994105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eastAsia" w:cs="Times New Roman"/>
                      <w:sz w:val="21"/>
                      <w:szCs w:val="21"/>
                      <w:u w:val="single"/>
                      <w:lang w:val="en-US" w:eastAsia="zh-CN"/>
                    </w:rPr>
                    <w:t>型号：DSG300，</w:t>
                  </w:r>
                  <w:r>
                    <w:rPr>
                      <w:rFonts w:hint="default" w:ascii="Times New Roman" w:hAnsi="Times New Roman" w:eastAsia="宋体" w:cs="Times New Roman"/>
                      <w:sz w:val="21"/>
                      <w:szCs w:val="21"/>
                      <w:u w:val="single"/>
                    </w:rPr>
                    <w:t>减速机型号：XWVP1.5-4-23-FN；功率：1.5</w:t>
                  </w:r>
                  <w:r>
                    <w:rPr>
                      <w:rFonts w:hint="eastAsia" w:cs="Times New Roman"/>
                      <w:sz w:val="21"/>
                      <w:szCs w:val="21"/>
                      <w:u w:val="single"/>
                      <w:lang w:eastAsia="zh-CN"/>
                    </w:rPr>
                    <w:t>kW</w:t>
                  </w:r>
                  <w:r>
                    <w:rPr>
                      <w:rFonts w:hint="default" w:ascii="Times New Roman" w:hAnsi="Times New Roman" w:eastAsia="宋体" w:cs="Times New Roman"/>
                      <w:sz w:val="21"/>
                      <w:szCs w:val="21"/>
                      <w:u w:val="single"/>
                    </w:rPr>
                    <w:t>。</w:t>
                  </w:r>
                </w:p>
              </w:tc>
              <w:tc>
                <w:tcPr>
                  <w:tcW w:w="399" w:type="pct"/>
                  <w:vAlign w:val="center"/>
                </w:tcPr>
                <w:p w14:paraId="5D4033B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eastAsia="zh-CN"/>
                    </w:rPr>
                  </w:pPr>
                  <w:r>
                    <w:rPr>
                      <w:rFonts w:hint="eastAsia" w:cs="Times New Roman"/>
                      <w:sz w:val="21"/>
                      <w:szCs w:val="21"/>
                      <w:u w:val="single"/>
                      <w:lang w:val="en-US" w:eastAsia="zh-CN"/>
                    </w:rPr>
                    <w:t>6</w:t>
                  </w:r>
                </w:p>
              </w:tc>
              <w:tc>
                <w:tcPr>
                  <w:tcW w:w="676" w:type="pct"/>
                  <w:vAlign w:val="center"/>
                </w:tcPr>
                <w:p w14:paraId="48C87DA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新增</w:t>
                  </w:r>
                </w:p>
              </w:tc>
            </w:tr>
            <w:tr w14:paraId="0AA269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75118E5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bidi="ar-SA"/>
                    </w:rPr>
                  </w:pPr>
                  <w:r>
                    <w:rPr>
                      <w:rFonts w:hint="eastAsia" w:cs="Times New Roman"/>
                      <w:sz w:val="21"/>
                      <w:szCs w:val="21"/>
                      <w:u w:val="single"/>
                      <w:lang w:val="en-US" w:eastAsia="zh-CN"/>
                    </w:rPr>
                    <w:t>29</w:t>
                  </w:r>
                </w:p>
              </w:tc>
              <w:tc>
                <w:tcPr>
                  <w:tcW w:w="670" w:type="pct"/>
                  <w:shd w:val="clear" w:color="auto" w:fill="auto"/>
                  <w:vAlign w:val="center"/>
                </w:tcPr>
                <w:p w14:paraId="62E2611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除灰储气罐</w:t>
                  </w:r>
                </w:p>
              </w:tc>
              <w:tc>
                <w:tcPr>
                  <w:tcW w:w="2846" w:type="pct"/>
                  <w:vAlign w:val="center"/>
                </w:tcPr>
                <w:p w14:paraId="430B277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设计/最大工作压力：1.2/1.0MPa；耐压试验压力：1.5MPa；空器净重：1254kg；设计温度：80℃；容积：3</w:t>
                  </w:r>
                  <w:r>
                    <w:rPr>
                      <w:rFonts w:hint="eastAsia" w:cs="Times New Roman"/>
                      <w:sz w:val="21"/>
                      <w:szCs w:val="21"/>
                      <w:u w:val="single"/>
                      <w:lang w:val="en-US" w:eastAsia="zh-CN"/>
                    </w:rPr>
                    <w:t>m</w:t>
                  </w:r>
                  <w:r>
                    <w:rPr>
                      <w:rFonts w:hint="eastAsia" w:cs="Times New Roman"/>
                      <w:sz w:val="21"/>
                      <w:szCs w:val="21"/>
                      <w:u w:val="single"/>
                      <w:vertAlign w:val="superscript"/>
                      <w:lang w:val="en-US" w:eastAsia="zh-CN"/>
                    </w:rPr>
                    <w:t>3</w:t>
                  </w:r>
                  <w:r>
                    <w:rPr>
                      <w:rFonts w:hint="default" w:ascii="Times New Roman" w:hAnsi="Times New Roman" w:eastAsia="宋体" w:cs="Times New Roman"/>
                      <w:sz w:val="21"/>
                      <w:szCs w:val="21"/>
                      <w:u w:val="single"/>
                    </w:rPr>
                    <w:t>；</w:t>
                  </w:r>
                </w:p>
              </w:tc>
              <w:tc>
                <w:tcPr>
                  <w:tcW w:w="399" w:type="pct"/>
                  <w:vAlign w:val="center"/>
                </w:tcPr>
                <w:p w14:paraId="5CD289A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w:t>
                  </w:r>
                </w:p>
              </w:tc>
              <w:tc>
                <w:tcPr>
                  <w:tcW w:w="676" w:type="pct"/>
                  <w:vAlign w:val="center"/>
                </w:tcPr>
                <w:p w14:paraId="624B607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依托现有</w:t>
                  </w:r>
                </w:p>
              </w:tc>
            </w:tr>
            <w:tr w14:paraId="10A394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4BD2040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bidi="ar-SA"/>
                    </w:rPr>
                  </w:pPr>
                  <w:r>
                    <w:rPr>
                      <w:rFonts w:hint="eastAsia" w:cs="Times New Roman"/>
                      <w:sz w:val="21"/>
                      <w:szCs w:val="21"/>
                      <w:u w:val="single"/>
                      <w:lang w:val="en-US" w:eastAsia="zh-CN"/>
                    </w:rPr>
                    <w:t>30</w:t>
                  </w:r>
                </w:p>
              </w:tc>
              <w:tc>
                <w:tcPr>
                  <w:tcW w:w="670" w:type="pct"/>
                  <w:shd w:val="clear" w:color="auto" w:fill="auto"/>
                  <w:vAlign w:val="center"/>
                </w:tcPr>
                <w:p w14:paraId="652E6CC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安全阀</w:t>
                  </w:r>
                </w:p>
              </w:tc>
              <w:tc>
                <w:tcPr>
                  <w:tcW w:w="2846" w:type="pct"/>
                  <w:vAlign w:val="center"/>
                </w:tcPr>
                <w:p w14:paraId="198FBA6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eastAsia" w:cs="Times New Roman"/>
                      <w:sz w:val="21"/>
                      <w:szCs w:val="21"/>
                      <w:u w:val="single"/>
                      <w:lang w:val="en-US" w:eastAsia="zh-CN"/>
                    </w:rPr>
                    <w:t>型号：A42H-16C，</w:t>
                  </w:r>
                  <w:r>
                    <w:rPr>
                      <w:rFonts w:hint="default" w:ascii="Times New Roman" w:hAnsi="Times New Roman" w:eastAsia="宋体" w:cs="Times New Roman"/>
                      <w:sz w:val="21"/>
                      <w:szCs w:val="21"/>
                      <w:u w:val="single"/>
                    </w:rPr>
                    <w:t>公称通径：50mm；公称压力：1.6MPa；整定压力：1.15MPa；排放压力：1.265MPa；回座压力：1.0MPa；适用温度：300℃；适用介质：蒸汽、空气；</w:t>
                  </w:r>
                </w:p>
              </w:tc>
              <w:tc>
                <w:tcPr>
                  <w:tcW w:w="399" w:type="pct"/>
                  <w:vAlign w:val="center"/>
                </w:tcPr>
                <w:p w14:paraId="4A5204C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w:t>
                  </w:r>
                </w:p>
              </w:tc>
              <w:tc>
                <w:tcPr>
                  <w:tcW w:w="676" w:type="pct"/>
                  <w:vAlign w:val="center"/>
                </w:tcPr>
                <w:p w14:paraId="5AB76EE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依托现有</w:t>
                  </w:r>
                </w:p>
              </w:tc>
            </w:tr>
            <w:tr w14:paraId="0B4B1B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74F12FA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bidi="ar-SA"/>
                    </w:rPr>
                  </w:pPr>
                  <w:r>
                    <w:rPr>
                      <w:rFonts w:hint="eastAsia" w:cs="Times New Roman"/>
                      <w:sz w:val="21"/>
                      <w:szCs w:val="21"/>
                      <w:highlight w:val="none"/>
                      <w:u w:val="single"/>
                      <w:lang w:val="en-US" w:eastAsia="zh-CN"/>
                    </w:rPr>
                    <w:t>31</w:t>
                  </w:r>
                </w:p>
              </w:tc>
              <w:tc>
                <w:tcPr>
                  <w:tcW w:w="670" w:type="pct"/>
                  <w:shd w:val="clear" w:color="auto" w:fill="auto"/>
                  <w:vAlign w:val="center"/>
                </w:tcPr>
                <w:p w14:paraId="1C3CAF8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highlight w:val="none"/>
                      <w:u w:val="single"/>
                      <w:lang w:eastAsia="zh-CN"/>
                    </w:rPr>
                  </w:pPr>
                  <w:r>
                    <w:rPr>
                      <w:rFonts w:hint="eastAsia" w:cs="Times New Roman"/>
                      <w:sz w:val="21"/>
                      <w:szCs w:val="21"/>
                      <w:highlight w:val="none"/>
                      <w:u w:val="single"/>
                      <w:lang w:val="en-US" w:eastAsia="zh-CN"/>
                    </w:rPr>
                    <w:t>分选风机</w:t>
                  </w:r>
                </w:p>
              </w:tc>
              <w:tc>
                <w:tcPr>
                  <w:tcW w:w="2846" w:type="pct"/>
                  <w:vAlign w:val="center"/>
                </w:tcPr>
                <w:p w14:paraId="31617A7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流量：40000-49000m³/h；全压：10000-11199Pa；主轴转速：1450r/min；功率：200</w:t>
                  </w:r>
                  <w:r>
                    <w:rPr>
                      <w:rFonts w:hint="eastAsia" w:cs="Times New Roman"/>
                      <w:sz w:val="21"/>
                      <w:szCs w:val="21"/>
                      <w:highlight w:val="none"/>
                      <w:u w:val="single"/>
                      <w:lang w:eastAsia="zh-CN"/>
                    </w:rPr>
                    <w:t>kW</w:t>
                  </w:r>
                  <w:r>
                    <w:rPr>
                      <w:rFonts w:hint="default" w:ascii="Times New Roman" w:hAnsi="Times New Roman" w:eastAsia="宋体" w:cs="Times New Roman"/>
                      <w:sz w:val="21"/>
                      <w:szCs w:val="21"/>
                      <w:highlight w:val="none"/>
                      <w:u w:val="single"/>
                    </w:rPr>
                    <w:t>；介质温度：20℃；旋转角度：290°；</w:t>
                  </w:r>
                </w:p>
              </w:tc>
              <w:tc>
                <w:tcPr>
                  <w:tcW w:w="399" w:type="pct"/>
                  <w:vAlign w:val="center"/>
                </w:tcPr>
                <w:p w14:paraId="2BC39D9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2</w:t>
                  </w:r>
                </w:p>
              </w:tc>
              <w:tc>
                <w:tcPr>
                  <w:tcW w:w="676" w:type="pct"/>
                  <w:vAlign w:val="center"/>
                </w:tcPr>
                <w:p w14:paraId="3C0ACBD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cs="Times New Roman"/>
                      <w:sz w:val="21"/>
                      <w:szCs w:val="21"/>
                      <w:highlight w:val="none"/>
                      <w:u w:val="single"/>
                      <w:lang w:val="en-US" w:eastAsia="zh-CN"/>
                    </w:rPr>
                    <w:t>新增</w:t>
                  </w:r>
                </w:p>
              </w:tc>
            </w:tr>
            <w:tr w14:paraId="0ECDA7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55898FF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bidi="ar-SA"/>
                    </w:rPr>
                  </w:pPr>
                  <w:r>
                    <w:rPr>
                      <w:rFonts w:hint="eastAsia" w:cs="Times New Roman"/>
                      <w:sz w:val="21"/>
                      <w:szCs w:val="21"/>
                      <w:u w:val="single"/>
                      <w:lang w:val="en-US" w:eastAsia="zh-CN"/>
                    </w:rPr>
                    <w:t>32</w:t>
                  </w:r>
                </w:p>
              </w:tc>
              <w:tc>
                <w:tcPr>
                  <w:tcW w:w="670" w:type="pct"/>
                  <w:shd w:val="clear" w:color="auto" w:fill="auto"/>
                  <w:vAlign w:val="center"/>
                </w:tcPr>
                <w:p w14:paraId="2BCEF2D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分选分级机</w:t>
                  </w:r>
                </w:p>
              </w:tc>
              <w:tc>
                <w:tcPr>
                  <w:tcW w:w="2846" w:type="pct"/>
                  <w:vAlign w:val="center"/>
                </w:tcPr>
                <w:p w14:paraId="6C532FA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rPr>
                  </w:pPr>
                  <w:r>
                    <w:rPr>
                      <w:rFonts w:hint="eastAsia" w:cs="Times New Roman"/>
                      <w:sz w:val="21"/>
                      <w:szCs w:val="21"/>
                      <w:u w:val="single"/>
                      <w:lang w:val="en-US" w:eastAsia="zh-CN"/>
                    </w:rPr>
                    <w:t>型号：FX-40，</w:t>
                  </w:r>
                  <w:r>
                    <w:rPr>
                      <w:rFonts w:hint="default" w:ascii="Times New Roman" w:hAnsi="Times New Roman" w:eastAsia="宋体" w:cs="Times New Roman"/>
                      <w:sz w:val="21"/>
                      <w:szCs w:val="21"/>
                      <w:u w:val="single"/>
                    </w:rPr>
                    <w:t>出力：40t/h；分级效率：80%；</w:t>
                  </w:r>
                </w:p>
              </w:tc>
              <w:tc>
                <w:tcPr>
                  <w:tcW w:w="399" w:type="pct"/>
                  <w:vAlign w:val="center"/>
                </w:tcPr>
                <w:p w14:paraId="68961D0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2</w:t>
                  </w:r>
                </w:p>
              </w:tc>
              <w:tc>
                <w:tcPr>
                  <w:tcW w:w="676" w:type="pct"/>
                  <w:vAlign w:val="center"/>
                </w:tcPr>
                <w:p w14:paraId="18E23FE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新增</w:t>
                  </w:r>
                </w:p>
              </w:tc>
            </w:tr>
            <w:tr w14:paraId="718A0A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58A907F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bidi="ar-SA"/>
                    </w:rPr>
                  </w:pPr>
                  <w:r>
                    <w:rPr>
                      <w:rFonts w:hint="eastAsia" w:cs="Times New Roman"/>
                      <w:sz w:val="21"/>
                      <w:szCs w:val="21"/>
                      <w:u w:val="single"/>
                      <w:lang w:val="en-US" w:eastAsia="zh-CN"/>
                    </w:rPr>
                    <w:t>33</w:t>
                  </w:r>
                </w:p>
              </w:tc>
              <w:tc>
                <w:tcPr>
                  <w:tcW w:w="670" w:type="pct"/>
                  <w:shd w:val="clear" w:color="auto" w:fill="auto"/>
                  <w:vAlign w:val="center"/>
                </w:tcPr>
                <w:p w14:paraId="69B297E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rPr>
                    <w:t>旋风分离器</w:t>
                  </w:r>
                </w:p>
              </w:tc>
              <w:tc>
                <w:tcPr>
                  <w:tcW w:w="2846" w:type="pct"/>
                  <w:vAlign w:val="center"/>
                </w:tcPr>
                <w:p w14:paraId="26D31F3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sz w:val="21"/>
                      <w:szCs w:val="21"/>
                      <w:u w:val="single"/>
                      <w:lang w:val="en-US" w:eastAsia="zh-CN"/>
                    </w:rPr>
                  </w:pPr>
                  <w:r>
                    <w:rPr>
                      <w:rFonts w:hint="default" w:ascii="Times New Roman" w:hAnsi="Times New Roman" w:eastAsia="宋体" w:cs="Times New Roman"/>
                      <w:sz w:val="21"/>
                      <w:szCs w:val="21"/>
                      <w:u w:val="single"/>
                    </w:rPr>
                    <w:t>山西太原锅炉厂自产</w:t>
                  </w:r>
                </w:p>
              </w:tc>
              <w:tc>
                <w:tcPr>
                  <w:tcW w:w="399" w:type="pct"/>
                  <w:vAlign w:val="center"/>
                </w:tcPr>
                <w:p w14:paraId="0A08CC9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sz w:val="21"/>
                      <w:szCs w:val="21"/>
                      <w:u w:val="single"/>
                      <w:lang w:val="en-US" w:eastAsia="zh-CN"/>
                    </w:rPr>
                  </w:pPr>
                  <w:r>
                    <w:rPr>
                      <w:rFonts w:hint="eastAsia" w:cs="Times New Roman"/>
                      <w:sz w:val="21"/>
                      <w:szCs w:val="21"/>
                      <w:u w:val="single"/>
                      <w:lang w:val="en-US" w:eastAsia="zh-CN" w:bidi="ar"/>
                    </w:rPr>
                    <w:t>1</w:t>
                  </w:r>
                </w:p>
              </w:tc>
              <w:tc>
                <w:tcPr>
                  <w:tcW w:w="676" w:type="pct"/>
                  <w:vAlign w:val="center"/>
                </w:tcPr>
                <w:p w14:paraId="4E2A56F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sz w:val="21"/>
                      <w:szCs w:val="21"/>
                      <w:u w:val="single"/>
                      <w:lang w:val="en-US" w:eastAsia="zh-CN"/>
                    </w:rPr>
                  </w:pPr>
                  <w:r>
                    <w:rPr>
                      <w:rFonts w:hint="eastAsia" w:cs="Times New Roman"/>
                      <w:sz w:val="21"/>
                      <w:szCs w:val="21"/>
                      <w:u w:val="single"/>
                      <w:lang w:val="en-US" w:eastAsia="zh-CN"/>
                    </w:rPr>
                    <w:t>新增</w:t>
                  </w:r>
                </w:p>
              </w:tc>
            </w:tr>
          </w:tbl>
          <w:p w14:paraId="729030AE">
            <w:pPr>
              <w:pStyle w:val="160"/>
              <w:spacing w:before="120" w:beforeLines="50"/>
              <w:ind w:firstLine="482"/>
              <w:rPr>
                <w:b/>
                <w:color w:val="auto"/>
                <w:sz w:val="28"/>
                <w:szCs w:val="28"/>
                <w:highlight w:val="none"/>
                <w:u w:val="single"/>
              </w:rPr>
            </w:pPr>
            <w:r>
              <w:rPr>
                <w:rFonts w:hint="eastAsia"/>
                <w:b/>
                <w:color w:val="auto"/>
                <w:highlight w:val="none"/>
                <w:u w:val="single"/>
              </w:rPr>
              <w:t>产能匹配性</w:t>
            </w:r>
            <w:r>
              <w:rPr>
                <w:b/>
                <w:color w:val="auto"/>
                <w:highlight w:val="none"/>
                <w:u w:val="single"/>
              </w:rPr>
              <w:t>分析</w:t>
            </w:r>
          </w:p>
          <w:p w14:paraId="27D035DA">
            <w:pPr>
              <w:numPr>
                <w:ilvl w:val="255"/>
                <w:numId w:val="0"/>
              </w:numPr>
              <w:adjustRightInd w:val="0"/>
              <w:snapToGrid w:val="0"/>
              <w:ind w:firstLine="480" w:firstLineChars="200"/>
              <w:rPr>
                <w:rFonts w:hint="default"/>
                <w:bCs/>
                <w:highlight w:val="none"/>
                <w:u w:val="single"/>
                <w:lang w:val="en-US" w:eastAsia="zh-CN"/>
              </w:rPr>
            </w:pPr>
            <w:r>
              <w:rPr>
                <w:rFonts w:hint="eastAsia"/>
                <w:bCs/>
                <w:highlight w:val="none"/>
                <w:u w:val="single"/>
              </w:rPr>
              <w:t>根据建设方提供的数据，</w:t>
            </w:r>
            <w:r>
              <w:rPr>
                <w:rFonts w:hint="eastAsia"/>
                <w:bCs/>
                <w:highlight w:val="none"/>
                <w:u w:val="single"/>
                <w:lang w:val="en-US" w:eastAsia="zh-CN"/>
              </w:rPr>
              <w:t>厂区粉煤灰年产生量为90万吨，分级机的运行时间由厂区粉煤灰产量决定，根据上表，一期灰库分级机处理能力为100t/h，二期灰库分级机处理能力为100t/h，三期灰库建设两台处理能力40t/h的分级机，分级机为间歇式运行，日平均工作时间为10小时，年运行时间为330天：</w:t>
            </w:r>
          </w:p>
          <w:p w14:paraId="33C4AD13">
            <w:pPr>
              <w:autoSpaceDE w:val="0"/>
              <w:autoSpaceDN w:val="0"/>
              <w:adjustRightInd w:val="0"/>
              <w:snapToGrid w:val="0"/>
              <w:ind w:left="480" w:leftChars="200" w:firstLine="0" w:firstLineChars="0"/>
              <w:rPr>
                <w:rFonts w:hint="eastAsia"/>
                <w:bCs/>
                <w:highlight w:val="none"/>
                <w:u w:val="single"/>
              </w:rPr>
            </w:pPr>
            <w:r>
              <w:rPr>
                <w:rFonts w:hint="eastAsia"/>
                <w:bCs/>
                <w:highlight w:val="none"/>
                <w:u w:val="single"/>
                <w:lang w:val="en-US" w:eastAsia="zh-CN"/>
              </w:rPr>
              <w:t>一期灰库分级机（按平均工作时长计）</w:t>
            </w:r>
            <w:r>
              <w:rPr>
                <w:rFonts w:hint="eastAsia"/>
                <w:bCs/>
                <w:highlight w:val="none"/>
                <w:u w:val="single"/>
              </w:rPr>
              <w:t>：</w:t>
            </w:r>
            <w:r>
              <w:rPr>
                <w:rFonts w:hint="eastAsia"/>
                <w:bCs/>
                <w:highlight w:val="none"/>
                <w:u w:val="single"/>
                <w:lang w:val="en-US" w:eastAsia="zh-CN"/>
              </w:rPr>
              <w:t>100</w:t>
            </w:r>
            <w:r>
              <w:rPr>
                <w:bCs/>
                <w:highlight w:val="none"/>
                <w:u w:val="single"/>
              </w:rPr>
              <w:t>×</w:t>
            </w:r>
            <w:r>
              <w:rPr>
                <w:rFonts w:hint="eastAsia"/>
                <w:bCs/>
                <w:highlight w:val="none"/>
                <w:u w:val="single"/>
                <w:lang w:val="en-US" w:eastAsia="zh-CN"/>
              </w:rPr>
              <w:t>10</w:t>
            </w:r>
            <w:r>
              <w:rPr>
                <w:bCs/>
                <w:highlight w:val="none"/>
                <w:u w:val="single"/>
              </w:rPr>
              <w:t>×</w:t>
            </w:r>
            <w:r>
              <w:rPr>
                <w:rFonts w:hint="eastAsia"/>
                <w:bCs/>
                <w:highlight w:val="none"/>
                <w:u w:val="single"/>
                <w:lang w:val="en-US" w:eastAsia="zh-CN"/>
              </w:rPr>
              <w:t>330</w:t>
            </w:r>
            <w:r>
              <w:rPr>
                <w:rFonts w:hint="eastAsia"/>
                <w:bCs/>
                <w:highlight w:val="none"/>
                <w:u w:val="single"/>
              </w:rPr>
              <w:t>=</w:t>
            </w:r>
            <w:r>
              <w:rPr>
                <w:rFonts w:hint="eastAsia"/>
                <w:bCs/>
                <w:highlight w:val="none"/>
                <w:u w:val="single"/>
                <w:lang w:val="en-US" w:eastAsia="zh-CN"/>
              </w:rPr>
              <w:t>330000</w:t>
            </w:r>
            <w:r>
              <w:rPr>
                <w:rFonts w:hint="eastAsia"/>
                <w:bCs/>
                <w:highlight w:val="none"/>
                <w:u w:val="single"/>
              </w:rPr>
              <w:t>（吨）</w:t>
            </w:r>
          </w:p>
          <w:p w14:paraId="44BED787">
            <w:pPr>
              <w:autoSpaceDE w:val="0"/>
              <w:autoSpaceDN w:val="0"/>
              <w:adjustRightInd w:val="0"/>
              <w:snapToGrid w:val="0"/>
              <w:ind w:left="480" w:leftChars="200" w:firstLine="0" w:firstLineChars="0"/>
              <w:rPr>
                <w:rFonts w:hint="eastAsia"/>
                <w:bCs/>
                <w:highlight w:val="none"/>
                <w:u w:val="single"/>
              </w:rPr>
            </w:pPr>
            <w:r>
              <w:rPr>
                <w:rFonts w:hint="eastAsia"/>
                <w:bCs/>
                <w:highlight w:val="none"/>
                <w:u w:val="single"/>
                <w:lang w:val="en-US" w:eastAsia="zh-CN"/>
              </w:rPr>
              <w:t>二期灰库分级机（按平均工作时长计）：100</w:t>
            </w:r>
            <w:r>
              <w:rPr>
                <w:bCs/>
                <w:highlight w:val="none"/>
                <w:u w:val="single"/>
              </w:rPr>
              <w:t>×</w:t>
            </w:r>
            <w:r>
              <w:rPr>
                <w:rFonts w:hint="eastAsia"/>
                <w:bCs/>
                <w:highlight w:val="none"/>
                <w:u w:val="single"/>
                <w:lang w:val="en-US" w:eastAsia="zh-CN"/>
              </w:rPr>
              <w:t>10</w:t>
            </w:r>
            <w:r>
              <w:rPr>
                <w:bCs/>
                <w:highlight w:val="none"/>
                <w:u w:val="single"/>
              </w:rPr>
              <w:t>×</w:t>
            </w:r>
            <w:r>
              <w:rPr>
                <w:rFonts w:hint="eastAsia"/>
                <w:bCs/>
                <w:highlight w:val="none"/>
                <w:u w:val="single"/>
                <w:lang w:val="en-US" w:eastAsia="zh-CN"/>
              </w:rPr>
              <w:t>330</w:t>
            </w:r>
            <w:r>
              <w:rPr>
                <w:rFonts w:hint="eastAsia"/>
                <w:bCs/>
                <w:highlight w:val="none"/>
                <w:u w:val="single"/>
              </w:rPr>
              <w:t>=</w:t>
            </w:r>
            <w:r>
              <w:rPr>
                <w:rFonts w:hint="eastAsia"/>
                <w:bCs/>
                <w:highlight w:val="none"/>
                <w:u w:val="single"/>
                <w:lang w:val="en-US" w:eastAsia="zh-CN"/>
              </w:rPr>
              <w:t>330000</w:t>
            </w:r>
            <w:r>
              <w:rPr>
                <w:rFonts w:hint="eastAsia"/>
                <w:bCs/>
                <w:highlight w:val="none"/>
                <w:u w:val="single"/>
              </w:rPr>
              <w:t>（吨）</w:t>
            </w:r>
          </w:p>
          <w:p w14:paraId="63701201">
            <w:pPr>
              <w:autoSpaceDE w:val="0"/>
              <w:autoSpaceDN w:val="0"/>
              <w:adjustRightInd w:val="0"/>
              <w:snapToGrid w:val="0"/>
              <w:ind w:left="480" w:leftChars="200" w:firstLine="0" w:firstLineChars="0"/>
              <w:rPr>
                <w:rFonts w:hint="eastAsia"/>
                <w:bCs/>
                <w:highlight w:val="none"/>
                <w:u w:val="single"/>
              </w:rPr>
            </w:pPr>
            <w:r>
              <w:rPr>
                <w:rFonts w:hint="eastAsia"/>
                <w:bCs/>
                <w:highlight w:val="none"/>
                <w:u w:val="single"/>
                <w:lang w:val="en-US" w:eastAsia="zh-CN"/>
              </w:rPr>
              <w:t>三期灰库分级机（按平均工作时长计）：40</w:t>
            </w:r>
            <w:r>
              <w:rPr>
                <w:bCs/>
                <w:highlight w:val="none"/>
                <w:u w:val="single"/>
              </w:rPr>
              <w:t>×</w:t>
            </w:r>
            <w:r>
              <w:rPr>
                <w:rFonts w:hint="eastAsia"/>
                <w:bCs/>
                <w:highlight w:val="none"/>
                <w:u w:val="single"/>
                <w:lang w:val="en-US" w:eastAsia="zh-CN"/>
              </w:rPr>
              <w:t>2</w:t>
            </w:r>
            <w:r>
              <w:rPr>
                <w:bCs/>
                <w:highlight w:val="none"/>
                <w:u w:val="single"/>
              </w:rPr>
              <w:t>×</w:t>
            </w:r>
            <w:r>
              <w:rPr>
                <w:rFonts w:hint="eastAsia"/>
                <w:bCs/>
                <w:highlight w:val="none"/>
                <w:u w:val="single"/>
                <w:lang w:val="en-US" w:eastAsia="zh-CN"/>
              </w:rPr>
              <w:t>10</w:t>
            </w:r>
            <w:r>
              <w:rPr>
                <w:bCs/>
                <w:highlight w:val="none"/>
                <w:u w:val="single"/>
              </w:rPr>
              <w:t>×</w:t>
            </w:r>
            <w:r>
              <w:rPr>
                <w:rFonts w:hint="eastAsia"/>
                <w:bCs/>
                <w:highlight w:val="none"/>
                <w:u w:val="single"/>
                <w:lang w:val="en-US" w:eastAsia="zh-CN"/>
              </w:rPr>
              <w:t>330</w:t>
            </w:r>
            <w:r>
              <w:rPr>
                <w:rFonts w:hint="eastAsia"/>
                <w:bCs/>
                <w:highlight w:val="none"/>
                <w:u w:val="single"/>
              </w:rPr>
              <w:t>=</w:t>
            </w:r>
            <w:r>
              <w:rPr>
                <w:rFonts w:hint="eastAsia"/>
                <w:bCs/>
                <w:highlight w:val="none"/>
                <w:u w:val="single"/>
                <w:lang w:val="en-US" w:eastAsia="zh-CN"/>
              </w:rPr>
              <w:t>264000</w:t>
            </w:r>
            <w:r>
              <w:rPr>
                <w:rFonts w:hint="eastAsia"/>
                <w:bCs/>
                <w:highlight w:val="none"/>
                <w:u w:val="single"/>
              </w:rPr>
              <w:t>（吨）</w:t>
            </w:r>
          </w:p>
          <w:p w14:paraId="7F097199">
            <w:pPr>
              <w:autoSpaceDE w:val="0"/>
              <w:autoSpaceDN w:val="0"/>
              <w:adjustRightInd w:val="0"/>
              <w:snapToGrid w:val="0"/>
              <w:ind w:left="480" w:leftChars="200" w:firstLine="0" w:firstLineChars="0"/>
              <w:rPr>
                <w:rFonts w:hint="eastAsia"/>
                <w:bCs/>
                <w:highlight w:val="none"/>
              </w:rPr>
            </w:pPr>
            <w:r>
              <w:rPr>
                <w:rFonts w:hint="eastAsia" w:ascii="Times New Roman" w:hAnsi="Times New Roman" w:cs="Times New Roman"/>
                <w:b w:val="0"/>
                <w:bCs/>
                <w:sz w:val="24"/>
                <w:szCs w:val="24"/>
                <w:highlight w:val="none"/>
                <w:u w:val="single"/>
                <w:lang w:val="en-US" w:eastAsia="zh-CN"/>
              </w:rPr>
              <w:t>根据</w:t>
            </w:r>
            <w:r>
              <w:rPr>
                <w:rFonts w:hint="eastAsia" w:cs="Times New Roman"/>
                <w:b w:val="0"/>
                <w:bCs/>
                <w:sz w:val="24"/>
                <w:szCs w:val="24"/>
                <w:highlight w:val="none"/>
                <w:u w:val="single"/>
                <w:lang w:val="en-US" w:eastAsia="zh-CN"/>
              </w:rPr>
              <w:t>上述</w:t>
            </w:r>
            <w:r>
              <w:rPr>
                <w:rFonts w:hint="eastAsia" w:ascii="Times New Roman" w:hAnsi="Times New Roman" w:cs="Times New Roman"/>
                <w:b w:val="0"/>
                <w:bCs/>
                <w:sz w:val="24"/>
                <w:szCs w:val="24"/>
                <w:highlight w:val="none"/>
                <w:u w:val="single"/>
                <w:lang w:val="en-US" w:eastAsia="zh-CN"/>
              </w:rPr>
              <w:t>设备数量及产能核算，其年设计产能可满足生产产能需求。</w:t>
            </w:r>
          </w:p>
          <w:p w14:paraId="10DFCFD4">
            <w:pPr>
              <w:numPr>
                <w:ilvl w:val="0"/>
                <w:numId w:val="17"/>
              </w:numPr>
              <w:autoSpaceDE w:val="0"/>
              <w:autoSpaceDN w:val="0"/>
              <w:adjustRightInd w:val="0"/>
              <w:snapToGrid w:val="0"/>
              <w:ind w:firstLineChars="0"/>
              <w:rPr>
                <w:b/>
              </w:rPr>
            </w:pPr>
            <w:r>
              <w:rPr>
                <w:rFonts w:hint="eastAsia"/>
                <w:b/>
                <w:sz w:val="28"/>
                <w:szCs w:val="28"/>
              </w:rPr>
              <w:t>公用工程</w:t>
            </w:r>
          </w:p>
          <w:p w14:paraId="7534B035">
            <w:pPr>
              <w:autoSpaceDE w:val="0"/>
              <w:autoSpaceDN w:val="0"/>
              <w:adjustRightInd w:val="0"/>
              <w:snapToGrid w:val="0"/>
              <w:ind w:left="480" w:leftChars="200" w:firstLine="0" w:firstLineChars="0"/>
            </w:pPr>
            <w:r>
              <w:rPr>
                <w:rFonts w:hint="eastAsia"/>
              </w:rPr>
              <w:t>（1）供电</w:t>
            </w:r>
          </w:p>
          <w:p w14:paraId="0158EA4D">
            <w:pPr>
              <w:ind w:firstLine="480"/>
            </w:pPr>
            <w:r>
              <w:rPr>
                <w:rFonts w:hint="eastAsia"/>
                <w:bCs/>
              </w:rPr>
              <w:t>本项目位于</w:t>
            </w:r>
            <w:r>
              <w:rPr>
                <w:rFonts w:hint="eastAsia"/>
                <w:bCs/>
                <w:lang w:val="en-US" w:eastAsia="zh-CN"/>
              </w:rPr>
              <w:t>湖南省岳阳市岳阳楼区月冲路华能湖南岳阳发电有限责任公司现有厂区内</w:t>
            </w:r>
            <w:r>
              <w:rPr>
                <w:rFonts w:hint="eastAsia"/>
              </w:rPr>
              <w:t>，</w:t>
            </w:r>
            <w:r>
              <w:rPr>
                <w:rFonts w:hint="eastAsia"/>
                <w:lang w:val="en-US" w:eastAsia="zh-CN"/>
              </w:rPr>
              <w:t>采用电厂厂区供电</w:t>
            </w:r>
            <w:r>
              <w:rPr>
                <w:rFonts w:hint="eastAsia"/>
              </w:rPr>
              <w:t>。</w:t>
            </w:r>
          </w:p>
          <w:p w14:paraId="4B2147FD">
            <w:pPr>
              <w:autoSpaceDE w:val="0"/>
              <w:autoSpaceDN w:val="0"/>
              <w:adjustRightInd w:val="0"/>
              <w:snapToGrid w:val="0"/>
              <w:ind w:left="480" w:leftChars="200" w:firstLine="0" w:firstLineChars="0"/>
              <w:rPr>
                <w:highlight w:val="none"/>
              </w:rPr>
            </w:pPr>
            <w:r>
              <w:rPr>
                <w:rFonts w:hint="eastAsia"/>
                <w:highlight w:val="none"/>
              </w:rPr>
              <w:t>（2）给水</w:t>
            </w:r>
          </w:p>
          <w:p w14:paraId="56D3A1B5">
            <w:pPr>
              <w:ind w:firstLine="480"/>
              <w:rPr>
                <w:b/>
                <w:bCs/>
                <w:highlight w:val="none"/>
              </w:rPr>
            </w:pPr>
            <w:r>
              <w:rPr>
                <w:highlight w:val="none"/>
              </w:rPr>
              <w:t>本项目</w:t>
            </w:r>
            <w:r>
              <w:rPr>
                <w:rFonts w:hint="eastAsia"/>
                <w:highlight w:val="none"/>
              </w:rPr>
              <w:t>用水依托自来水管网</w:t>
            </w:r>
            <w:r>
              <w:rPr>
                <w:highlight w:val="none"/>
              </w:rPr>
              <w:t>。</w:t>
            </w:r>
          </w:p>
          <w:p w14:paraId="0FEF782B">
            <w:pPr>
              <w:autoSpaceDE w:val="0"/>
              <w:autoSpaceDN w:val="0"/>
              <w:adjustRightInd w:val="0"/>
              <w:snapToGrid w:val="0"/>
              <w:ind w:left="480" w:leftChars="200" w:firstLine="0" w:firstLineChars="0"/>
              <w:rPr>
                <w:highlight w:val="none"/>
              </w:rPr>
            </w:pPr>
            <w:r>
              <w:rPr>
                <w:rFonts w:hint="eastAsia"/>
                <w:highlight w:val="none"/>
              </w:rPr>
              <w:t>（3）排水</w:t>
            </w:r>
          </w:p>
          <w:p w14:paraId="70E1D42C">
            <w:pPr>
              <w:ind w:firstLine="480"/>
            </w:pPr>
            <w:r>
              <w:rPr>
                <w:rFonts w:hint="eastAsia"/>
                <w:highlight w:val="none"/>
              </w:rPr>
              <w:t>本项目无生产废水</w:t>
            </w:r>
            <w:r>
              <w:rPr>
                <w:rFonts w:hint="eastAsia"/>
                <w:highlight w:val="none"/>
                <w:lang w:val="en-US" w:eastAsia="zh-CN"/>
              </w:rPr>
              <w:t>排放</w:t>
            </w:r>
            <w:r>
              <w:rPr>
                <w:rFonts w:hint="eastAsia"/>
                <w:highlight w:val="none"/>
              </w:rPr>
              <w:t>，</w:t>
            </w:r>
            <w:r>
              <w:rPr>
                <w:rFonts w:hint="eastAsia"/>
                <w:lang w:val="en-US" w:eastAsia="zh-CN"/>
              </w:rPr>
              <w:t>地面冲洗废水和车辆冲洗废水在现有项目中已进行核算，本项目不重复核算，地面冲洗废水和车辆冲洗废水经沉淀池收集沉淀后回用于洒水抑尘用水。</w:t>
            </w:r>
          </w:p>
          <w:p w14:paraId="229591EC">
            <w:pPr>
              <w:numPr>
                <w:ilvl w:val="0"/>
                <w:numId w:val="17"/>
              </w:numPr>
              <w:adjustRightInd w:val="0"/>
              <w:snapToGrid w:val="0"/>
              <w:ind w:firstLineChars="0"/>
              <w:rPr>
                <w:b/>
                <w:sz w:val="28"/>
                <w:szCs w:val="28"/>
              </w:rPr>
            </w:pPr>
            <w:r>
              <w:rPr>
                <w:b/>
                <w:sz w:val="28"/>
                <w:szCs w:val="28"/>
              </w:rPr>
              <w:t>项目水源及水平衡</w:t>
            </w:r>
          </w:p>
          <w:p w14:paraId="5F0BE0FA">
            <w:pPr>
              <w:pStyle w:val="4"/>
              <w:ind w:firstLine="480"/>
              <w:rPr>
                <w:highlight w:val="none"/>
                <w:u w:val="none"/>
              </w:rPr>
            </w:pPr>
            <w:r>
              <w:rPr>
                <w:highlight w:val="none"/>
                <w:u w:val="none"/>
              </w:rPr>
              <w:t>本项目</w:t>
            </w:r>
            <w:r>
              <w:rPr>
                <w:rFonts w:hint="eastAsia"/>
                <w:highlight w:val="none"/>
                <w:u w:val="none"/>
              </w:rPr>
              <w:t>用排水情况如下：</w:t>
            </w:r>
          </w:p>
          <w:p w14:paraId="65C2B348">
            <w:pPr>
              <w:pStyle w:val="4"/>
              <w:numPr>
                <w:ilvl w:val="0"/>
                <w:numId w:val="19"/>
              </w:numPr>
              <w:ind w:firstLine="480"/>
              <w:rPr>
                <w:highlight w:val="none"/>
                <w:u w:val="none"/>
              </w:rPr>
            </w:pPr>
            <w:r>
              <w:rPr>
                <w:rFonts w:hint="eastAsia"/>
                <w:highlight w:val="none"/>
                <w:u w:val="none"/>
              </w:rPr>
              <w:t>运输车辆冲洗用排水</w:t>
            </w:r>
          </w:p>
          <w:p w14:paraId="7964B089">
            <w:pPr>
              <w:pStyle w:val="4"/>
              <w:ind w:firstLine="480"/>
              <w:rPr>
                <w:rFonts w:hint="default" w:eastAsia="宋体" w:cs="Times New Roman"/>
                <w:color w:val="000000"/>
                <w:u w:val="none"/>
                <w:lang w:val="en-US" w:eastAsia="zh-CN"/>
              </w:rPr>
            </w:pPr>
            <w:r>
              <w:rPr>
                <w:rFonts w:hint="eastAsia" w:cs="Times New Roman"/>
                <w:color w:val="000000"/>
                <w:u w:val="none"/>
                <w:lang w:val="en-US" w:eastAsia="zh-CN"/>
              </w:rPr>
              <w:t>本项目仅通过增加分级机等设备对厂区原有一般固体废物粉煤灰进行分级处理，不涉及固废总量增加，不增加车辆转运次数，车辆冲洗废水已在现有工程中考虑，本报告不重复核算。车辆冲洗废水经收集沉淀后回用。</w:t>
            </w:r>
          </w:p>
          <w:p w14:paraId="089466B5">
            <w:pPr>
              <w:pStyle w:val="4"/>
              <w:numPr>
                <w:ilvl w:val="0"/>
                <w:numId w:val="19"/>
              </w:numPr>
              <w:ind w:left="0" w:leftChars="0" w:firstLine="480" w:firstLineChars="200"/>
              <w:rPr>
                <w:rFonts w:hint="eastAsia"/>
                <w:lang w:val="en-US" w:eastAsia="zh-CN"/>
              </w:rPr>
            </w:pPr>
            <w:r>
              <w:rPr>
                <w:rFonts w:hint="eastAsia"/>
                <w:lang w:val="en-US" w:eastAsia="zh-CN"/>
              </w:rPr>
              <w:t>地面清洗用水</w:t>
            </w:r>
          </w:p>
          <w:p w14:paraId="2B40B0FC">
            <w:pPr>
              <w:pStyle w:val="4"/>
              <w:keepNext w:val="0"/>
              <w:keepLines w:val="0"/>
              <w:pageBreakBefore w:val="0"/>
              <w:widowControl/>
              <w:numPr>
                <w:ilvl w:val="0"/>
                <w:numId w:val="0"/>
              </w:numPr>
              <w:kinsoku/>
              <w:wordWrap/>
              <w:overflowPunct/>
              <w:topLinePunct w:val="0"/>
              <w:autoSpaceDE/>
              <w:autoSpaceDN/>
              <w:bidi w:val="0"/>
              <w:adjustRightInd/>
              <w:snapToGrid/>
              <w:ind w:leftChars="0" w:firstLine="480" w:firstLineChars="200"/>
              <w:textAlignment w:val="auto"/>
              <w:rPr>
                <w:rFonts w:hint="default" w:eastAsia="宋体"/>
                <w:lang w:val="en-US" w:eastAsia="zh-CN"/>
              </w:rPr>
            </w:pPr>
            <w:r>
              <w:rPr>
                <w:rFonts w:hint="eastAsia"/>
                <w:lang w:val="en-US" w:eastAsia="zh-CN"/>
              </w:rPr>
              <w:t>本项目位于现有厂区范围内，</w:t>
            </w:r>
            <w:r>
              <w:rPr>
                <w:rFonts w:hint="eastAsia"/>
                <w:sz w:val="24"/>
              </w:rPr>
              <w:t>地面清洗废水</w:t>
            </w:r>
            <w:r>
              <w:rPr>
                <w:sz w:val="24"/>
              </w:rPr>
              <w:t>的收集和排放处理均已在现有项目中进行考虑，本报告不重复核算。</w:t>
            </w:r>
            <w:r>
              <w:rPr>
                <w:rFonts w:hint="eastAsia"/>
                <w:sz w:val="24"/>
                <w:lang w:val="en-US" w:eastAsia="zh-CN"/>
              </w:rPr>
              <w:t>地面清洗废水经收集沉淀后回用。</w:t>
            </w:r>
          </w:p>
          <w:p w14:paraId="26D580BE">
            <w:pPr>
              <w:pStyle w:val="4"/>
              <w:numPr>
                <w:ilvl w:val="0"/>
                <w:numId w:val="19"/>
              </w:numPr>
              <w:ind w:left="0" w:leftChars="0" w:firstLine="480" w:firstLineChars="200"/>
              <w:rPr>
                <w:rFonts w:hint="eastAsia"/>
                <w:lang w:val="en-US" w:eastAsia="zh-CN"/>
              </w:rPr>
            </w:pPr>
            <w:r>
              <w:rPr>
                <w:rFonts w:hint="eastAsia"/>
              </w:rPr>
              <w:t>生活用水</w:t>
            </w:r>
          </w:p>
          <w:p w14:paraId="67B8ADFF">
            <w:pPr>
              <w:pStyle w:val="4"/>
              <w:numPr>
                <w:ilvl w:val="255"/>
                <w:numId w:val="0"/>
              </w:numPr>
              <w:ind w:firstLine="480" w:firstLineChars="200"/>
              <w:rPr>
                <w:rFonts w:hint="eastAsia" w:eastAsia="宋体" w:cs="Times New Roman"/>
                <w:lang w:eastAsia="zh-CN"/>
              </w:rPr>
            </w:pPr>
            <w:r>
              <w:rPr>
                <w:rFonts w:hint="eastAsia"/>
                <w:lang w:val="en-US" w:eastAsia="zh-CN"/>
              </w:rPr>
              <w:t>项目不新增员工，</w:t>
            </w:r>
            <w:r>
              <w:rPr>
                <w:rFonts w:hint="eastAsia"/>
                <w:sz w:val="24"/>
              </w:rPr>
              <w:t>不新增生活用水</w:t>
            </w:r>
            <w:r>
              <w:rPr>
                <w:rFonts w:hint="eastAsia"/>
                <w:sz w:val="24"/>
                <w:lang w:eastAsia="zh-CN"/>
              </w:rPr>
              <w:t>。</w:t>
            </w:r>
          </w:p>
          <w:p w14:paraId="32F7F996">
            <w:pPr>
              <w:numPr>
                <w:ilvl w:val="0"/>
                <w:numId w:val="17"/>
              </w:numPr>
              <w:autoSpaceDE w:val="0"/>
              <w:autoSpaceDN w:val="0"/>
              <w:adjustRightInd w:val="0"/>
              <w:snapToGrid w:val="0"/>
              <w:ind w:firstLineChars="0"/>
              <w:rPr>
                <w:b/>
              </w:rPr>
            </w:pPr>
            <w:r>
              <w:rPr>
                <w:rFonts w:hint="eastAsia"/>
                <w:b/>
                <w:sz w:val="28"/>
                <w:szCs w:val="28"/>
              </w:rPr>
              <w:t>劳动定员及工作制度</w:t>
            </w:r>
          </w:p>
          <w:p w14:paraId="6E2EC32F">
            <w:pPr>
              <w:autoSpaceDE w:val="0"/>
              <w:autoSpaceDN w:val="0"/>
              <w:adjustRightInd w:val="0"/>
              <w:snapToGrid w:val="0"/>
              <w:ind w:firstLine="480"/>
              <w:rPr>
                <w:bCs/>
              </w:rPr>
            </w:pPr>
            <w:r>
              <w:rPr>
                <w:rFonts w:hint="eastAsia"/>
                <w:bCs/>
              </w:rPr>
              <w:t>本项目</w:t>
            </w:r>
            <w:r>
              <w:rPr>
                <w:rFonts w:hint="eastAsia"/>
                <w:bCs/>
                <w:lang w:val="en-US" w:eastAsia="zh-CN"/>
              </w:rPr>
              <w:t>不新增劳动定员</w:t>
            </w:r>
            <w:r>
              <w:rPr>
                <w:rFonts w:hint="eastAsia"/>
                <w:bCs/>
              </w:rPr>
              <w:t>，</w:t>
            </w:r>
            <w:r>
              <w:rPr>
                <w:rFonts w:hint="eastAsia"/>
                <w:bCs/>
                <w:lang w:val="en-US" w:eastAsia="zh-CN"/>
              </w:rPr>
              <w:t>厂区</w:t>
            </w:r>
            <w:r>
              <w:rPr>
                <w:rFonts w:hint="eastAsia"/>
                <w:bCs/>
              </w:rPr>
              <w:t>日工作时间</w:t>
            </w:r>
            <w:r>
              <w:rPr>
                <w:rFonts w:hint="eastAsia"/>
                <w:bCs/>
                <w:lang w:val="en-US" w:eastAsia="zh-CN"/>
              </w:rPr>
              <w:t>24</w:t>
            </w:r>
            <w:r>
              <w:rPr>
                <w:rFonts w:hint="eastAsia"/>
                <w:bCs/>
              </w:rPr>
              <w:t>小时</w:t>
            </w:r>
            <w:r>
              <w:rPr>
                <w:rFonts w:hint="eastAsia"/>
                <w:bCs/>
                <w:lang w:eastAsia="zh-CN"/>
              </w:rPr>
              <w:t>，</w:t>
            </w:r>
            <w:r>
              <w:rPr>
                <w:rFonts w:hint="eastAsia"/>
                <w:bCs/>
                <w:lang w:val="en-US" w:eastAsia="zh-CN"/>
              </w:rPr>
              <w:t>三班两倒</w:t>
            </w:r>
            <w:r>
              <w:rPr>
                <w:rFonts w:hint="eastAsia"/>
                <w:bCs/>
              </w:rPr>
              <w:t>，年工作时间3</w:t>
            </w:r>
            <w:r>
              <w:rPr>
                <w:rFonts w:hint="eastAsia"/>
                <w:bCs/>
                <w:lang w:val="en-US" w:eastAsia="zh-CN"/>
              </w:rPr>
              <w:t>65</w:t>
            </w:r>
            <w:r>
              <w:rPr>
                <w:rFonts w:hint="eastAsia"/>
                <w:bCs/>
              </w:rPr>
              <w:t>天（</w:t>
            </w:r>
            <w:r>
              <w:rPr>
                <w:rFonts w:hint="eastAsia"/>
                <w:bCs/>
                <w:lang w:val="en-US" w:eastAsia="zh-CN"/>
              </w:rPr>
              <w:t>8760</w:t>
            </w:r>
            <w:r>
              <w:rPr>
                <w:rFonts w:hint="eastAsia"/>
                <w:bCs/>
              </w:rPr>
              <w:t>h）</w:t>
            </w:r>
            <w:r>
              <w:rPr>
                <w:rFonts w:hint="eastAsia"/>
                <w:bCs/>
                <w:lang w:eastAsia="zh-CN"/>
              </w:rPr>
              <w:t>，</w:t>
            </w:r>
            <w:r>
              <w:rPr>
                <w:rFonts w:hint="eastAsia"/>
                <w:bCs/>
                <w:lang w:val="en-US" w:eastAsia="zh-CN"/>
              </w:rPr>
              <w:t>本项目筒仓年储存时间为8760h，分选工序日工作时间10小时，年运行时间330天（3300h）</w:t>
            </w:r>
            <w:r>
              <w:rPr>
                <w:rFonts w:hint="eastAsia"/>
                <w:bCs/>
              </w:rPr>
              <w:t>。</w:t>
            </w:r>
          </w:p>
          <w:p w14:paraId="1302DE29">
            <w:pPr>
              <w:numPr>
                <w:ilvl w:val="0"/>
                <w:numId w:val="17"/>
              </w:numPr>
              <w:autoSpaceDE w:val="0"/>
              <w:autoSpaceDN w:val="0"/>
              <w:adjustRightInd w:val="0"/>
              <w:snapToGrid w:val="0"/>
              <w:ind w:firstLineChars="0"/>
              <w:rPr>
                <w:b/>
                <w:sz w:val="28"/>
                <w:szCs w:val="28"/>
              </w:rPr>
            </w:pPr>
            <w:r>
              <w:rPr>
                <w:rFonts w:hint="eastAsia"/>
                <w:b/>
                <w:sz w:val="28"/>
                <w:szCs w:val="28"/>
              </w:rPr>
              <w:t>厂区平面布置</w:t>
            </w:r>
          </w:p>
          <w:p w14:paraId="68FEE1A2">
            <w:pPr>
              <w:ind w:firstLine="480"/>
            </w:pPr>
            <w:r>
              <w:rPr>
                <w:highlight w:val="none"/>
              </w:rPr>
              <w:t>本项目</w:t>
            </w:r>
            <w:r>
              <w:rPr>
                <w:rFonts w:hint="eastAsia"/>
                <w:highlight w:val="none"/>
              </w:rPr>
              <w:t>建设地点位于</w:t>
            </w:r>
            <w:r>
              <w:rPr>
                <w:rFonts w:hint="eastAsia"/>
                <w:bCs/>
                <w:highlight w:val="none"/>
                <w:lang w:val="en-US" w:eastAsia="zh-CN"/>
              </w:rPr>
              <w:t>湖南省岳阳市岳阳楼区月冲路华能湖南岳阳发电有限责任公司现有厂区内</w:t>
            </w:r>
            <w:r>
              <w:rPr>
                <w:rFonts w:hint="eastAsia"/>
                <w:highlight w:val="none"/>
              </w:rPr>
              <w:t>，根据</w:t>
            </w:r>
            <w:r>
              <w:rPr>
                <w:rFonts w:hint="eastAsia"/>
                <w:highlight w:val="none"/>
                <w:lang w:val="en-US" w:eastAsia="zh-CN"/>
              </w:rPr>
              <w:t>厂区</w:t>
            </w:r>
            <w:r>
              <w:rPr>
                <w:rFonts w:hint="eastAsia"/>
                <w:highlight w:val="none"/>
              </w:rPr>
              <w:t>总平面布置图，厂区由</w:t>
            </w:r>
            <w:r>
              <w:rPr>
                <w:rFonts w:hint="eastAsia"/>
                <w:highlight w:val="none"/>
                <w:lang w:val="en-US" w:eastAsia="zh-CN"/>
              </w:rPr>
              <w:t>西南方</w:t>
            </w:r>
            <w:r>
              <w:rPr>
                <w:rFonts w:hint="eastAsia"/>
                <w:highlight w:val="none"/>
              </w:rPr>
              <w:t>作为主入口，</w:t>
            </w:r>
            <w:r>
              <w:rPr>
                <w:rFonts w:hint="eastAsia"/>
                <w:highlight w:val="none"/>
                <w:lang w:val="en-US" w:eastAsia="zh-CN"/>
              </w:rPr>
              <w:t>其中一期灰库及粉煤灰超细灰生产装置布设在厂区大门外东侧约175米处，三期灰库及粉煤灰超细灰生产装置布设在煤场对面，二期灰库及粉煤灰超细灰生产装置布设在4#机组和5#机组中间</w:t>
            </w:r>
            <w:r>
              <w:rPr>
                <w:rFonts w:hint="eastAsia"/>
                <w:highlight w:val="none"/>
              </w:rPr>
              <w:t>。项目总平面布置图见附图4。</w:t>
            </w:r>
          </w:p>
        </w:tc>
      </w:tr>
      <w:tr w14:paraId="29CAD1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55" w:hRule="atLeast"/>
          <w:jc w:val="center"/>
        </w:trPr>
        <w:tc>
          <w:tcPr>
            <w:tcW w:w="253" w:type="pct"/>
            <w:vAlign w:val="center"/>
          </w:tcPr>
          <w:p w14:paraId="7691161B">
            <w:pPr>
              <w:spacing w:line="240" w:lineRule="auto"/>
              <w:ind w:firstLine="0" w:firstLineChars="0"/>
              <w:jc w:val="center"/>
              <w:rPr>
                <w:sz w:val="21"/>
                <w:szCs w:val="21"/>
              </w:rPr>
            </w:pPr>
            <w:r>
              <w:t>工艺流程和产排污环节</w:t>
            </w:r>
          </w:p>
        </w:tc>
        <w:tc>
          <w:tcPr>
            <w:tcW w:w="4746" w:type="pct"/>
            <w:gridSpan w:val="2"/>
          </w:tcPr>
          <w:p w14:paraId="370A08AA">
            <w:pPr>
              <w:numPr>
                <w:ilvl w:val="255"/>
                <w:numId w:val="0"/>
              </w:numPr>
              <w:ind w:firstLine="480" w:firstLineChars="200"/>
              <w:jc w:val="left"/>
            </w:pPr>
            <w:r>
              <w:rPr>
                <w:rFonts w:hint="eastAsia"/>
              </w:rPr>
              <w:t>本项目</w:t>
            </w:r>
            <w:r>
              <w:t>污染影响时段主要为施工期和运营期</w:t>
            </w:r>
            <w:r>
              <w:rPr>
                <w:rFonts w:hint="eastAsia"/>
              </w:rPr>
              <w:t>。</w:t>
            </w:r>
          </w:p>
          <w:p w14:paraId="16FB292B">
            <w:pPr>
              <w:numPr>
                <w:ilvl w:val="0"/>
                <w:numId w:val="20"/>
              </w:numPr>
              <w:adjustRightInd w:val="0"/>
              <w:snapToGrid w:val="0"/>
              <w:ind w:firstLine="0" w:firstLineChars="0"/>
              <w:jc w:val="left"/>
              <w:rPr>
                <w:b/>
              </w:rPr>
            </w:pPr>
            <w:r>
              <w:rPr>
                <w:b/>
                <w:sz w:val="28"/>
                <w:szCs w:val="28"/>
              </w:rPr>
              <w:t>施工期工艺流程和产排污环节</w:t>
            </w:r>
          </w:p>
          <w:p w14:paraId="3C670E12">
            <w:pPr>
              <w:snapToGrid w:val="0"/>
              <w:ind w:firstLine="480"/>
            </w:pPr>
            <w:r>
              <w:rPr>
                <w:rFonts w:hint="eastAsia"/>
                <w:bCs/>
              </w:rPr>
              <w:t>本项目利用现有厂区进行建设，不新增用地，仅需对生产线进行设备安装，</w:t>
            </w:r>
            <w:r>
              <w:rPr>
                <w:bCs/>
                <w:spacing w:val="-10"/>
              </w:rPr>
              <w:t>项目施工工程量小，对周边环境影响不大</w:t>
            </w:r>
            <w:r>
              <w:t>。项目施工过程中，污染源产生环节见如下。</w:t>
            </w:r>
          </w:p>
          <w:p w14:paraId="58938BE6">
            <w:pPr>
              <w:widowControl w:val="0"/>
              <w:spacing w:before="120" w:beforeLines="50"/>
              <w:ind w:firstLine="0" w:firstLineChars="0"/>
              <w:jc w:val="center"/>
            </w:pPr>
            <w:r>
              <w:rPr>
                <w:rFonts w:hint="eastAsia"/>
              </w:rPr>
              <w:object>
                <v:shape id="_x0000_i1025" o:spt="75" type="#_x0000_t75" style="height:70.75pt;width:395.05pt;" o:ole="t" filled="f" o:preferrelative="t" stroked="f" coordsize="21600,21600">
                  <v:path/>
                  <v:fill on="f" focussize="0,0"/>
                  <v:stroke on="f" joinstyle="miter"/>
                  <v:imagedata r:id="rId31" o:title=""/>
                  <o:lock v:ext="edit" aspectratio="f"/>
                  <w10:wrap type="none"/>
                  <w10:anchorlock/>
                </v:shape>
                <o:OLEObject Type="Embed" ProgID="Visio.Drawing.11" ShapeID="_x0000_i1025" DrawAspect="Content" ObjectID="_1468075725" r:id="rId30">
                  <o:LockedField>false</o:LockedField>
                </o:OLEObject>
              </w:object>
            </w:r>
          </w:p>
          <w:p w14:paraId="2F6ADBB6">
            <w:pPr>
              <w:numPr>
                <w:ilvl w:val="0"/>
                <w:numId w:val="20"/>
              </w:numPr>
              <w:adjustRightInd w:val="0"/>
              <w:snapToGrid w:val="0"/>
              <w:ind w:firstLine="0" w:firstLineChars="0"/>
              <w:jc w:val="left"/>
              <w:rPr>
                <w:b/>
                <w:sz w:val="28"/>
                <w:szCs w:val="28"/>
              </w:rPr>
            </w:pPr>
            <w:r>
              <w:rPr>
                <w:rFonts w:hint="eastAsia"/>
                <w:b/>
                <w:sz w:val="28"/>
                <w:szCs w:val="28"/>
              </w:rPr>
              <w:t>运营期工艺流程和产排污环节</w:t>
            </w:r>
          </w:p>
          <w:p w14:paraId="317B90D6">
            <w:pPr>
              <w:numPr>
                <w:ilvl w:val="0"/>
                <w:numId w:val="21"/>
              </w:numPr>
              <w:ind w:firstLine="480"/>
              <w:rPr>
                <w:u w:val="single"/>
              </w:rPr>
            </w:pPr>
            <w:r>
              <w:rPr>
                <w:rFonts w:hint="eastAsia"/>
                <w:u w:val="single"/>
              </w:rPr>
              <w:t>本项目工艺流程及产排污节点</w:t>
            </w:r>
          </w:p>
          <w:p w14:paraId="6C7032AA">
            <w:pPr>
              <w:ind w:firstLine="480"/>
            </w:pPr>
            <w:r>
              <w:rPr>
                <w:rFonts w:hint="eastAsia"/>
                <w:u w:val="single"/>
                <w:lang w:val="en-US" w:eastAsia="zh-CN"/>
              </w:rPr>
              <w:t>①粉煤灰生产</w:t>
            </w:r>
            <w:r>
              <w:rPr>
                <w:rFonts w:hint="eastAsia"/>
                <w:u w:val="single"/>
              </w:rPr>
              <w:t>工艺</w:t>
            </w:r>
          </w:p>
          <w:p w14:paraId="23208B9B">
            <w:pPr>
              <w:spacing w:before="120" w:beforeLines="50"/>
              <w:ind w:firstLine="0" w:firstLineChars="0"/>
              <w:jc w:val="center"/>
            </w:pPr>
            <w:r>
              <w:object>
                <v:shape id="_x0000_i1026" o:spt="75" type="#_x0000_t75" style="height:268.65pt;width:346.8pt;" o:ole="t" filled="f" o:preferrelative="t" stroked="f" coordsize="21600,21600">
                  <v:path/>
                  <v:fill on="f" focussize="0,0"/>
                  <v:stroke on="f"/>
                  <v:imagedata r:id="rId33" o:title=""/>
                  <o:lock v:ext="edit" aspectratio="f"/>
                  <w10:wrap type="none"/>
                  <w10:anchorlock/>
                </v:shape>
                <o:OLEObject Type="Embed" ProgID="Visio.Drawing.15" ShapeID="_x0000_i1026" DrawAspect="Content" ObjectID="_1468075726" r:id="rId32">
                  <o:LockedField>false</o:LockedField>
                </o:OLEObject>
              </w:object>
            </w:r>
          </w:p>
          <w:p w14:paraId="27548431">
            <w:pPr>
              <w:spacing w:before="120" w:beforeLines="50"/>
              <w:ind w:firstLine="0" w:firstLineChars="0"/>
              <w:jc w:val="center"/>
              <w:rPr>
                <w:rFonts w:hint="eastAsia"/>
                <w:b/>
                <w:bCs/>
                <w:u w:val="single"/>
              </w:rPr>
            </w:pPr>
            <w:r>
              <w:rPr>
                <w:rFonts w:hint="eastAsia"/>
                <w:b/>
                <w:bCs/>
              </w:rPr>
              <w:t xml:space="preserve">图3 </w:t>
            </w:r>
            <w:r>
              <w:rPr>
                <w:rFonts w:hint="eastAsia"/>
                <w:b/>
                <w:bCs/>
                <w:u w:val="single"/>
                <w:lang w:val="en-US" w:eastAsia="zh-CN"/>
              </w:rPr>
              <w:t>粉煤灰</w:t>
            </w:r>
            <w:r>
              <w:rPr>
                <w:rFonts w:hint="eastAsia"/>
                <w:b/>
                <w:bCs/>
                <w:u w:val="single"/>
              </w:rPr>
              <w:t>生产工艺和产排污节点流程图</w:t>
            </w:r>
          </w:p>
          <w:p w14:paraId="19A2FEAC">
            <w:pPr>
              <w:ind w:firstLine="482"/>
              <w:jc w:val="left"/>
              <w:rPr>
                <w:rFonts w:hint="eastAsia"/>
                <w:b/>
                <w:bCs/>
              </w:rPr>
            </w:pPr>
          </w:p>
          <w:p w14:paraId="32436541">
            <w:pPr>
              <w:ind w:firstLine="482"/>
              <w:jc w:val="left"/>
              <w:rPr>
                <w:b/>
                <w:bCs/>
                <w:highlight w:val="none"/>
                <w:u w:val="single"/>
              </w:rPr>
            </w:pPr>
            <w:r>
              <w:rPr>
                <w:rFonts w:hint="eastAsia"/>
                <w:b/>
                <w:bCs/>
                <w:highlight w:val="none"/>
                <w:u w:val="single"/>
              </w:rPr>
              <w:t>生产工艺流程简述：</w:t>
            </w:r>
          </w:p>
          <w:p w14:paraId="7E73370B">
            <w:pPr>
              <w:ind w:firstLine="480"/>
              <w:jc w:val="both"/>
              <w:rPr>
                <w:rFonts w:hint="eastAsia"/>
                <w:highlight w:val="none"/>
                <w:u w:val="single"/>
                <w:lang w:val="en-US" w:eastAsia="zh-CN"/>
              </w:rPr>
            </w:pPr>
            <w:r>
              <w:rPr>
                <w:rFonts w:hint="eastAsia"/>
                <w:highlight w:val="none"/>
                <w:u w:val="single"/>
              </w:rPr>
              <w:t>粉煤灰专用分选系统为负压闭式循环设计，分别从</w:t>
            </w:r>
            <w:r>
              <w:rPr>
                <w:rFonts w:hint="eastAsia"/>
                <w:highlight w:val="none"/>
                <w:u w:val="single"/>
                <w:lang w:val="en-US" w:eastAsia="zh-CN"/>
              </w:rPr>
              <w:t>电厂落灰斗</w:t>
            </w:r>
            <w:r>
              <w:rPr>
                <w:rFonts w:hint="eastAsia"/>
                <w:highlight w:val="none"/>
                <w:u w:val="single"/>
              </w:rPr>
              <w:t>卸灰口取灰，经阀门、变频给料机落入受灰器中，</w:t>
            </w:r>
            <w:r>
              <w:rPr>
                <w:rFonts w:hint="eastAsia"/>
                <w:highlight w:val="none"/>
                <w:u w:val="single"/>
                <w:lang w:val="en-US" w:eastAsia="zh-CN"/>
              </w:rPr>
              <w:t>通过分级风机</w:t>
            </w:r>
            <w:r>
              <w:rPr>
                <w:rFonts w:hint="eastAsia"/>
                <w:highlight w:val="none"/>
                <w:u w:val="single"/>
              </w:rPr>
              <w:t>均匀混合成气、固两相流进入分级机，分级后粗灰排入</w:t>
            </w:r>
            <w:r>
              <w:rPr>
                <w:rFonts w:hint="eastAsia" w:cs="Times New Roman"/>
                <w:highlight w:val="none"/>
                <w:u w:val="single"/>
                <w:lang w:val="en-US" w:eastAsia="zh-CN"/>
              </w:rPr>
              <w:t>筒仓</w:t>
            </w:r>
            <w:r>
              <w:rPr>
                <w:rFonts w:hint="default" w:ascii="Times New Roman" w:hAnsi="Times New Roman" w:cs="Times New Roman"/>
                <w:highlight w:val="none"/>
                <w:u w:val="single"/>
                <w:lang w:eastAsia="zh-CN"/>
              </w:rPr>
              <w:t>（</w:t>
            </w:r>
            <w:r>
              <w:rPr>
                <w:rFonts w:hint="default" w:ascii="Times New Roman" w:hAnsi="Times New Roman" w:cs="Times New Roman"/>
                <w:highlight w:val="none"/>
                <w:u w:val="single"/>
                <w:lang w:val="en-US" w:eastAsia="zh-CN"/>
              </w:rPr>
              <w:t>Ⅲ级</w:t>
            </w:r>
            <w:r>
              <w:rPr>
                <w:rFonts w:hint="eastAsia" w:cs="Times New Roman"/>
                <w:highlight w:val="none"/>
                <w:u w:val="single"/>
                <w:lang w:val="en-US" w:eastAsia="zh-CN"/>
              </w:rPr>
              <w:t>灰筒仓</w:t>
            </w:r>
            <w:r>
              <w:rPr>
                <w:rFonts w:hint="default" w:ascii="Times New Roman" w:hAnsi="Times New Roman" w:cs="Times New Roman"/>
                <w:highlight w:val="none"/>
                <w:u w:val="single"/>
                <w:lang w:eastAsia="zh-CN"/>
              </w:rPr>
              <w:t>）</w:t>
            </w:r>
            <w:r>
              <w:rPr>
                <w:rFonts w:hint="eastAsia"/>
                <w:highlight w:val="none"/>
                <w:u w:val="single"/>
              </w:rPr>
              <w:t>，细灰随气流经旋风</w:t>
            </w:r>
            <w:r>
              <w:rPr>
                <w:rFonts w:hint="eastAsia"/>
                <w:highlight w:val="none"/>
                <w:u w:val="single"/>
                <w:lang w:val="en-US" w:eastAsia="zh-CN"/>
              </w:rPr>
              <w:t>除尘</w:t>
            </w:r>
            <w:r>
              <w:rPr>
                <w:rFonts w:hint="eastAsia"/>
                <w:highlight w:val="none"/>
                <w:u w:val="single"/>
              </w:rPr>
              <w:t>器</w:t>
            </w:r>
            <w:r>
              <w:rPr>
                <w:rFonts w:hint="eastAsia"/>
                <w:highlight w:val="none"/>
                <w:u w:val="single"/>
                <w:lang w:val="en-US" w:eastAsia="zh-CN"/>
              </w:rPr>
              <w:t>收集</w:t>
            </w:r>
            <w:r>
              <w:rPr>
                <w:rFonts w:hint="eastAsia"/>
                <w:highlight w:val="none"/>
                <w:u w:val="single"/>
              </w:rPr>
              <w:t>后</w:t>
            </w:r>
            <w:r>
              <w:rPr>
                <w:rFonts w:hint="eastAsia"/>
                <w:highlight w:val="none"/>
                <w:u w:val="single"/>
                <w:lang w:val="en-US" w:eastAsia="zh-CN"/>
              </w:rPr>
              <w:t>分别进入</w:t>
            </w:r>
            <w:r>
              <w:rPr>
                <w:rFonts w:hint="default" w:ascii="Times New Roman" w:hAnsi="Times New Roman" w:cs="Times New Roman"/>
                <w:highlight w:val="none"/>
                <w:u w:val="single"/>
                <w:lang w:val="en-US" w:eastAsia="zh-CN"/>
              </w:rPr>
              <w:t>Ⅰ</w:t>
            </w:r>
            <w:r>
              <w:rPr>
                <w:rFonts w:hint="eastAsia" w:cs="Times New Roman"/>
                <w:highlight w:val="none"/>
                <w:u w:val="single"/>
                <w:lang w:val="en-US" w:eastAsia="zh-CN"/>
              </w:rPr>
              <w:t>或</w:t>
            </w:r>
            <w:r>
              <w:rPr>
                <w:rFonts w:hint="default" w:ascii="Times New Roman" w:hAnsi="Times New Roman" w:cs="Times New Roman"/>
                <w:highlight w:val="none"/>
                <w:u w:val="single"/>
                <w:lang w:val="en-US" w:eastAsia="zh-CN"/>
              </w:rPr>
              <w:t>Ⅱ级</w:t>
            </w:r>
            <w:r>
              <w:rPr>
                <w:rFonts w:hint="eastAsia"/>
                <w:highlight w:val="none"/>
                <w:u w:val="single"/>
                <w:lang w:val="en-US" w:eastAsia="zh-CN"/>
              </w:rPr>
              <w:t>筒仓</w:t>
            </w:r>
            <w:bookmarkStart w:id="235" w:name="_GoBack"/>
            <w:r>
              <w:rPr>
                <w:rStyle w:val="63"/>
                <w:rFonts w:hint="default"/>
                <w:b w:val="0"/>
                <w:bCs w:val="0"/>
                <w:u w:val="single"/>
                <w:lang w:eastAsia="zh-CN"/>
              </w:rPr>
              <w:t>（</w:t>
            </w:r>
            <w:r>
              <w:rPr>
                <w:rStyle w:val="63"/>
                <w:rFonts w:hint="default"/>
                <w:b w:val="0"/>
                <w:bCs w:val="0"/>
                <w:u w:val="single"/>
                <w:lang w:val="en-US" w:eastAsia="zh-CN"/>
              </w:rPr>
              <w:t>Ⅰ级灰和Ⅱ级灰分离通过</w:t>
            </w:r>
            <w:r>
              <w:rPr>
                <w:rStyle w:val="63"/>
                <w:rFonts w:hint="eastAsia"/>
                <w:b w:val="0"/>
                <w:bCs w:val="0"/>
                <w:u w:val="single"/>
                <w:lang w:val="en-US" w:eastAsia="zh-CN"/>
              </w:rPr>
              <w:t>增加风压</w:t>
            </w:r>
            <w:r>
              <w:rPr>
                <w:rStyle w:val="63"/>
                <w:rFonts w:hint="default"/>
                <w:b w:val="0"/>
                <w:bCs w:val="0"/>
                <w:u w:val="single"/>
                <w:lang w:val="en-US" w:eastAsia="zh-CN"/>
              </w:rPr>
              <w:t>流量进行分离</w:t>
            </w:r>
            <w:r>
              <w:rPr>
                <w:rStyle w:val="63"/>
                <w:rFonts w:hint="default"/>
                <w:b w:val="0"/>
                <w:bCs w:val="0"/>
                <w:u w:val="single"/>
                <w:lang w:eastAsia="zh-CN"/>
              </w:rPr>
              <w:t>）</w:t>
            </w:r>
            <w:r>
              <w:rPr>
                <w:rStyle w:val="63"/>
                <w:rFonts w:hint="default"/>
                <w:b w:val="0"/>
                <w:bCs w:val="0"/>
                <w:u w:val="single"/>
              </w:rPr>
              <w:t>，</w:t>
            </w:r>
            <w:bookmarkEnd w:id="235"/>
            <w:r>
              <w:rPr>
                <w:rFonts w:hint="eastAsia"/>
                <w:highlight w:val="none"/>
                <w:u w:val="single"/>
              </w:rPr>
              <w:t>再根据客户的需求，</w:t>
            </w:r>
            <w:r>
              <w:rPr>
                <w:rFonts w:hint="eastAsia"/>
                <w:highlight w:val="none"/>
                <w:u w:val="single"/>
                <w:lang w:val="en-US" w:eastAsia="zh-CN"/>
              </w:rPr>
              <w:t>采用粉煤</w:t>
            </w:r>
            <w:r>
              <w:rPr>
                <w:rFonts w:hint="eastAsia"/>
                <w:highlight w:val="none"/>
                <w:u w:val="single"/>
              </w:rPr>
              <w:t>灰</w:t>
            </w:r>
            <w:r>
              <w:rPr>
                <w:rFonts w:hint="eastAsia"/>
                <w:highlight w:val="none"/>
                <w:u w:val="single"/>
                <w:lang w:val="en-US" w:eastAsia="zh-CN"/>
              </w:rPr>
              <w:t>专用</w:t>
            </w:r>
            <w:r>
              <w:rPr>
                <w:rFonts w:hint="eastAsia"/>
                <w:highlight w:val="none"/>
                <w:u w:val="single"/>
              </w:rPr>
              <w:t>罐车在不同的干灰散装机下部进行装车</w:t>
            </w:r>
            <w:r>
              <w:rPr>
                <w:rFonts w:hint="eastAsia"/>
                <w:highlight w:val="none"/>
                <w:u w:val="single"/>
                <w:lang w:eastAsia="zh-CN"/>
              </w:rPr>
              <w:t>，</w:t>
            </w:r>
            <w:r>
              <w:rPr>
                <w:rFonts w:hint="eastAsia"/>
                <w:highlight w:val="none"/>
                <w:u w:val="single"/>
              </w:rPr>
              <w:t>外</w:t>
            </w:r>
            <w:r>
              <w:rPr>
                <w:rFonts w:hint="eastAsia"/>
                <w:highlight w:val="none"/>
                <w:u w:val="single"/>
                <w:lang w:val="en-US" w:eastAsia="zh-CN"/>
              </w:rPr>
              <w:t>售。</w:t>
            </w:r>
          </w:p>
          <w:p w14:paraId="5E903379">
            <w:pPr>
              <w:ind w:firstLine="480"/>
              <w:jc w:val="both"/>
              <w:rPr>
                <w:rFonts w:hint="eastAsia"/>
                <w:highlight w:val="none"/>
              </w:rPr>
            </w:pPr>
            <w:r>
              <w:rPr>
                <w:rFonts w:hint="eastAsia" w:cs="Times New Roman"/>
                <w:highlight w:val="none"/>
                <w:u w:val="single"/>
                <w:lang w:val="en-US" w:eastAsia="zh-CN"/>
              </w:rPr>
              <w:t>因项目采用负压闭式循环设计，分级机分级过程中不产生废气，旋风分离后绝大部分</w:t>
            </w:r>
            <w:r>
              <w:rPr>
                <w:rFonts w:hint="default" w:ascii="Times New Roman" w:hAnsi="Times New Roman" w:cs="Times New Roman"/>
                <w:highlight w:val="none"/>
                <w:u w:val="single"/>
              </w:rPr>
              <w:t>含</w:t>
            </w:r>
            <w:r>
              <w:rPr>
                <w:rFonts w:hint="eastAsia"/>
                <w:highlight w:val="none"/>
                <w:u w:val="single"/>
              </w:rPr>
              <w:t>尘气体通过高压离心风机循环至</w:t>
            </w:r>
            <w:r>
              <w:rPr>
                <w:rFonts w:hint="default" w:ascii="Times New Roman" w:hAnsi="Times New Roman" w:eastAsia="宋体" w:cs="Times New Roman"/>
                <w:sz w:val="24"/>
                <w:szCs w:val="24"/>
                <w:highlight w:val="none"/>
                <w:u w:val="single"/>
              </w:rPr>
              <w:t>一次风</w:t>
            </w:r>
            <w:r>
              <w:rPr>
                <w:rFonts w:hint="eastAsia" w:cs="Times New Roman"/>
                <w:sz w:val="24"/>
                <w:szCs w:val="24"/>
                <w:highlight w:val="none"/>
                <w:u w:val="single"/>
                <w:lang w:val="en-US" w:eastAsia="zh-CN"/>
              </w:rPr>
              <w:t>管，少量含尘气体随</w:t>
            </w:r>
            <w:r>
              <w:rPr>
                <w:rFonts w:hint="default" w:ascii="Times New Roman" w:hAnsi="Times New Roman" w:eastAsia="宋体" w:cs="Times New Roman"/>
                <w:sz w:val="24"/>
                <w:szCs w:val="24"/>
                <w:highlight w:val="none"/>
                <w:u w:val="single"/>
              </w:rPr>
              <w:t>平衡风管接入细灰库</w:t>
            </w:r>
            <w:r>
              <w:rPr>
                <w:rFonts w:hint="eastAsia"/>
                <w:highlight w:val="none"/>
                <w:u w:val="single"/>
              </w:rPr>
              <w:t>。</w:t>
            </w:r>
            <w:r>
              <w:rPr>
                <w:rFonts w:hint="eastAsia"/>
                <w:highlight w:val="none"/>
                <w:u w:val="single"/>
                <w:lang w:val="en-US" w:eastAsia="zh-CN"/>
              </w:rPr>
              <w:t>筒仓呼吸粉尘经仓顶布袋除尘器处理后经除尘器排气孔排放，装车过程中产生的粉尘经配套散装机布袋除尘器处理后无组织排放</w:t>
            </w:r>
            <w:r>
              <w:rPr>
                <w:rFonts w:hint="eastAsia"/>
                <w:highlight w:val="none"/>
                <w:u w:val="single"/>
              </w:rPr>
              <w:t>。</w:t>
            </w:r>
          </w:p>
          <w:p w14:paraId="5D138006">
            <w:pPr>
              <w:ind w:firstLine="480"/>
              <w:jc w:val="left"/>
            </w:pPr>
            <w:r>
              <w:rPr>
                <w:rFonts w:hint="eastAsia"/>
              </w:rPr>
              <w:t>（2）产排污节点</w:t>
            </w:r>
          </w:p>
          <w:p w14:paraId="50234291">
            <w:pPr>
              <w:ind w:firstLine="480"/>
              <w:rPr>
                <w:rFonts w:hint="eastAsia"/>
              </w:rPr>
            </w:pPr>
            <w:r>
              <w:rPr>
                <w:rFonts w:hint="eastAsia"/>
              </w:rPr>
              <w:t>本项目生产过程中主要产排污节点见下表：</w:t>
            </w:r>
          </w:p>
          <w:p w14:paraId="73BD8D17">
            <w:pPr>
              <w:widowControl w:val="0"/>
              <w:numPr>
                <w:ilvl w:val="0"/>
                <w:numId w:val="18"/>
              </w:numPr>
              <w:spacing w:line="240" w:lineRule="auto"/>
              <w:ind w:firstLineChars="0"/>
              <w:jc w:val="center"/>
              <w:rPr>
                <w:b/>
                <w:bCs/>
              </w:rPr>
            </w:pPr>
            <w:r>
              <w:rPr>
                <w:rFonts w:hint="eastAsia"/>
                <w:b/>
                <w:bCs/>
              </w:rPr>
              <w:t>本项目产排污节点表</w:t>
            </w:r>
          </w:p>
          <w:tbl>
            <w:tblPr>
              <w:tblStyle w:val="32"/>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2814"/>
              <w:gridCol w:w="4302"/>
            </w:tblGrid>
            <w:tr w14:paraId="454332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2" w:type="pct"/>
                  <w:tcBorders>
                    <w:tl2br w:val="nil"/>
                    <w:tr2bl w:val="nil"/>
                  </w:tcBorders>
                  <w:vAlign w:val="center"/>
                </w:tcPr>
                <w:p w14:paraId="49DA9215">
                  <w:pPr>
                    <w:pStyle w:val="10"/>
                    <w:widowControl w:val="0"/>
                    <w:rPr>
                      <w:rFonts w:cs="Times New Roman"/>
                      <w:bCs/>
                      <w:sz w:val="21"/>
                      <w:szCs w:val="21"/>
                    </w:rPr>
                  </w:pPr>
                  <w:r>
                    <w:rPr>
                      <w:rFonts w:cs="Times New Roman"/>
                      <w:bCs/>
                      <w:sz w:val="21"/>
                      <w:szCs w:val="21"/>
                    </w:rPr>
                    <w:t>类别</w:t>
                  </w:r>
                </w:p>
              </w:tc>
              <w:tc>
                <w:tcPr>
                  <w:tcW w:w="1695" w:type="pct"/>
                  <w:tcBorders>
                    <w:tl2br w:val="nil"/>
                    <w:tr2bl w:val="nil"/>
                  </w:tcBorders>
                  <w:vAlign w:val="center"/>
                </w:tcPr>
                <w:p w14:paraId="61230AAA">
                  <w:pPr>
                    <w:pStyle w:val="10"/>
                    <w:widowControl w:val="0"/>
                    <w:rPr>
                      <w:rFonts w:cs="Times New Roman"/>
                      <w:bCs/>
                      <w:sz w:val="21"/>
                      <w:szCs w:val="21"/>
                    </w:rPr>
                  </w:pPr>
                  <w:r>
                    <w:rPr>
                      <w:rFonts w:cs="Times New Roman"/>
                      <w:bCs/>
                      <w:sz w:val="21"/>
                      <w:szCs w:val="21"/>
                    </w:rPr>
                    <w:t>产排污环节</w:t>
                  </w:r>
                </w:p>
              </w:tc>
              <w:tc>
                <w:tcPr>
                  <w:tcW w:w="2591" w:type="pct"/>
                  <w:tcBorders>
                    <w:tl2br w:val="nil"/>
                    <w:tr2bl w:val="nil"/>
                  </w:tcBorders>
                  <w:vAlign w:val="center"/>
                </w:tcPr>
                <w:p w14:paraId="185D1033">
                  <w:pPr>
                    <w:pStyle w:val="10"/>
                    <w:widowControl w:val="0"/>
                    <w:rPr>
                      <w:rFonts w:cs="Times New Roman"/>
                      <w:bCs/>
                      <w:sz w:val="21"/>
                      <w:szCs w:val="21"/>
                    </w:rPr>
                  </w:pPr>
                  <w:r>
                    <w:rPr>
                      <w:rFonts w:hint="eastAsia" w:cs="Times New Roman"/>
                      <w:bCs/>
                      <w:sz w:val="21"/>
                      <w:szCs w:val="21"/>
                      <w:lang w:val="en-US" w:eastAsia="zh-CN"/>
                    </w:rPr>
                    <w:t>处理措施</w:t>
                  </w:r>
                  <w:r>
                    <w:rPr>
                      <w:rFonts w:cs="Times New Roman"/>
                      <w:bCs/>
                      <w:sz w:val="21"/>
                      <w:szCs w:val="21"/>
                    </w:rPr>
                    <w:t>方式</w:t>
                  </w:r>
                </w:p>
              </w:tc>
            </w:tr>
            <w:tr w14:paraId="5C9477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12" w:type="pct"/>
                  <w:vMerge w:val="restart"/>
                  <w:tcBorders>
                    <w:tl2br w:val="nil"/>
                    <w:tr2bl w:val="nil"/>
                  </w:tcBorders>
                  <w:vAlign w:val="center"/>
                </w:tcPr>
                <w:p w14:paraId="3DEF2E30">
                  <w:pPr>
                    <w:widowControl w:val="0"/>
                    <w:spacing w:line="240" w:lineRule="auto"/>
                    <w:ind w:firstLine="0" w:firstLineChars="0"/>
                    <w:jc w:val="center"/>
                    <w:rPr>
                      <w:sz w:val="21"/>
                      <w:szCs w:val="21"/>
                    </w:rPr>
                  </w:pPr>
                  <w:r>
                    <w:rPr>
                      <w:rFonts w:hint="eastAsia"/>
                      <w:sz w:val="21"/>
                      <w:szCs w:val="21"/>
                    </w:rPr>
                    <w:t>废气</w:t>
                  </w:r>
                </w:p>
              </w:tc>
              <w:tc>
                <w:tcPr>
                  <w:tcW w:w="1695" w:type="pct"/>
                  <w:tcBorders>
                    <w:tl2br w:val="nil"/>
                    <w:tr2bl w:val="nil"/>
                  </w:tcBorders>
                  <w:vAlign w:val="center"/>
                </w:tcPr>
                <w:p w14:paraId="1BCBC793">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灰库筒仓呼吸粉尘</w:t>
                  </w:r>
                </w:p>
              </w:tc>
              <w:tc>
                <w:tcPr>
                  <w:tcW w:w="2591" w:type="pct"/>
                  <w:tcBorders>
                    <w:tl2br w:val="nil"/>
                    <w:tr2bl w:val="nil"/>
                  </w:tcBorders>
                  <w:vAlign w:val="center"/>
                </w:tcPr>
                <w:p w14:paraId="73B40799">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仓顶脉冲布袋除尘器</w:t>
                  </w:r>
                </w:p>
              </w:tc>
            </w:tr>
            <w:tr w14:paraId="7937CE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12" w:type="pct"/>
                  <w:vMerge w:val="continue"/>
                  <w:tcBorders>
                    <w:tl2br w:val="nil"/>
                    <w:tr2bl w:val="nil"/>
                  </w:tcBorders>
                  <w:vAlign w:val="center"/>
                </w:tcPr>
                <w:p w14:paraId="57C1046C">
                  <w:pPr>
                    <w:widowControl w:val="0"/>
                    <w:spacing w:line="240" w:lineRule="auto"/>
                    <w:ind w:firstLine="0" w:firstLineChars="0"/>
                    <w:jc w:val="center"/>
                    <w:rPr>
                      <w:rFonts w:hint="eastAsia"/>
                      <w:sz w:val="21"/>
                      <w:szCs w:val="21"/>
                    </w:rPr>
                  </w:pPr>
                </w:p>
              </w:tc>
              <w:tc>
                <w:tcPr>
                  <w:tcW w:w="1695" w:type="pct"/>
                  <w:tcBorders>
                    <w:tl2br w:val="nil"/>
                    <w:tr2bl w:val="nil"/>
                  </w:tcBorders>
                  <w:vAlign w:val="center"/>
                </w:tcPr>
                <w:p w14:paraId="276158EA">
                  <w:pPr>
                    <w:widowControl w:val="0"/>
                    <w:spacing w:line="240" w:lineRule="auto"/>
                    <w:ind w:firstLine="0" w:firstLineChars="0"/>
                    <w:jc w:val="center"/>
                    <w:rPr>
                      <w:rFonts w:hint="default"/>
                      <w:sz w:val="21"/>
                      <w:szCs w:val="21"/>
                      <w:lang w:val="en-US" w:eastAsia="zh-CN"/>
                    </w:rPr>
                  </w:pPr>
                  <w:r>
                    <w:rPr>
                      <w:rFonts w:hint="eastAsia"/>
                      <w:sz w:val="21"/>
                      <w:szCs w:val="21"/>
                      <w:lang w:val="en-US" w:eastAsia="zh-CN"/>
                    </w:rPr>
                    <w:t>罐车气力输送粉尘</w:t>
                  </w:r>
                </w:p>
              </w:tc>
              <w:tc>
                <w:tcPr>
                  <w:tcW w:w="2591" w:type="pct"/>
                  <w:tcBorders>
                    <w:tl2br w:val="nil"/>
                    <w:tr2bl w:val="nil"/>
                  </w:tcBorders>
                  <w:vAlign w:val="center"/>
                </w:tcPr>
                <w:p w14:paraId="0251B789">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散装机布袋除尘器</w:t>
                  </w:r>
                </w:p>
              </w:tc>
            </w:tr>
            <w:tr w14:paraId="739F37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12" w:type="pct"/>
                  <w:vMerge w:val="continue"/>
                  <w:tcBorders>
                    <w:tl2br w:val="nil"/>
                    <w:tr2bl w:val="nil"/>
                  </w:tcBorders>
                  <w:vAlign w:val="center"/>
                </w:tcPr>
                <w:p w14:paraId="68A05C51">
                  <w:pPr>
                    <w:widowControl w:val="0"/>
                    <w:spacing w:line="240" w:lineRule="auto"/>
                    <w:ind w:firstLine="0" w:firstLineChars="0"/>
                    <w:jc w:val="center"/>
                    <w:rPr>
                      <w:rFonts w:hint="eastAsia"/>
                      <w:sz w:val="21"/>
                      <w:szCs w:val="21"/>
                    </w:rPr>
                  </w:pPr>
                </w:p>
              </w:tc>
              <w:tc>
                <w:tcPr>
                  <w:tcW w:w="1695" w:type="pct"/>
                  <w:tcBorders>
                    <w:tl2br w:val="nil"/>
                    <w:tr2bl w:val="nil"/>
                  </w:tcBorders>
                  <w:vAlign w:val="center"/>
                </w:tcPr>
                <w:p w14:paraId="5569C680">
                  <w:pPr>
                    <w:widowControl w:val="0"/>
                    <w:spacing w:line="240" w:lineRule="auto"/>
                    <w:ind w:firstLine="0" w:firstLineChars="0"/>
                    <w:jc w:val="center"/>
                    <w:rPr>
                      <w:rFonts w:hint="default"/>
                      <w:sz w:val="21"/>
                      <w:szCs w:val="21"/>
                      <w:lang w:val="en-US" w:eastAsia="zh-CN"/>
                    </w:rPr>
                  </w:pPr>
                  <w:r>
                    <w:rPr>
                      <w:rFonts w:hint="eastAsia"/>
                      <w:sz w:val="21"/>
                      <w:szCs w:val="21"/>
                      <w:lang w:val="en-US" w:eastAsia="zh-CN"/>
                    </w:rPr>
                    <w:t>运输扬尘</w:t>
                  </w:r>
                </w:p>
              </w:tc>
              <w:tc>
                <w:tcPr>
                  <w:tcW w:w="2591" w:type="pct"/>
                  <w:tcBorders>
                    <w:tl2br w:val="nil"/>
                    <w:tr2bl w:val="nil"/>
                  </w:tcBorders>
                  <w:vAlign w:val="center"/>
                </w:tcPr>
                <w:p w14:paraId="4DC68617">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密闭罐车运输、厂区洒水抑尘</w:t>
                  </w:r>
                </w:p>
              </w:tc>
            </w:tr>
            <w:tr w14:paraId="5D5DAE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2" w:type="pct"/>
                  <w:tcBorders>
                    <w:tl2br w:val="nil"/>
                    <w:tr2bl w:val="nil"/>
                  </w:tcBorders>
                  <w:vAlign w:val="center"/>
                </w:tcPr>
                <w:p w14:paraId="2C946603">
                  <w:pPr>
                    <w:widowControl w:val="0"/>
                    <w:autoSpaceDE w:val="0"/>
                    <w:autoSpaceDN w:val="0"/>
                    <w:adjustRightInd w:val="0"/>
                    <w:snapToGrid w:val="0"/>
                    <w:spacing w:line="240" w:lineRule="auto"/>
                    <w:ind w:firstLine="0" w:firstLineChars="0"/>
                    <w:jc w:val="center"/>
                    <w:rPr>
                      <w:sz w:val="21"/>
                      <w:szCs w:val="21"/>
                    </w:rPr>
                  </w:pPr>
                  <w:r>
                    <w:rPr>
                      <w:rFonts w:hint="eastAsia"/>
                      <w:sz w:val="21"/>
                      <w:szCs w:val="21"/>
                    </w:rPr>
                    <w:t>噪声</w:t>
                  </w:r>
                </w:p>
              </w:tc>
              <w:tc>
                <w:tcPr>
                  <w:tcW w:w="1695" w:type="pct"/>
                  <w:tcBorders>
                    <w:tl2br w:val="nil"/>
                    <w:tr2bl w:val="nil"/>
                  </w:tcBorders>
                  <w:vAlign w:val="center"/>
                </w:tcPr>
                <w:p w14:paraId="541A4DE4">
                  <w:pPr>
                    <w:widowControl w:val="0"/>
                    <w:autoSpaceDE w:val="0"/>
                    <w:autoSpaceDN w:val="0"/>
                    <w:adjustRightInd w:val="0"/>
                    <w:snapToGrid w:val="0"/>
                    <w:spacing w:line="240" w:lineRule="auto"/>
                    <w:ind w:firstLine="0" w:firstLineChars="0"/>
                    <w:jc w:val="center"/>
                    <w:rPr>
                      <w:sz w:val="21"/>
                      <w:szCs w:val="21"/>
                    </w:rPr>
                  </w:pPr>
                  <w:r>
                    <w:rPr>
                      <w:rFonts w:hint="eastAsia"/>
                      <w:sz w:val="21"/>
                      <w:szCs w:val="21"/>
                    </w:rPr>
                    <w:t>设备噪声</w:t>
                  </w:r>
                </w:p>
              </w:tc>
              <w:tc>
                <w:tcPr>
                  <w:tcW w:w="2591" w:type="pct"/>
                  <w:tcBorders>
                    <w:tl2br w:val="nil"/>
                    <w:tr2bl w:val="nil"/>
                  </w:tcBorders>
                  <w:vAlign w:val="center"/>
                </w:tcPr>
                <w:p w14:paraId="102B04A4">
                  <w:pPr>
                    <w:widowControl w:val="0"/>
                    <w:autoSpaceDE w:val="0"/>
                    <w:autoSpaceDN w:val="0"/>
                    <w:adjustRightInd w:val="0"/>
                    <w:snapToGrid w:val="0"/>
                    <w:spacing w:line="240" w:lineRule="auto"/>
                    <w:ind w:firstLine="0" w:firstLineChars="0"/>
                    <w:jc w:val="center"/>
                    <w:rPr>
                      <w:sz w:val="21"/>
                      <w:szCs w:val="21"/>
                    </w:rPr>
                  </w:pPr>
                  <w:r>
                    <w:rPr>
                      <w:rFonts w:hint="eastAsia"/>
                      <w:sz w:val="21"/>
                      <w:szCs w:val="21"/>
                    </w:rPr>
                    <w:t>选用低噪声设备、基础</w:t>
                  </w:r>
                  <w:r>
                    <w:rPr>
                      <w:rFonts w:hint="eastAsia"/>
                      <w:sz w:val="21"/>
                      <w:szCs w:val="21"/>
                      <w:lang w:eastAsia="zh-CN"/>
                    </w:rPr>
                    <w:t>减振</w:t>
                  </w:r>
                  <w:r>
                    <w:rPr>
                      <w:rFonts w:hint="eastAsia"/>
                      <w:sz w:val="21"/>
                      <w:szCs w:val="21"/>
                    </w:rPr>
                    <w:t>、厂房隔声等</w:t>
                  </w:r>
                </w:p>
              </w:tc>
            </w:tr>
            <w:tr w14:paraId="09D58E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712" w:type="pct"/>
                  <w:vMerge w:val="restart"/>
                  <w:tcBorders>
                    <w:tl2br w:val="nil"/>
                    <w:tr2bl w:val="nil"/>
                  </w:tcBorders>
                  <w:vAlign w:val="center"/>
                </w:tcPr>
                <w:p w14:paraId="6E066EF7">
                  <w:pPr>
                    <w:widowControl w:val="0"/>
                    <w:autoSpaceDE w:val="0"/>
                    <w:autoSpaceDN w:val="0"/>
                    <w:adjustRightInd w:val="0"/>
                    <w:snapToGrid w:val="0"/>
                    <w:spacing w:line="240" w:lineRule="auto"/>
                    <w:ind w:firstLine="0" w:firstLineChars="0"/>
                    <w:jc w:val="center"/>
                    <w:rPr>
                      <w:sz w:val="21"/>
                      <w:szCs w:val="21"/>
                    </w:rPr>
                  </w:pPr>
                  <w:r>
                    <w:rPr>
                      <w:rFonts w:hint="eastAsia"/>
                      <w:sz w:val="21"/>
                      <w:szCs w:val="21"/>
                    </w:rPr>
                    <w:t>一般固废</w:t>
                  </w:r>
                </w:p>
              </w:tc>
              <w:tc>
                <w:tcPr>
                  <w:tcW w:w="1695" w:type="pct"/>
                  <w:tcBorders>
                    <w:tl2br w:val="nil"/>
                    <w:tr2bl w:val="nil"/>
                  </w:tcBorders>
                  <w:vAlign w:val="center"/>
                </w:tcPr>
                <w:p w14:paraId="07DBEACD">
                  <w:pPr>
                    <w:widowControl w:val="0"/>
                    <w:adjustRightInd w:val="0"/>
                    <w:snapToGrid w:val="0"/>
                    <w:spacing w:line="240" w:lineRule="auto"/>
                    <w:ind w:firstLine="0" w:firstLineChars="0"/>
                    <w:jc w:val="center"/>
                    <w:rPr>
                      <w:sz w:val="21"/>
                      <w:szCs w:val="21"/>
                    </w:rPr>
                  </w:pPr>
                  <w:r>
                    <w:rPr>
                      <w:rFonts w:hint="eastAsia"/>
                      <w:sz w:val="21"/>
                      <w:szCs w:val="21"/>
                      <w:lang w:val="en-US" w:eastAsia="zh-CN"/>
                    </w:rPr>
                    <w:t>仓顶</w:t>
                  </w:r>
                  <w:r>
                    <w:rPr>
                      <w:rFonts w:hint="eastAsia"/>
                      <w:sz w:val="21"/>
                      <w:szCs w:val="21"/>
                    </w:rPr>
                    <w:t>布袋除尘器收集粉尘</w:t>
                  </w:r>
                </w:p>
              </w:tc>
              <w:tc>
                <w:tcPr>
                  <w:tcW w:w="2591" w:type="pct"/>
                  <w:tcBorders>
                    <w:tl2br w:val="nil"/>
                    <w:tr2bl w:val="nil"/>
                  </w:tcBorders>
                  <w:vAlign w:val="center"/>
                </w:tcPr>
                <w:p w14:paraId="1ACB71B3">
                  <w:pPr>
                    <w:widowControl w:val="0"/>
                    <w:autoSpaceDE w:val="0"/>
                    <w:autoSpaceDN w:val="0"/>
                    <w:adjustRightInd w:val="0"/>
                    <w:snapToGrid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回收至Ⅲ级灰筒仓</w:t>
                  </w:r>
                </w:p>
              </w:tc>
            </w:tr>
            <w:tr w14:paraId="229244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712" w:type="pct"/>
                  <w:vMerge w:val="continue"/>
                  <w:tcBorders>
                    <w:tl2br w:val="nil"/>
                    <w:tr2bl w:val="nil"/>
                  </w:tcBorders>
                  <w:vAlign w:val="center"/>
                </w:tcPr>
                <w:p w14:paraId="60C7F633">
                  <w:pPr>
                    <w:widowControl w:val="0"/>
                    <w:autoSpaceDE w:val="0"/>
                    <w:autoSpaceDN w:val="0"/>
                    <w:adjustRightInd w:val="0"/>
                    <w:snapToGrid w:val="0"/>
                    <w:spacing w:line="240" w:lineRule="auto"/>
                    <w:ind w:firstLine="0" w:firstLineChars="0"/>
                    <w:jc w:val="center"/>
                    <w:rPr>
                      <w:sz w:val="21"/>
                      <w:szCs w:val="21"/>
                    </w:rPr>
                  </w:pPr>
                </w:p>
              </w:tc>
              <w:tc>
                <w:tcPr>
                  <w:tcW w:w="1695" w:type="pct"/>
                  <w:tcBorders>
                    <w:tl2br w:val="nil"/>
                    <w:tr2bl w:val="nil"/>
                  </w:tcBorders>
                  <w:vAlign w:val="center"/>
                </w:tcPr>
                <w:p w14:paraId="723CE37B">
                  <w:pPr>
                    <w:widowControl w:val="0"/>
                    <w:adjustRightInd w:val="0"/>
                    <w:snapToGrid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散装机布袋除尘器收集粉尘</w:t>
                  </w:r>
                </w:p>
              </w:tc>
              <w:tc>
                <w:tcPr>
                  <w:tcW w:w="2591" w:type="pct"/>
                  <w:tcBorders>
                    <w:tl2br w:val="nil"/>
                    <w:tr2bl w:val="nil"/>
                  </w:tcBorders>
                  <w:vAlign w:val="center"/>
                </w:tcPr>
                <w:p w14:paraId="24EFE789">
                  <w:pPr>
                    <w:widowControl w:val="0"/>
                    <w:autoSpaceDE w:val="0"/>
                    <w:autoSpaceDN w:val="0"/>
                    <w:adjustRightInd w:val="0"/>
                    <w:snapToGrid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回收至相应等级的筒仓</w:t>
                  </w:r>
                </w:p>
              </w:tc>
            </w:tr>
          </w:tbl>
          <w:p w14:paraId="7A870B56">
            <w:pPr>
              <w:ind w:firstLine="0" w:firstLineChars="0"/>
            </w:pPr>
          </w:p>
        </w:tc>
      </w:tr>
      <w:tr w14:paraId="4488DA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37" w:hRule="atLeast"/>
          <w:jc w:val="center"/>
        </w:trPr>
        <w:tc>
          <w:tcPr>
            <w:tcW w:w="594" w:type="pct"/>
            <w:gridSpan w:val="2"/>
            <w:vAlign w:val="center"/>
          </w:tcPr>
          <w:p w14:paraId="64DCFDEC">
            <w:pPr>
              <w:spacing w:line="240" w:lineRule="auto"/>
              <w:ind w:firstLine="0" w:firstLineChars="0"/>
              <w:jc w:val="center"/>
              <w:rPr>
                <w:sz w:val="21"/>
                <w:szCs w:val="21"/>
                <w:highlight w:val="yellow"/>
              </w:rPr>
            </w:pPr>
            <w:r>
              <w:rPr>
                <w:rFonts w:hint="eastAsia"/>
                <w:highlight w:val="none"/>
              </w:rPr>
              <w:t>与项目有关的原有环境污染问题</w:t>
            </w:r>
          </w:p>
        </w:tc>
        <w:tc>
          <w:tcPr>
            <w:tcW w:w="4405" w:type="pct"/>
            <w:vAlign w:val="center"/>
          </w:tcPr>
          <w:p w14:paraId="2B06C0EA">
            <w:pPr>
              <w:pStyle w:val="57"/>
              <w:widowControl w:val="0"/>
              <w:numPr>
                <w:ilvl w:val="0"/>
                <w:numId w:val="22"/>
              </w:numPr>
              <w:ind w:firstLine="0" w:firstLineChars="0"/>
              <w:outlineLvl w:val="1"/>
              <w:rPr>
                <w:rFonts w:hint="default" w:ascii="Times New Roman" w:hAnsi="Times New Roman" w:eastAsia="宋体" w:cs="Times New Roman"/>
                <w:b/>
                <w:sz w:val="30"/>
                <w:szCs w:val="30"/>
                <w:lang w:val="en-US" w:eastAsia="zh-CN"/>
              </w:rPr>
            </w:pPr>
            <w:r>
              <w:rPr>
                <w:rFonts w:hint="eastAsia" w:ascii="Times New Roman" w:hAnsi="Times New Roman" w:eastAsia="宋体" w:cs="Times New Roman"/>
                <w:b/>
                <w:sz w:val="30"/>
                <w:szCs w:val="30"/>
                <w:lang w:val="en-US" w:eastAsia="zh-CN"/>
              </w:rPr>
              <w:t>现有项目工程分析</w:t>
            </w:r>
          </w:p>
          <w:p w14:paraId="0B10AD6E">
            <w:pPr>
              <w:keepNext w:val="0"/>
              <w:keepLines w:val="0"/>
              <w:widowControl/>
              <w:suppressLineNumbers w:val="0"/>
              <w:jc w:val="left"/>
            </w:pPr>
            <w:r>
              <w:rPr>
                <w:rFonts w:hint="eastAsia" w:ascii="宋体" w:hAnsi="宋体" w:eastAsia="宋体" w:cs="宋体"/>
                <w:color w:val="000000"/>
                <w:kern w:val="0"/>
                <w:sz w:val="24"/>
                <w:szCs w:val="24"/>
                <w:lang w:val="en-US" w:eastAsia="zh-CN" w:bidi="ar"/>
              </w:rPr>
              <w:t>华能湖南岳阳发电有限责任公司位于湖南省岳阳市城陵矶，处于沿江工业走廊北部、属大型工业集中区。厂址距离岳阳市主城区约</w:t>
            </w:r>
            <w:r>
              <w:rPr>
                <w:rFonts w:hint="default" w:ascii="Times New Roman" w:hAnsi="Times New Roman" w:eastAsia="宋体" w:cs="Times New Roman"/>
                <w:color w:val="000000"/>
                <w:kern w:val="0"/>
                <w:sz w:val="24"/>
                <w:szCs w:val="24"/>
                <w:lang w:val="en-US" w:eastAsia="zh-CN" w:bidi="ar"/>
              </w:rPr>
              <w:t>10km</w:t>
            </w:r>
            <w:r>
              <w:rPr>
                <w:rFonts w:hint="eastAsia" w:ascii="宋体" w:hAnsi="宋体" w:eastAsia="宋体" w:cs="宋体"/>
                <w:color w:val="000000"/>
                <w:kern w:val="0"/>
                <w:sz w:val="24"/>
                <w:szCs w:val="24"/>
                <w:lang w:val="en-US" w:eastAsia="zh-CN" w:bidi="ar"/>
              </w:rPr>
              <w:t>，西北侧距长江约</w:t>
            </w:r>
            <w:r>
              <w:rPr>
                <w:rFonts w:hint="default" w:ascii="Times New Roman" w:hAnsi="Times New Roman" w:eastAsia="宋体" w:cs="Times New Roman"/>
                <w:color w:val="000000"/>
                <w:kern w:val="0"/>
                <w:sz w:val="24"/>
                <w:szCs w:val="24"/>
                <w:lang w:val="en-US" w:eastAsia="zh-CN" w:bidi="ar"/>
              </w:rPr>
              <w:t>500m</w:t>
            </w:r>
            <w:r>
              <w:rPr>
                <w:rFonts w:hint="eastAsia" w:ascii="宋体" w:hAnsi="宋体" w:eastAsia="宋体" w:cs="宋体"/>
                <w:color w:val="000000"/>
                <w:kern w:val="0"/>
                <w:sz w:val="24"/>
                <w:szCs w:val="24"/>
                <w:lang w:val="en-US" w:eastAsia="zh-CN" w:bidi="ar"/>
              </w:rPr>
              <w:t>，厂界外东北方约</w:t>
            </w:r>
            <w:r>
              <w:rPr>
                <w:rFonts w:hint="default" w:ascii="Times New Roman" w:hAnsi="Times New Roman" w:eastAsia="宋体" w:cs="Times New Roman"/>
                <w:color w:val="000000"/>
                <w:kern w:val="0"/>
                <w:sz w:val="24"/>
                <w:szCs w:val="24"/>
                <w:lang w:val="en-US" w:eastAsia="zh-CN" w:bidi="ar"/>
              </w:rPr>
              <w:t>200m</w:t>
            </w:r>
            <w:r>
              <w:rPr>
                <w:rFonts w:hint="eastAsia" w:ascii="宋体" w:hAnsi="宋体" w:eastAsia="宋体" w:cs="宋体"/>
                <w:color w:val="000000"/>
                <w:kern w:val="0"/>
                <w:sz w:val="24"/>
                <w:szCs w:val="24"/>
                <w:lang w:val="en-US" w:eastAsia="zh-CN" w:bidi="ar"/>
              </w:rPr>
              <w:t>为擂鼓台村，厂界南</w:t>
            </w:r>
            <w:r>
              <w:rPr>
                <w:rFonts w:hint="eastAsia" w:ascii="宋体" w:hAnsi="宋体" w:cs="宋体"/>
                <w:color w:val="000000"/>
                <w:kern w:val="0"/>
                <w:sz w:val="24"/>
                <w:szCs w:val="24"/>
                <w:lang w:val="en-US" w:eastAsia="zh-CN" w:bidi="ar"/>
              </w:rPr>
              <w:t>邻</w:t>
            </w:r>
            <w:r>
              <w:rPr>
                <w:rFonts w:hint="eastAsia" w:ascii="宋体" w:hAnsi="宋体" w:eastAsia="宋体" w:cs="宋体"/>
                <w:color w:val="000000"/>
                <w:kern w:val="0"/>
                <w:sz w:val="24"/>
                <w:szCs w:val="24"/>
                <w:lang w:val="en-US" w:eastAsia="zh-CN" w:bidi="ar"/>
              </w:rPr>
              <w:t>岳阳纸厂，东南面为芭蕉湖。灰场位于厂址东北方向</w:t>
            </w:r>
            <w:r>
              <w:rPr>
                <w:rFonts w:hint="default" w:ascii="Times New Roman" w:hAnsi="Times New Roman" w:eastAsia="宋体" w:cs="Times New Roman"/>
                <w:color w:val="000000"/>
                <w:kern w:val="0"/>
                <w:sz w:val="24"/>
                <w:szCs w:val="24"/>
                <w:lang w:val="en-US" w:eastAsia="zh-CN" w:bidi="ar"/>
              </w:rPr>
              <w:t>7km</w:t>
            </w:r>
            <w:r>
              <w:rPr>
                <w:rFonts w:hint="eastAsia" w:ascii="宋体" w:hAnsi="宋体" w:eastAsia="宋体" w:cs="宋体"/>
                <w:color w:val="000000"/>
                <w:kern w:val="0"/>
                <w:sz w:val="24"/>
                <w:szCs w:val="24"/>
                <w:lang w:val="en-US" w:eastAsia="zh-CN" w:bidi="ar"/>
              </w:rPr>
              <w:t>。</w:t>
            </w:r>
          </w:p>
          <w:p w14:paraId="439FD256">
            <w:pPr>
              <w:keepNext w:val="0"/>
              <w:keepLines w:val="0"/>
              <w:widowControl/>
              <w:suppressLineNumbers w:val="0"/>
              <w:jc w:val="left"/>
              <w:rPr>
                <w:rFonts w:hint="eastAsia" w:ascii="Times New Roman" w:hAnsi="Times New Roman"/>
                <w:szCs w:val="24"/>
                <w:lang w:eastAsia="zh-CN"/>
              </w:rPr>
            </w:pPr>
            <w:r>
              <w:rPr>
                <w:rFonts w:hint="default" w:ascii="Times New Roman" w:hAnsi="Times New Roman" w:eastAsia="宋体" w:cs="Times New Roman"/>
                <w:color w:val="000000"/>
                <w:kern w:val="0"/>
                <w:sz w:val="24"/>
                <w:szCs w:val="24"/>
                <w:lang w:val="en-US" w:eastAsia="zh-CN" w:bidi="ar"/>
              </w:rPr>
              <w:t>华能岳阳电厂一期、二期、三期工程已建成投运，一期工程为全套从英国GEC公司总包引进的2×362.5MW亚临界燃煤发电机组，1#和2#机组于1991年9、12月分别投运</w:t>
            </w:r>
            <w:r>
              <w:rPr>
                <w:rFonts w:hint="default" w:ascii="Times New Roman" w:hAnsi="Times New Roman" w:cs="Times New Roman"/>
                <w:color w:val="000000"/>
                <w:kern w:val="0"/>
                <w:sz w:val="24"/>
                <w:szCs w:val="24"/>
                <w:lang w:val="en-US" w:eastAsia="zh-CN" w:bidi="ar"/>
              </w:rPr>
              <w:t>，其中2025年年底2#机组停止运行</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二期</w:t>
            </w:r>
            <w:r>
              <w:rPr>
                <w:rFonts w:hint="default" w:ascii="Times New Roman" w:hAnsi="Times New Roman" w:eastAsia="宋体" w:cs="Times New Roman"/>
                <w:color w:val="000000"/>
                <w:kern w:val="0"/>
                <w:sz w:val="24"/>
                <w:szCs w:val="24"/>
                <w:lang w:val="en-US" w:eastAsia="zh-CN" w:bidi="ar"/>
              </w:rPr>
              <w:t>2×300MW</w:t>
            </w:r>
            <w:r>
              <w:rPr>
                <w:rFonts w:hint="eastAsia" w:ascii="宋体" w:hAnsi="宋体" w:eastAsia="宋体" w:cs="宋体"/>
                <w:color w:val="000000"/>
                <w:kern w:val="0"/>
                <w:sz w:val="24"/>
                <w:szCs w:val="24"/>
                <w:lang w:val="en-US" w:eastAsia="zh-CN" w:bidi="ar"/>
              </w:rPr>
              <w:t>国产亚临界燃煤发电机组，位于一期东北面，东靠进水明渠；二期</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和</w:t>
            </w:r>
            <w:r>
              <w:rPr>
                <w:rFonts w:hint="default"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机组于</w:t>
            </w:r>
            <w:r>
              <w:rPr>
                <w:rFonts w:hint="default" w:ascii="Times New Roman" w:hAnsi="Times New Roman" w:eastAsia="宋体" w:cs="Times New Roman"/>
                <w:color w:val="000000"/>
                <w:kern w:val="0"/>
                <w:sz w:val="24"/>
                <w:szCs w:val="24"/>
                <w:lang w:val="en-US" w:eastAsia="zh-CN" w:bidi="ar"/>
              </w:rPr>
              <w:t>2006</w:t>
            </w:r>
            <w:r>
              <w:rPr>
                <w:rFonts w:hint="eastAsia" w:ascii="宋体" w:hAnsi="宋体" w:eastAsia="宋体" w:cs="宋体"/>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月分别投运。三期工程建设</w:t>
            </w:r>
            <w:r>
              <w:rPr>
                <w:rFonts w:hint="default" w:ascii="Times New Roman" w:hAnsi="Times New Roman" w:eastAsia="宋体" w:cs="Times New Roman"/>
                <w:color w:val="000000"/>
                <w:kern w:val="0"/>
                <w:sz w:val="24"/>
                <w:szCs w:val="24"/>
                <w:lang w:val="en-US" w:eastAsia="zh-CN" w:bidi="ar"/>
              </w:rPr>
              <w:t>2×600MW</w:t>
            </w:r>
            <w:r>
              <w:rPr>
                <w:rFonts w:hint="eastAsia" w:ascii="宋体" w:hAnsi="宋体" w:eastAsia="宋体" w:cs="宋体"/>
                <w:color w:val="000000"/>
                <w:kern w:val="0"/>
                <w:sz w:val="24"/>
                <w:szCs w:val="24"/>
                <w:lang w:val="en-US" w:eastAsia="zh-CN" w:bidi="ar"/>
              </w:rPr>
              <w:t>超临界燃煤发电机组工程，位于二期主厂房扩建端，三期</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和</w:t>
            </w:r>
            <w:r>
              <w:rPr>
                <w:rFonts w:hint="default" w:ascii="Times New Roman" w:hAnsi="Times New Roman" w:eastAsia="宋体" w:cs="Times New Roman"/>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机组于</w:t>
            </w:r>
            <w:r>
              <w:rPr>
                <w:rFonts w:hint="default" w:ascii="Times New Roman" w:hAnsi="Times New Roman" w:eastAsia="宋体" w:cs="Times New Roman"/>
                <w:color w:val="000000"/>
                <w:kern w:val="0"/>
                <w:sz w:val="24"/>
                <w:szCs w:val="24"/>
                <w:lang w:val="en-US" w:eastAsia="zh-CN" w:bidi="ar"/>
              </w:rPr>
              <w:t>2011</w:t>
            </w:r>
            <w:r>
              <w:rPr>
                <w:rFonts w:hint="eastAsia" w:ascii="宋体" w:hAnsi="宋体" w:eastAsia="宋体" w:cs="宋体"/>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7</w:t>
            </w:r>
            <w:r>
              <w:rPr>
                <w:rFonts w:hint="eastAsia" w:ascii="宋体" w:hAnsi="宋体" w:eastAsia="宋体" w:cs="宋体"/>
                <w:color w:val="000000"/>
                <w:kern w:val="0"/>
                <w:sz w:val="24"/>
                <w:szCs w:val="24"/>
                <w:lang w:val="en-US" w:eastAsia="zh-CN" w:bidi="ar"/>
              </w:rPr>
              <w:t>月和</w:t>
            </w:r>
            <w:r>
              <w:rPr>
                <w:rFonts w:hint="default" w:ascii="Times New Roman" w:hAnsi="Times New Roman" w:eastAsia="宋体" w:cs="Times New Roman"/>
                <w:color w:val="000000"/>
                <w:kern w:val="0"/>
                <w:sz w:val="24"/>
                <w:szCs w:val="24"/>
                <w:lang w:val="en-US" w:eastAsia="zh-CN" w:bidi="ar"/>
              </w:rPr>
              <w:t>2012</w:t>
            </w:r>
            <w:r>
              <w:rPr>
                <w:rFonts w:hint="eastAsia" w:ascii="宋体" w:hAnsi="宋体" w:eastAsia="宋体" w:cs="宋体"/>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8</w:t>
            </w:r>
            <w:r>
              <w:rPr>
                <w:rFonts w:hint="eastAsia" w:ascii="宋体" w:hAnsi="宋体" w:eastAsia="宋体" w:cs="宋体"/>
                <w:color w:val="000000"/>
                <w:kern w:val="0"/>
                <w:sz w:val="24"/>
                <w:szCs w:val="24"/>
                <w:lang w:val="en-US" w:eastAsia="zh-CN" w:bidi="ar"/>
              </w:rPr>
              <w:t>月分别投运。</w:t>
            </w:r>
            <w:r>
              <w:rPr>
                <w:rFonts w:hint="default" w:ascii="Times New Roman" w:hAnsi="Times New Roman"/>
                <w:szCs w:val="24"/>
                <w:lang w:val="zh-CN"/>
              </w:rPr>
              <w:t>根据现场踏勘和建设单位提供的资料</w:t>
            </w:r>
            <w:r>
              <w:rPr>
                <w:rFonts w:hint="eastAsia" w:ascii="Times New Roman" w:hAnsi="Times New Roman"/>
                <w:szCs w:val="24"/>
                <w:lang w:val="zh-CN"/>
              </w:rPr>
              <w:t>，</w:t>
            </w:r>
            <w:r>
              <w:rPr>
                <w:rFonts w:ascii="Times New Roman" w:hAnsi="Times New Roman"/>
                <w:szCs w:val="24"/>
              </w:rPr>
              <w:t>厂区</w:t>
            </w:r>
            <w:r>
              <w:rPr>
                <w:rFonts w:hint="default" w:ascii="Times New Roman" w:hAnsi="Times New Roman"/>
                <w:szCs w:val="24"/>
              </w:rPr>
              <w:t>现有项目主要</w:t>
            </w:r>
            <w:r>
              <w:rPr>
                <w:rFonts w:hint="default" w:ascii="Times New Roman" w:hAnsi="Times New Roman"/>
                <w:szCs w:val="24"/>
                <w:lang w:val="zh-CN"/>
              </w:rPr>
              <w:t>建设内容见</w:t>
            </w:r>
            <w:r>
              <w:rPr>
                <w:rFonts w:hint="default" w:ascii="Times New Roman" w:hAnsi="Times New Roman"/>
                <w:szCs w:val="24"/>
              </w:rPr>
              <w:t>下表</w:t>
            </w:r>
            <w:r>
              <w:rPr>
                <w:rFonts w:hint="eastAsia" w:ascii="Times New Roman" w:hAnsi="Times New Roman"/>
                <w:szCs w:val="24"/>
                <w:lang w:eastAsia="zh-CN"/>
              </w:rPr>
              <w:t>。</w:t>
            </w:r>
          </w:p>
          <w:p w14:paraId="0D0644C4">
            <w:pPr>
              <w:widowControl w:val="0"/>
              <w:numPr>
                <w:ilvl w:val="0"/>
                <w:numId w:val="18"/>
              </w:numPr>
              <w:spacing w:line="240" w:lineRule="auto"/>
              <w:ind w:firstLineChars="0"/>
              <w:jc w:val="center"/>
              <w:rPr>
                <w:rFonts w:hint="eastAsia"/>
                <w:b/>
                <w:bCs/>
              </w:rPr>
            </w:pPr>
            <w:r>
              <w:rPr>
                <w:rFonts w:hint="eastAsia"/>
                <w:b/>
                <w:bCs/>
                <w:lang w:val="en-US" w:eastAsia="zh-CN"/>
              </w:rPr>
              <w:t>现有项目建设项目一览表</w:t>
            </w:r>
          </w:p>
          <w:tbl>
            <w:tblPr>
              <w:tblStyle w:val="32"/>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58"/>
              <w:gridCol w:w="1742"/>
              <w:gridCol w:w="3330"/>
              <w:gridCol w:w="1554"/>
            </w:tblGrid>
            <w:tr w14:paraId="4DD609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tcBorders>
                    <w:tl2br w:val="nil"/>
                    <w:tr2bl w:val="nil"/>
                  </w:tcBorders>
                  <w:vAlign w:val="center"/>
                </w:tcPr>
                <w:p w14:paraId="578922BC">
                  <w:pPr>
                    <w:widowControl w:val="0"/>
                    <w:spacing w:line="240" w:lineRule="auto"/>
                    <w:ind w:firstLine="0" w:firstLineChars="0"/>
                    <w:jc w:val="center"/>
                    <w:rPr>
                      <w:b/>
                      <w:bCs/>
                      <w:sz w:val="21"/>
                      <w:szCs w:val="21"/>
                      <w:highlight w:val="none"/>
                    </w:rPr>
                  </w:pPr>
                  <w:r>
                    <w:rPr>
                      <w:b/>
                      <w:bCs/>
                      <w:sz w:val="21"/>
                      <w:szCs w:val="21"/>
                      <w:highlight w:val="none"/>
                    </w:rPr>
                    <w:t>工程</w:t>
                  </w:r>
                </w:p>
                <w:p w14:paraId="15BC250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r>
                    <w:rPr>
                      <w:b/>
                      <w:bCs/>
                      <w:sz w:val="21"/>
                      <w:szCs w:val="21"/>
                      <w:highlight w:val="none"/>
                    </w:rPr>
                    <w:t>类别</w:t>
                  </w:r>
                </w:p>
              </w:tc>
              <w:tc>
                <w:tcPr>
                  <w:tcW w:w="1133" w:type="pct"/>
                  <w:tcBorders>
                    <w:tl2br w:val="nil"/>
                    <w:tr2bl w:val="nil"/>
                  </w:tcBorders>
                  <w:vAlign w:val="center"/>
                </w:tcPr>
                <w:p w14:paraId="34935D6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b/>
                      <w:bCs/>
                      <w:sz w:val="21"/>
                      <w:szCs w:val="21"/>
                      <w:highlight w:val="none"/>
                      <w:vertAlign w:val="baseline"/>
                      <w:lang w:val="en-US" w:eastAsia="zh-CN"/>
                    </w:rPr>
                  </w:pPr>
                  <w:r>
                    <w:rPr>
                      <w:rFonts w:hint="eastAsia"/>
                      <w:b/>
                      <w:bCs/>
                      <w:sz w:val="21"/>
                      <w:szCs w:val="21"/>
                      <w:highlight w:val="none"/>
                      <w:vertAlign w:val="baseline"/>
                      <w:lang w:val="en-US" w:eastAsia="zh-CN"/>
                    </w:rPr>
                    <w:t>工程组成</w:t>
                  </w:r>
                </w:p>
              </w:tc>
              <w:tc>
                <w:tcPr>
                  <w:tcW w:w="2166" w:type="pct"/>
                  <w:tcBorders>
                    <w:tl2br w:val="nil"/>
                    <w:tr2bl w:val="nil"/>
                  </w:tcBorders>
                  <w:vAlign w:val="center"/>
                </w:tcPr>
                <w:p w14:paraId="6A2C30A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b/>
                      <w:bCs/>
                      <w:sz w:val="21"/>
                      <w:szCs w:val="21"/>
                      <w:highlight w:val="none"/>
                      <w:vertAlign w:val="baseline"/>
                      <w:lang w:val="en-US" w:eastAsia="zh-CN"/>
                    </w:rPr>
                  </w:pPr>
                  <w:r>
                    <w:rPr>
                      <w:rFonts w:hint="eastAsia"/>
                      <w:b/>
                      <w:bCs/>
                      <w:sz w:val="21"/>
                      <w:szCs w:val="21"/>
                      <w:highlight w:val="none"/>
                      <w:vertAlign w:val="baseline"/>
                      <w:lang w:val="en-US" w:eastAsia="zh-CN"/>
                    </w:rPr>
                    <w:t>内容及规模</w:t>
                  </w:r>
                </w:p>
              </w:tc>
              <w:tc>
                <w:tcPr>
                  <w:tcW w:w="1011" w:type="pct"/>
                  <w:tcBorders>
                    <w:tl2br w:val="nil"/>
                    <w:tr2bl w:val="nil"/>
                  </w:tcBorders>
                  <w:vAlign w:val="center"/>
                </w:tcPr>
                <w:p w14:paraId="6F6A2AB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b/>
                      <w:bCs/>
                      <w:sz w:val="21"/>
                      <w:szCs w:val="21"/>
                      <w:highlight w:val="none"/>
                      <w:vertAlign w:val="baseline"/>
                      <w:lang w:val="en-US" w:eastAsia="zh-CN"/>
                    </w:rPr>
                  </w:pPr>
                  <w:r>
                    <w:rPr>
                      <w:rFonts w:hint="eastAsia"/>
                      <w:b/>
                      <w:bCs/>
                      <w:sz w:val="21"/>
                      <w:szCs w:val="21"/>
                      <w:highlight w:val="none"/>
                      <w:vertAlign w:val="baseline"/>
                      <w:lang w:val="en-US" w:eastAsia="zh-CN"/>
                    </w:rPr>
                    <w:t>备注</w:t>
                  </w:r>
                </w:p>
              </w:tc>
            </w:tr>
            <w:tr w14:paraId="5F47B7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restart"/>
                  <w:tcBorders>
                    <w:tl2br w:val="nil"/>
                    <w:tr2bl w:val="nil"/>
                  </w:tcBorders>
                  <w:vAlign w:val="center"/>
                </w:tcPr>
                <w:p w14:paraId="4AB242E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主体工程</w:t>
                  </w:r>
                </w:p>
              </w:tc>
              <w:tc>
                <w:tcPr>
                  <w:tcW w:w="1133" w:type="pct"/>
                  <w:tcBorders>
                    <w:tl2br w:val="nil"/>
                    <w:tr2bl w:val="nil"/>
                  </w:tcBorders>
                  <w:vAlign w:val="center"/>
                </w:tcPr>
                <w:p w14:paraId="4C4E7DD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一期主体建设</w:t>
                  </w:r>
                </w:p>
              </w:tc>
              <w:tc>
                <w:tcPr>
                  <w:tcW w:w="2166" w:type="pct"/>
                  <w:tcBorders>
                    <w:tl2br w:val="nil"/>
                    <w:tr2bl w:val="nil"/>
                  </w:tcBorders>
                  <w:vAlign w:val="center"/>
                </w:tcPr>
                <w:p w14:paraId="7C0166D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燃煤发电机组2</w:t>
                  </w:r>
                  <w:r>
                    <w:rPr>
                      <w:rFonts w:hint="default" w:ascii="Times New Roman" w:hAnsi="Times New Roman" w:cs="Times New Roman"/>
                      <w:sz w:val="21"/>
                      <w:szCs w:val="21"/>
                      <w:highlight w:val="none"/>
                      <w:vertAlign w:val="baseline"/>
                      <w:lang w:val="en-US" w:eastAsia="zh-CN"/>
                    </w:rPr>
                    <w:t>×</w:t>
                  </w:r>
                  <w:r>
                    <w:rPr>
                      <w:rFonts w:hint="eastAsia"/>
                      <w:sz w:val="21"/>
                      <w:szCs w:val="21"/>
                      <w:highlight w:val="none"/>
                      <w:vertAlign w:val="baseline"/>
                      <w:lang w:val="en-US" w:eastAsia="zh-CN"/>
                    </w:rPr>
                    <w:t>362.5MW，包括锅炉、汽轮机、变压站等</w:t>
                  </w:r>
                </w:p>
              </w:tc>
              <w:tc>
                <w:tcPr>
                  <w:tcW w:w="1011" w:type="pct"/>
                  <w:tcBorders>
                    <w:tl2br w:val="nil"/>
                    <w:tr2bl w:val="nil"/>
                  </w:tcBorders>
                  <w:vAlign w:val="center"/>
                </w:tcPr>
                <w:p w14:paraId="1475967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15E251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213557E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2B0D6DE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二期主体建设</w:t>
                  </w:r>
                </w:p>
              </w:tc>
              <w:tc>
                <w:tcPr>
                  <w:tcW w:w="2166" w:type="pct"/>
                  <w:tcBorders>
                    <w:tl2br w:val="nil"/>
                    <w:tr2bl w:val="nil"/>
                  </w:tcBorders>
                  <w:vAlign w:val="center"/>
                </w:tcPr>
                <w:p w14:paraId="048586E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燃煤发电机组2</w:t>
                  </w:r>
                  <w:r>
                    <w:rPr>
                      <w:rFonts w:hint="default"/>
                      <w:sz w:val="21"/>
                      <w:szCs w:val="21"/>
                      <w:highlight w:val="none"/>
                      <w:vertAlign w:val="baseline"/>
                      <w:lang w:val="en-US" w:eastAsia="zh-CN"/>
                    </w:rPr>
                    <w:t>×</w:t>
                  </w:r>
                  <w:r>
                    <w:rPr>
                      <w:rFonts w:hint="eastAsia"/>
                      <w:sz w:val="21"/>
                      <w:szCs w:val="21"/>
                      <w:highlight w:val="none"/>
                      <w:vertAlign w:val="baseline"/>
                      <w:lang w:val="en-US" w:eastAsia="zh-CN"/>
                    </w:rPr>
                    <w:t>300MW，包括锅炉、汽轮机、变压站等</w:t>
                  </w:r>
                </w:p>
              </w:tc>
              <w:tc>
                <w:tcPr>
                  <w:tcW w:w="1011" w:type="pct"/>
                  <w:tcBorders>
                    <w:tl2br w:val="nil"/>
                    <w:tr2bl w:val="nil"/>
                  </w:tcBorders>
                  <w:vAlign w:val="center"/>
                </w:tcPr>
                <w:p w14:paraId="2F55C91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5BFCDA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25C8A05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794865D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三期主体建设</w:t>
                  </w:r>
                </w:p>
              </w:tc>
              <w:tc>
                <w:tcPr>
                  <w:tcW w:w="2166" w:type="pct"/>
                  <w:tcBorders>
                    <w:tl2br w:val="nil"/>
                    <w:tr2bl w:val="nil"/>
                  </w:tcBorders>
                  <w:vAlign w:val="center"/>
                </w:tcPr>
                <w:p w14:paraId="17F0A0B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燃煤发电机组2</w:t>
                  </w:r>
                  <w:r>
                    <w:rPr>
                      <w:rFonts w:hint="default"/>
                      <w:sz w:val="21"/>
                      <w:szCs w:val="21"/>
                      <w:highlight w:val="none"/>
                      <w:vertAlign w:val="baseline"/>
                      <w:lang w:val="en-US" w:eastAsia="zh-CN"/>
                    </w:rPr>
                    <w:t>×</w:t>
                  </w:r>
                  <w:r>
                    <w:rPr>
                      <w:rFonts w:hint="eastAsia"/>
                      <w:sz w:val="21"/>
                      <w:szCs w:val="21"/>
                      <w:highlight w:val="none"/>
                      <w:vertAlign w:val="baseline"/>
                      <w:lang w:val="en-US" w:eastAsia="zh-CN"/>
                    </w:rPr>
                    <w:t>600MW，包括锅炉、汽轮机、变压站等</w:t>
                  </w:r>
                </w:p>
              </w:tc>
              <w:tc>
                <w:tcPr>
                  <w:tcW w:w="1011" w:type="pct"/>
                  <w:tcBorders>
                    <w:tl2br w:val="nil"/>
                    <w:tr2bl w:val="nil"/>
                  </w:tcBorders>
                  <w:vAlign w:val="center"/>
                </w:tcPr>
                <w:p w14:paraId="2881277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5875D8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14539D3F">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25CBA93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灰场水面</w:t>
                  </w:r>
                </w:p>
                <w:p w14:paraId="0E490BF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光伏发电</w:t>
                  </w:r>
                </w:p>
              </w:tc>
              <w:tc>
                <w:tcPr>
                  <w:tcW w:w="2166" w:type="pct"/>
                  <w:tcBorders>
                    <w:tl2br w:val="nil"/>
                    <w:tr2bl w:val="nil"/>
                  </w:tcBorders>
                  <w:vAlign w:val="center"/>
                </w:tcPr>
                <w:p w14:paraId="693C6E8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光伏发电20MWp，包括锅炉、汽轮机、变压站等</w:t>
                  </w:r>
                </w:p>
              </w:tc>
              <w:tc>
                <w:tcPr>
                  <w:tcW w:w="1011" w:type="pct"/>
                  <w:tcBorders>
                    <w:tl2br w:val="nil"/>
                    <w:tr2bl w:val="nil"/>
                  </w:tcBorders>
                  <w:vAlign w:val="center"/>
                </w:tcPr>
                <w:p w14:paraId="03411B9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79C093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restart"/>
                  <w:tcBorders>
                    <w:tl2br w:val="nil"/>
                    <w:tr2bl w:val="nil"/>
                  </w:tcBorders>
                  <w:vAlign w:val="center"/>
                </w:tcPr>
                <w:p w14:paraId="25B63A9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辅助工程</w:t>
                  </w:r>
                </w:p>
              </w:tc>
              <w:tc>
                <w:tcPr>
                  <w:tcW w:w="1133" w:type="pct"/>
                  <w:tcBorders>
                    <w:tl2br w:val="nil"/>
                    <w:tr2bl w:val="nil"/>
                  </w:tcBorders>
                  <w:vAlign w:val="center"/>
                </w:tcPr>
                <w:p w14:paraId="1165E9C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储煤场</w:t>
                  </w:r>
                </w:p>
              </w:tc>
              <w:tc>
                <w:tcPr>
                  <w:tcW w:w="2166" w:type="pct"/>
                  <w:tcBorders>
                    <w:tl2br w:val="nil"/>
                    <w:tr2bl w:val="nil"/>
                  </w:tcBorders>
                  <w:vAlign w:val="center"/>
                </w:tcPr>
                <w:p w14:paraId="0DB591D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131600m</w:t>
                  </w:r>
                  <w:r>
                    <w:rPr>
                      <w:rFonts w:hint="eastAsia"/>
                      <w:sz w:val="21"/>
                      <w:szCs w:val="21"/>
                      <w:highlight w:val="none"/>
                      <w:vertAlign w:val="superscript"/>
                      <w:lang w:val="en-US" w:eastAsia="zh-CN"/>
                    </w:rPr>
                    <w:t>2</w:t>
                  </w:r>
                  <w:r>
                    <w:rPr>
                      <w:rFonts w:hint="eastAsia"/>
                      <w:sz w:val="21"/>
                      <w:szCs w:val="21"/>
                      <w:highlight w:val="none"/>
                      <w:vertAlign w:val="baseline"/>
                      <w:lang w:val="en-US" w:eastAsia="zh-CN"/>
                    </w:rPr>
                    <w:t>，储煤量26.4万吨</w:t>
                  </w:r>
                </w:p>
              </w:tc>
              <w:tc>
                <w:tcPr>
                  <w:tcW w:w="1011" w:type="pct"/>
                  <w:tcBorders>
                    <w:tl2br w:val="nil"/>
                    <w:tr2bl w:val="nil"/>
                  </w:tcBorders>
                  <w:vAlign w:val="center"/>
                </w:tcPr>
                <w:p w14:paraId="6D54634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2ACA2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734BDD7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1DEF951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重油储场</w:t>
                  </w:r>
                </w:p>
              </w:tc>
              <w:tc>
                <w:tcPr>
                  <w:tcW w:w="2166" w:type="pct"/>
                  <w:tcBorders>
                    <w:tl2br w:val="nil"/>
                    <w:tr2bl w:val="nil"/>
                  </w:tcBorders>
                  <w:vAlign w:val="center"/>
                </w:tcPr>
                <w:p w14:paraId="225A9A6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4000m</w:t>
                  </w:r>
                  <w:r>
                    <w:rPr>
                      <w:rFonts w:hint="eastAsia"/>
                      <w:sz w:val="21"/>
                      <w:szCs w:val="21"/>
                      <w:highlight w:val="none"/>
                      <w:vertAlign w:val="superscript"/>
                      <w:lang w:val="en-US" w:eastAsia="zh-CN"/>
                    </w:rPr>
                    <w:t>2</w:t>
                  </w:r>
                  <w:r>
                    <w:rPr>
                      <w:rFonts w:hint="eastAsia"/>
                      <w:sz w:val="21"/>
                      <w:szCs w:val="21"/>
                      <w:highlight w:val="none"/>
                      <w:vertAlign w:val="baseline"/>
                      <w:lang w:val="en-US" w:eastAsia="zh-CN"/>
                    </w:rPr>
                    <w:t>，2个1000m</w:t>
                  </w:r>
                  <w:r>
                    <w:rPr>
                      <w:rFonts w:hint="eastAsia"/>
                      <w:sz w:val="21"/>
                      <w:szCs w:val="21"/>
                      <w:highlight w:val="none"/>
                      <w:vertAlign w:val="superscript"/>
                      <w:lang w:val="en-US" w:eastAsia="zh-CN"/>
                    </w:rPr>
                    <w:t>3</w:t>
                  </w:r>
                  <w:r>
                    <w:rPr>
                      <w:rFonts w:hint="eastAsia"/>
                      <w:sz w:val="21"/>
                      <w:szCs w:val="21"/>
                      <w:highlight w:val="none"/>
                      <w:vertAlign w:val="baseline"/>
                      <w:lang w:val="en-US" w:eastAsia="zh-CN"/>
                    </w:rPr>
                    <w:t>储罐</w:t>
                  </w:r>
                </w:p>
              </w:tc>
              <w:tc>
                <w:tcPr>
                  <w:tcW w:w="1011" w:type="pct"/>
                  <w:tcBorders>
                    <w:tl2br w:val="nil"/>
                    <w:tr2bl w:val="nil"/>
                  </w:tcBorders>
                  <w:vAlign w:val="center"/>
                </w:tcPr>
                <w:p w14:paraId="538E88F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4A5590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32DB918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790FFB5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轻油储场</w:t>
                  </w:r>
                </w:p>
              </w:tc>
              <w:tc>
                <w:tcPr>
                  <w:tcW w:w="2166" w:type="pct"/>
                  <w:tcBorders>
                    <w:tl2br w:val="nil"/>
                    <w:tr2bl w:val="nil"/>
                  </w:tcBorders>
                  <w:vAlign w:val="center"/>
                </w:tcPr>
                <w:p w14:paraId="10B0CD0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2个1000m3储罐，4000m</w:t>
                  </w:r>
                  <w:r>
                    <w:rPr>
                      <w:rFonts w:hint="eastAsia"/>
                      <w:sz w:val="21"/>
                      <w:szCs w:val="21"/>
                      <w:highlight w:val="none"/>
                      <w:vertAlign w:val="superscript"/>
                      <w:lang w:val="en-US" w:eastAsia="zh-CN"/>
                    </w:rPr>
                    <w:t>2</w:t>
                  </w:r>
                </w:p>
              </w:tc>
              <w:tc>
                <w:tcPr>
                  <w:tcW w:w="1011" w:type="pct"/>
                  <w:tcBorders>
                    <w:tl2br w:val="nil"/>
                    <w:tr2bl w:val="nil"/>
                  </w:tcBorders>
                  <w:vAlign w:val="center"/>
                </w:tcPr>
                <w:p w14:paraId="6C88577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4DD1BA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6C8BE64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5DE036B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二期、三期氢站</w:t>
                  </w:r>
                </w:p>
              </w:tc>
              <w:tc>
                <w:tcPr>
                  <w:tcW w:w="2166" w:type="pct"/>
                  <w:tcBorders>
                    <w:tl2br w:val="nil"/>
                    <w:tr2bl w:val="nil"/>
                  </w:tcBorders>
                  <w:vAlign w:val="center"/>
                </w:tcPr>
                <w:p w14:paraId="16A1E1D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200个40L气瓶，200m</w:t>
                  </w:r>
                  <w:r>
                    <w:rPr>
                      <w:rFonts w:hint="eastAsia" w:ascii="Times New Roman" w:hAnsi="Times New Roman" w:eastAsia="宋体" w:cs="Times New Roman"/>
                      <w:sz w:val="21"/>
                      <w:szCs w:val="21"/>
                      <w:highlight w:val="none"/>
                      <w:vertAlign w:val="superscript"/>
                      <w:lang w:val="en-US" w:eastAsia="zh-CN"/>
                    </w:rPr>
                    <w:t>2</w:t>
                  </w:r>
                </w:p>
              </w:tc>
              <w:tc>
                <w:tcPr>
                  <w:tcW w:w="1011" w:type="pct"/>
                  <w:tcBorders>
                    <w:tl2br w:val="nil"/>
                    <w:tr2bl w:val="nil"/>
                  </w:tcBorders>
                  <w:vAlign w:val="center"/>
                </w:tcPr>
                <w:p w14:paraId="62E083F5">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3391D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56C9417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3D633E50">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一期锅炉净水站</w:t>
                  </w:r>
                </w:p>
              </w:tc>
              <w:tc>
                <w:tcPr>
                  <w:tcW w:w="2166" w:type="pct"/>
                  <w:tcBorders>
                    <w:tl2br w:val="nil"/>
                    <w:tr2bl w:val="nil"/>
                  </w:tcBorders>
                  <w:vAlign w:val="center"/>
                </w:tcPr>
                <w:p w14:paraId="4EC84EF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占地面积5850m</w:t>
                  </w:r>
                  <w:r>
                    <w:rPr>
                      <w:rFonts w:hint="eastAsia" w:ascii="Times New Roman" w:hAnsi="Times New Roman" w:eastAsia="宋体" w:cs="Times New Roman"/>
                      <w:sz w:val="21"/>
                      <w:szCs w:val="21"/>
                      <w:highlight w:val="none"/>
                      <w:vertAlign w:val="superscript"/>
                      <w:lang w:val="en-US" w:eastAsia="zh-CN"/>
                    </w:rPr>
                    <w:t>2</w:t>
                  </w:r>
                </w:p>
              </w:tc>
              <w:tc>
                <w:tcPr>
                  <w:tcW w:w="1011" w:type="pct"/>
                  <w:tcBorders>
                    <w:tl2br w:val="nil"/>
                    <w:tr2bl w:val="nil"/>
                  </w:tcBorders>
                  <w:vAlign w:val="center"/>
                </w:tcPr>
                <w:p w14:paraId="778A0065">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一期锅炉供水</w:t>
                  </w:r>
                </w:p>
              </w:tc>
            </w:tr>
            <w:tr w14:paraId="6BD851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4D8C4EE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5CAC16D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二期、三期锅炉净水站</w:t>
                  </w:r>
                </w:p>
              </w:tc>
              <w:tc>
                <w:tcPr>
                  <w:tcW w:w="2166" w:type="pct"/>
                  <w:tcBorders>
                    <w:tl2br w:val="nil"/>
                    <w:tr2bl w:val="nil"/>
                  </w:tcBorders>
                  <w:vAlign w:val="center"/>
                </w:tcPr>
                <w:p w14:paraId="55D50A0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占地面积5000m</w:t>
                  </w:r>
                  <w:r>
                    <w:rPr>
                      <w:rFonts w:hint="eastAsia" w:ascii="Times New Roman" w:hAnsi="Times New Roman" w:eastAsia="宋体" w:cs="Times New Roman"/>
                      <w:sz w:val="21"/>
                      <w:szCs w:val="21"/>
                      <w:highlight w:val="none"/>
                      <w:vertAlign w:val="superscript"/>
                      <w:lang w:val="en-US" w:eastAsia="zh-CN"/>
                    </w:rPr>
                    <w:t>2</w:t>
                  </w:r>
                </w:p>
              </w:tc>
              <w:tc>
                <w:tcPr>
                  <w:tcW w:w="1011" w:type="pct"/>
                  <w:tcBorders>
                    <w:tl2br w:val="nil"/>
                    <w:tr2bl w:val="nil"/>
                  </w:tcBorders>
                  <w:vAlign w:val="center"/>
                </w:tcPr>
                <w:p w14:paraId="1E735BC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二期、三期锅炉供水</w:t>
                  </w:r>
                </w:p>
              </w:tc>
            </w:tr>
            <w:tr w14:paraId="780AF8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254AD6E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5BEC684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一期升压站</w:t>
                  </w:r>
                </w:p>
              </w:tc>
              <w:tc>
                <w:tcPr>
                  <w:tcW w:w="2166" w:type="pct"/>
                  <w:tcBorders>
                    <w:tl2br w:val="nil"/>
                    <w:tr2bl w:val="nil"/>
                  </w:tcBorders>
                  <w:vAlign w:val="center"/>
                </w:tcPr>
                <w:p w14:paraId="0CA5026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21450m</w:t>
                  </w:r>
                  <w:r>
                    <w:rPr>
                      <w:rFonts w:hint="eastAsia" w:ascii="Times New Roman" w:hAnsi="Times New Roman" w:eastAsia="宋体" w:cs="Times New Roman"/>
                      <w:sz w:val="21"/>
                      <w:szCs w:val="21"/>
                      <w:highlight w:val="none"/>
                      <w:vertAlign w:val="superscript"/>
                      <w:lang w:val="en-US" w:eastAsia="zh-CN"/>
                    </w:rPr>
                    <w:t>2</w:t>
                  </w:r>
                </w:p>
              </w:tc>
              <w:tc>
                <w:tcPr>
                  <w:tcW w:w="1011" w:type="pct"/>
                  <w:tcBorders>
                    <w:tl2br w:val="nil"/>
                    <w:tr2bl w:val="nil"/>
                  </w:tcBorders>
                  <w:vAlign w:val="center"/>
                </w:tcPr>
                <w:p w14:paraId="41736F4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0F9359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047CEF4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5FB666B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二期升压站</w:t>
                  </w:r>
                </w:p>
              </w:tc>
              <w:tc>
                <w:tcPr>
                  <w:tcW w:w="2166" w:type="pct"/>
                  <w:tcBorders>
                    <w:tl2br w:val="nil"/>
                    <w:tr2bl w:val="nil"/>
                  </w:tcBorders>
                  <w:vAlign w:val="center"/>
                </w:tcPr>
                <w:p w14:paraId="0D5F8D5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10800m</w:t>
                  </w:r>
                  <w:r>
                    <w:rPr>
                      <w:rFonts w:hint="eastAsia" w:ascii="Times New Roman" w:hAnsi="Times New Roman" w:eastAsia="宋体" w:cs="Times New Roman"/>
                      <w:sz w:val="21"/>
                      <w:szCs w:val="21"/>
                      <w:highlight w:val="none"/>
                      <w:vertAlign w:val="superscript"/>
                      <w:lang w:val="en-US" w:eastAsia="zh-CN"/>
                    </w:rPr>
                    <w:t>2</w:t>
                  </w:r>
                </w:p>
              </w:tc>
              <w:tc>
                <w:tcPr>
                  <w:tcW w:w="1011" w:type="pct"/>
                  <w:tcBorders>
                    <w:tl2br w:val="nil"/>
                    <w:tr2bl w:val="nil"/>
                  </w:tcBorders>
                  <w:vAlign w:val="center"/>
                </w:tcPr>
                <w:p w14:paraId="4693CF8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16CF13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5F073AC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3F464210">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三期升压站</w:t>
                  </w:r>
                </w:p>
              </w:tc>
              <w:tc>
                <w:tcPr>
                  <w:tcW w:w="2166" w:type="pct"/>
                  <w:tcBorders>
                    <w:tl2br w:val="nil"/>
                    <w:tr2bl w:val="nil"/>
                  </w:tcBorders>
                  <w:vAlign w:val="center"/>
                </w:tcPr>
                <w:p w14:paraId="14A9121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7739m</w:t>
                  </w:r>
                  <w:r>
                    <w:rPr>
                      <w:rFonts w:hint="eastAsia" w:ascii="Times New Roman" w:hAnsi="Times New Roman" w:eastAsia="宋体" w:cs="Times New Roman"/>
                      <w:sz w:val="21"/>
                      <w:szCs w:val="21"/>
                      <w:highlight w:val="none"/>
                      <w:vertAlign w:val="superscript"/>
                      <w:lang w:val="en-US" w:eastAsia="zh-CN"/>
                    </w:rPr>
                    <w:t>2</w:t>
                  </w:r>
                </w:p>
              </w:tc>
              <w:tc>
                <w:tcPr>
                  <w:tcW w:w="1011" w:type="pct"/>
                  <w:tcBorders>
                    <w:tl2br w:val="nil"/>
                    <w:tr2bl w:val="nil"/>
                  </w:tcBorders>
                  <w:vAlign w:val="center"/>
                </w:tcPr>
                <w:p w14:paraId="3F330D9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434FB3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restart"/>
                  <w:tcBorders>
                    <w:tl2br w:val="nil"/>
                    <w:tr2bl w:val="nil"/>
                  </w:tcBorders>
                  <w:vAlign w:val="center"/>
                </w:tcPr>
                <w:p w14:paraId="24F16B5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公用工程</w:t>
                  </w:r>
                </w:p>
              </w:tc>
              <w:tc>
                <w:tcPr>
                  <w:tcW w:w="1133" w:type="pct"/>
                  <w:tcBorders>
                    <w:tl2br w:val="nil"/>
                    <w:tr2bl w:val="nil"/>
                  </w:tcBorders>
                  <w:vAlign w:val="center"/>
                </w:tcPr>
                <w:p w14:paraId="66A51C7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给排水</w:t>
                  </w:r>
                </w:p>
              </w:tc>
              <w:tc>
                <w:tcPr>
                  <w:tcW w:w="3177" w:type="pct"/>
                  <w:gridSpan w:val="2"/>
                  <w:tcBorders>
                    <w:tl2br w:val="nil"/>
                    <w:tr2bl w:val="nil"/>
                  </w:tcBorders>
                  <w:vAlign w:val="center"/>
                </w:tcPr>
                <w:p w14:paraId="47772F6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r>
                    <w:rPr>
                      <w:rFonts w:hint="eastAsia"/>
                      <w:sz w:val="21"/>
                      <w:szCs w:val="21"/>
                      <w:highlight w:val="none"/>
                      <w:vertAlign w:val="baseline"/>
                      <w:lang w:val="en-US" w:eastAsia="zh-CN"/>
                    </w:rPr>
                    <w:t>二期供水水源为芭蕉湖，长江为补充水源，循环冷却水排入芭蕉湖；一期、三期供水水源为长江，循环冷却水排入长江。一期、二期雨水排芭蕉湖；三期雨水排长江</w:t>
                  </w:r>
                </w:p>
              </w:tc>
            </w:tr>
            <w:tr w14:paraId="2C28E4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55705ED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34BFC4A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消防给水池</w:t>
                  </w:r>
                </w:p>
              </w:tc>
              <w:tc>
                <w:tcPr>
                  <w:tcW w:w="2166" w:type="pct"/>
                  <w:tcBorders>
                    <w:tl2br w:val="nil"/>
                    <w:tr2bl w:val="nil"/>
                  </w:tcBorders>
                  <w:vAlign w:val="center"/>
                </w:tcPr>
                <w:p w14:paraId="580DFF9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2个1000m</w:t>
                  </w:r>
                  <w:r>
                    <w:rPr>
                      <w:rFonts w:hint="eastAsia"/>
                      <w:sz w:val="21"/>
                      <w:szCs w:val="21"/>
                      <w:highlight w:val="none"/>
                      <w:vertAlign w:val="superscript"/>
                      <w:lang w:val="en-US" w:eastAsia="zh-CN"/>
                    </w:rPr>
                    <w:t>3</w:t>
                  </w:r>
                  <w:r>
                    <w:rPr>
                      <w:rFonts w:hint="eastAsia"/>
                      <w:sz w:val="21"/>
                      <w:szCs w:val="21"/>
                      <w:highlight w:val="none"/>
                      <w:vertAlign w:val="baseline"/>
                      <w:lang w:val="en-US" w:eastAsia="zh-CN"/>
                    </w:rPr>
                    <w:t>消防给水池，共2000m</w:t>
                  </w:r>
                  <w:r>
                    <w:rPr>
                      <w:rFonts w:hint="eastAsia"/>
                      <w:sz w:val="21"/>
                      <w:szCs w:val="21"/>
                      <w:highlight w:val="none"/>
                      <w:vertAlign w:val="superscript"/>
                      <w:lang w:val="en-US" w:eastAsia="zh-CN"/>
                    </w:rPr>
                    <w:t>3</w:t>
                  </w:r>
                </w:p>
              </w:tc>
              <w:tc>
                <w:tcPr>
                  <w:tcW w:w="1011" w:type="pct"/>
                  <w:tcBorders>
                    <w:tl2br w:val="nil"/>
                    <w:tr2bl w:val="nil"/>
                  </w:tcBorders>
                  <w:vAlign w:val="center"/>
                </w:tcPr>
                <w:p w14:paraId="5E34A13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70C39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restart"/>
                  <w:tcBorders>
                    <w:tl2br w:val="nil"/>
                    <w:tr2bl w:val="nil"/>
                  </w:tcBorders>
                  <w:vAlign w:val="center"/>
                </w:tcPr>
                <w:p w14:paraId="529F3D8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环保工程</w:t>
                  </w:r>
                </w:p>
              </w:tc>
              <w:tc>
                <w:tcPr>
                  <w:tcW w:w="1133" w:type="pct"/>
                  <w:tcBorders>
                    <w:tl2br w:val="nil"/>
                    <w:tr2bl w:val="nil"/>
                  </w:tcBorders>
                  <w:vAlign w:val="center"/>
                </w:tcPr>
                <w:p w14:paraId="67A236E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全厂污水处理站</w:t>
                  </w:r>
                </w:p>
              </w:tc>
              <w:tc>
                <w:tcPr>
                  <w:tcW w:w="2166" w:type="pct"/>
                  <w:tcBorders>
                    <w:tl2br w:val="nil"/>
                    <w:tr2bl w:val="nil"/>
                  </w:tcBorders>
                  <w:vAlign w:val="center"/>
                </w:tcPr>
                <w:p w14:paraId="74E58D8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处理规模200m</w:t>
                  </w:r>
                  <w:r>
                    <w:rPr>
                      <w:rFonts w:hint="eastAsia"/>
                      <w:sz w:val="21"/>
                      <w:szCs w:val="21"/>
                      <w:highlight w:val="none"/>
                      <w:vertAlign w:val="superscript"/>
                      <w:lang w:val="en-US" w:eastAsia="zh-CN"/>
                    </w:rPr>
                    <w:t>3</w:t>
                  </w:r>
                  <w:r>
                    <w:rPr>
                      <w:rFonts w:hint="eastAsia"/>
                      <w:sz w:val="21"/>
                      <w:szCs w:val="21"/>
                      <w:highlight w:val="none"/>
                      <w:vertAlign w:val="baseline"/>
                      <w:lang w:val="en-US" w:eastAsia="zh-CN"/>
                    </w:rPr>
                    <w:t>/h</w:t>
                  </w:r>
                </w:p>
              </w:tc>
              <w:tc>
                <w:tcPr>
                  <w:tcW w:w="1011" w:type="pct"/>
                  <w:tcBorders>
                    <w:tl2br w:val="nil"/>
                    <w:tr2bl w:val="nil"/>
                  </w:tcBorders>
                  <w:vAlign w:val="center"/>
                </w:tcPr>
                <w:p w14:paraId="6ECB99B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4E4313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0BE8C58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66A3410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煤场废水处理站</w:t>
                  </w:r>
                </w:p>
              </w:tc>
              <w:tc>
                <w:tcPr>
                  <w:tcW w:w="2166" w:type="pct"/>
                  <w:tcBorders>
                    <w:tl2br w:val="nil"/>
                    <w:tr2bl w:val="nil"/>
                  </w:tcBorders>
                  <w:vAlign w:val="center"/>
                </w:tcPr>
                <w:p w14:paraId="5BBC20F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主要处理酸碱废水、锅炉排污废水、煤场废水处理，处理能力50m</w:t>
                  </w:r>
                  <w:r>
                    <w:rPr>
                      <w:rFonts w:hint="eastAsia"/>
                      <w:sz w:val="21"/>
                      <w:szCs w:val="21"/>
                      <w:highlight w:val="none"/>
                      <w:vertAlign w:val="superscript"/>
                      <w:lang w:val="en-US" w:eastAsia="zh-CN"/>
                    </w:rPr>
                    <w:t>3</w:t>
                  </w:r>
                  <w:r>
                    <w:rPr>
                      <w:rFonts w:hint="eastAsia"/>
                      <w:sz w:val="21"/>
                      <w:szCs w:val="21"/>
                      <w:highlight w:val="none"/>
                      <w:vertAlign w:val="baseline"/>
                      <w:lang w:val="en-US" w:eastAsia="zh-CN"/>
                    </w:rPr>
                    <w:t>/h</w:t>
                  </w:r>
                </w:p>
              </w:tc>
              <w:tc>
                <w:tcPr>
                  <w:tcW w:w="1011" w:type="pct"/>
                  <w:tcBorders>
                    <w:tl2br w:val="nil"/>
                    <w:tr2bl w:val="nil"/>
                  </w:tcBorders>
                  <w:vAlign w:val="center"/>
                </w:tcPr>
                <w:p w14:paraId="71F899C0">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p>
              </w:tc>
            </w:tr>
            <w:tr w14:paraId="139132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6017E70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41AD43A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生活污水处理站</w:t>
                  </w:r>
                </w:p>
              </w:tc>
              <w:tc>
                <w:tcPr>
                  <w:tcW w:w="2166" w:type="pct"/>
                  <w:tcBorders>
                    <w:tl2br w:val="nil"/>
                    <w:tr2bl w:val="nil"/>
                  </w:tcBorders>
                  <w:vAlign w:val="center"/>
                </w:tcPr>
                <w:p w14:paraId="3FBA59D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全厂生活污水处理，处理能力20m</w:t>
                  </w:r>
                  <w:r>
                    <w:rPr>
                      <w:rFonts w:hint="eastAsia"/>
                      <w:sz w:val="21"/>
                      <w:szCs w:val="21"/>
                      <w:highlight w:val="none"/>
                      <w:vertAlign w:val="superscript"/>
                      <w:lang w:val="en-US" w:eastAsia="zh-CN"/>
                    </w:rPr>
                    <w:t>3</w:t>
                  </w:r>
                  <w:r>
                    <w:rPr>
                      <w:rFonts w:hint="eastAsia"/>
                      <w:sz w:val="21"/>
                      <w:szCs w:val="21"/>
                      <w:highlight w:val="none"/>
                      <w:vertAlign w:val="baseline"/>
                      <w:lang w:val="en-US" w:eastAsia="zh-CN"/>
                    </w:rPr>
                    <w:t>/h</w:t>
                  </w:r>
                </w:p>
              </w:tc>
              <w:tc>
                <w:tcPr>
                  <w:tcW w:w="1011" w:type="pct"/>
                  <w:tcBorders>
                    <w:tl2br w:val="nil"/>
                    <w:tr2bl w:val="nil"/>
                  </w:tcBorders>
                  <w:vAlign w:val="center"/>
                </w:tcPr>
                <w:p w14:paraId="08A6664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2087B7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767DE22A">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0EB3BC3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污水收集池</w:t>
                  </w:r>
                </w:p>
              </w:tc>
              <w:tc>
                <w:tcPr>
                  <w:tcW w:w="2166" w:type="pct"/>
                  <w:tcBorders>
                    <w:tl2br w:val="nil"/>
                    <w:tr2bl w:val="nil"/>
                  </w:tcBorders>
                  <w:vAlign w:val="center"/>
                </w:tcPr>
                <w:p w14:paraId="11D74CE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全厂工业废水收集，总容积10000m</w:t>
                  </w:r>
                  <w:r>
                    <w:rPr>
                      <w:rFonts w:hint="eastAsia"/>
                      <w:sz w:val="21"/>
                      <w:szCs w:val="21"/>
                      <w:highlight w:val="none"/>
                      <w:vertAlign w:val="superscript"/>
                      <w:lang w:val="en-US" w:eastAsia="zh-CN"/>
                    </w:rPr>
                    <w:t>3</w:t>
                  </w:r>
                </w:p>
              </w:tc>
              <w:tc>
                <w:tcPr>
                  <w:tcW w:w="1011" w:type="pct"/>
                  <w:tcBorders>
                    <w:tl2br w:val="nil"/>
                    <w:tr2bl w:val="nil"/>
                  </w:tcBorders>
                  <w:vAlign w:val="center"/>
                </w:tcPr>
                <w:p w14:paraId="617982F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5F64A8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58C9F3D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1072616F">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一期脱硫</w:t>
                  </w:r>
                </w:p>
                <w:p w14:paraId="0A0DF1A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废水处理站</w:t>
                  </w:r>
                </w:p>
              </w:tc>
              <w:tc>
                <w:tcPr>
                  <w:tcW w:w="2166" w:type="pct"/>
                  <w:tcBorders>
                    <w:tl2br w:val="nil"/>
                    <w:tr2bl w:val="nil"/>
                  </w:tcBorders>
                  <w:vAlign w:val="center"/>
                </w:tcPr>
                <w:p w14:paraId="2A50AE9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一期脱硫废水循环利用，1套</w:t>
                  </w:r>
                </w:p>
              </w:tc>
              <w:tc>
                <w:tcPr>
                  <w:tcW w:w="1011" w:type="pct"/>
                  <w:tcBorders>
                    <w:tl2br w:val="nil"/>
                    <w:tr2bl w:val="nil"/>
                  </w:tcBorders>
                  <w:vAlign w:val="center"/>
                </w:tcPr>
                <w:p w14:paraId="11B7CF9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07244F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138C92E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4F12D62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二期脱硫</w:t>
                  </w:r>
                </w:p>
                <w:p w14:paraId="749869F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废水处理站</w:t>
                  </w:r>
                </w:p>
              </w:tc>
              <w:tc>
                <w:tcPr>
                  <w:tcW w:w="2166" w:type="pct"/>
                  <w:tcBorders>
                    <w:tl2br w:val="nil"/>
                    <w:tr2bl w:val="nil"/>
                  </w:tcBorders>
                  <w:vAlign w:val="center"/>
                </w:tcPr>
                <w:p w14:paraId="6EE06DE0">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二期脱硫废水循环利用，1套</w:t>
                  </w:r>
                </w:p>
              </w:tc>
              <w:tc>
                <w:tcPr>
                  <w:tcW w:w="1011" w:type="pct"/>
                  <w:tcBorders>
                    <w:tl2br w:val="nil"/>
                    <w:tr2bl w:val="nil"/>
                  </w:tcBorders>
                  <w:vAlign w:val="center"/>
                </w:tcPr>
                <w:p w14:paraId="2692593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62E05D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5CCCC2C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1E508F30">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三期脱硫</w:t>
                  </w:r>
                </w:p>
                <w:p w14:paraId="62F74D7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废水处理站</w:t>
                  </w:r>
                </w:p>
              </w:tc>
              <w:tc>
                <w:tcPr>
                  <w:tcW w:w="2166" w:type="pct"/>
                  <w:tcBorders>
                    <w:tl2br w:val="nil"/>
                    <w:tr2bl w:val="nil"/>
                  </w:tcBorders>
                  <w:vAlign w:val="center"/>
                </w:tcPr>
                <w:p w14:paraId="25A55F2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三期脱硫废水循环利用，1套</w:t>
                  </w:r>
                </w:p>
              </w:tc>
              <w:tc>
                <w:tcPr>
                  <w:tcW w:w="1011" w:type="pct"/>
                  <w:tcBorders>
                    <w:tl2br w:val="nil"/>
                    <w:tr2bl w:val="nil"/>
                  </w:tcBorders>
                  <w:vAlign w:val="center"/>
                </w:tcPr>
                <w:p w14:paraId="3EBE45D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609EF1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4EFC033F">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398B2FE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重油储场</w:t>
                  </w:r>
                </w:p>
                <w:p w14:paraId="547B86CA">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油污废水处理站</w:t>
                  </w:r>
                </w:p>
              </w:tc>
              <w:tc>
                <w:tcPr>
                  <w:tcW w:w="2166" w:type="pct"/>
                  <w:tcBorders>
                    <w:tl2br w:val="nil"/>
                    <w:tr2bl w:val="nil"/>
                  </w:tcBorders>
                  <w:vAlign w:val="center"/>
                </w:tcPr>
                <w:p w14:paraId="2B229B2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重油罐区含油废水处理，处理能力5m</w:t>
                  </w:r>
                  <w:r>
                    <w:rPr>
                      <w:rFonts w:hint="eastAsia"/>
                      <w:sz w:val="21"/>
                      <w:szCs w:val="21"/>
                      <w:highlight w:val="none"/>
                      <w:vertAlign w:val="superscript"/>
                      <w:lang w:val="en-US" w:eastAsia="zh-CN"/>
                    </w:rPr>
                    <w:t>3</w:t>
                  </w:r>
                  <w:r>
                    <w:rPr>
                      <w:rFonts w:hint="eastAsia"/>
                      <w:sz w:val="21"/>
                      <w:szCs w:val="21"/>
                      <w:highlight w:val="none"/>
                      <w:vertAlign w:val="baseline"/>
                      <w:lang w:val="en-US" w:eastAsia="zh-CN"/>
                    </w:rPr>
                    <w:t>/h</w:t>
                  </w:r>
                </w:p>
              </w:tc>
              <w:tc>
                <w:tcPr>
                  <w:tcW w:w="1011" w:type="pct"/>
                  <w:tcBorders>
                    <w:tl2br w:val="nil"/>
                    <w:tr2bl w:val="nil"/>
                  </w:tcBorders>
                  <w:vAlign w:val="center"/>
                </w:tcPr>
                <w:p w14:paraId="79E96E4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2A32CE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5178787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158D9BE0">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轻油储场</w:t>
                  </w:r>
                </w:p>
                <w:p w14:paraId="20A5491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油污废水处理站</w:t>
                  </w:r>
                </w:p>
              </w:tc>
              <w:tc>
                <w:tcPr>
                  <w:tcW w:w="2166" w:type="pct"/>
                  <w:tcBorders>
                    <w:tl2br w:val="nil"/>
                    <w:tr2bl w:val="nil"/>
                  </w:tcBorders>
                  <w:vAlign w:val="center"/>
                </w:tcPr>
                <w:p w14:paraId="4ECB6D0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轻油罐区含油废水处理，处理能力5m</w:t>
                  </w:r>
                  <w:r>
                    <w:rPr>
                      <w:rFonts w:hint="eastAsia"/>
                      <w:sz w:val="21"/>
                      <w:szCs w:val="21"/>
                      <w:highlight w:val="none"/>
                      <w:vertAlign w:val="superscript"/>
                      <w:lang w:val="en-US" w:eastAsia="zh-CN"/>
                    </w:rPr>
                    <w:t>3</w:t>
                  </w:r>
                  <w:r>
                    <w:rPr>
                      <w:rFonts w:hint="eastAsia"/>
                      <w:sz w:val="21"/>
                      <w:szCs w:val="21"/>
                      <w:highlight w:val="none"/>
                      <w:vertAlign w:val="baseline"/>
                      <w:lang w:val="en-US" w:eastAsia="zh-CN"/>
                    </w:rPr>
                    <w:t>/h</w:t>
                  </w:r>
                </w:p>
              </w:tc>
              <w:tc>
                <w:tcPr>
                  <w:tcW w:w="1011" w:type="pct"/>
                  <w:tcBorders>
                    <w:tl2br w:val="nil"/>
                    <w:tr2bl w:val="nil"/>
                  </w:tcBorders>
                  <w:vAlign w:val="center"/>
                </w:tcPr>
                <w:p w14:paraId="20CB569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4D9D1B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06D91B0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1C6E8D9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石灰石-石膏湿法脱硫装置</w:t>
                  </w:r>
                </w:p>
              </w:tc>
              <w:tc>
                <w:tcPr>
                  <w:tcW w:w="2166" w:type="pct"/>
                  <w:tcBorders>
                    <w:tl2br w:val="nil"/>
                    <w:tr2bl w:val="nil"/>
                  </w:tcBorders>
                  <w:vAlign w:val="center"/>
                </w:tcPr>
                <w:p w14:paraId="18046C4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6套</w:t>
                  </w:r>
                </w:p>
              </w:tc>
              <w:tc>
                <w:tcPr>
                  <w:tcW w:w="1011" w:type="pct"/>
                  <w:tcBorders>
                    <w:tl2br w:val="nil"/>
                    <w:tr2bl w:val="nil"/>
                  </w:tcBorders>
                  <w:vAlign w:val="center"/>
                </w:tcPr>
                <w:p w14:paraId="495340C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472482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03DD420A">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73D720C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静电除尘器系统</w:t>
                  </w:r>
                </w:p>
              </w:tc>
              <w:tc>
                <w:tcPr>
                  <w:tcW w:w="2166" w:type="pct"/>
                  <w:tcBorders>
                    <w:tl2br w:val="nil"/>
                    <w:tr2bl w:val="nil"/>
                  </w:tcBorders>
                  <w:vAlign w:val="center"/>
                </w:tcPr>
                <w:p w14:paraId="5DDBBB3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r>
                    <w:rPr>
                      <w:rFonts w:hint="eastAsia"/>
                      <w:sz w:val="21"/>
                      <w:szCs w:val="21"/>
                      <w:highlight w:val="none"/>
                      <w:vertAlign w:val="baseline"/>
                      <w:lang w:val="en-US" w:eastAsia="zh-CN"/>
                    </w:rPr>
                    <w:t>6套</w:t>
                  </w:r>
                </w:p>
              </w:tc>
              <w:tc>
                <w:tcPr>
                  <w:tcW w:w="1011" w:type="pct"/>
                  <w:tcBorders>
                    <w:tl2br w:val="nil"/>
                    <w:tr2bl w:val="nil"/>
                  </w:tcBorders>
                  <w:vAlign w:val="center"/>
                </w:tcPr>
                <w:p w14:paraId="5808833F">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79F067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667FB77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69E3DF1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SCR脱硝装置</w:t>
                  </w:r>
                </w:p>
              </w:tc>
              <w:tc>
                <w:tcPr>
                  <w:tcW w:w="2166" w:type="pct"/>
                  <w:tcBorders>
                    <w:tl2br w:val="nil"/>
                    <w:tr2bl w:val="nil"/>
                  </w:tcBorders>
                  <w:vAlign w:val="center"/>
                </w:tcPr>
                <w:p w14:paraId="7DEFB18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r>
                    <w:rPr>
                      <w:rFonts w:hint="eastAsia"/>
                      <w:sz w:val="21"/>
                      <w:szCs w:val="21"/>
                      <w:highlight w:val="none"/>
                      <w:vertAlign w:val="baseline"/>
                      <w:lang w:val="en-US" w:eastAsia="zh-CN"/>
                    </w:rPr>
                    <w:t>6套</w:t>
                  </w:r>
                </w:p>
              </w:tc>
              <w:tc>
                <w:tcPr>
                  <w:tcW w:w="1011" w:type="pct"/>
                  <w:tcBorders>
                    <w:tl2br w:val="nil"/>
                    <w:tr2bl w:val="nil"/>
                  </w:tcBorders>
                  <w:vAlign w:val="center"/>
                </w:tcPr>
                <w:p w14:paraId="41E4C42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7F24F5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l2br w:val="nil"/>
                    <w:tr2bl w:val="nil"/>
                  </w:tcBorders>
                  <w:vAlign w:val="center"/>
                </w:tcPr>
                <w:p w14:paraId="57A427A5">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6824D71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灰场</w:t>
                  </w:r>
                </w:p>
              </w:tc>
              <w:tc>
                <w:tcPr>
                  <w:tcW w:w="2166" w:type="pct"/>
                  <w:tcBorders>
                    <w:tl2br w:val="nil"/>
                    <w:tr2bl w:val="nil"/>
                  </w:tcBorders>
                  <w:vAlign w:val="center"/>
                </w:tcPr>
                <w:p w14:paraId="131B6F8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106.6hm</w:t>
                  </w:r>
                  <w:r>
                    <w:rPr>
                      <w:rFonts w:hint="eastAsia"/>
                      <w:sz w:val="21"/>
                      <w:szCs w:val="21"/>
                      <w:highlight w:val="none"/>
                      <w:vertAlign w:val="superscript"/>
                      <w:lang w:val="en-US" w:eastAsia="zh-CN"/>
                    </w:rPr>
                    <w:t>2</w:t>
                  </w:r>
                </w:p>
              </w:tc>
              <w:tc>
                <w:tcPr>
                  <w:tcW w:w="1011" w:type="pct"/>
                  <w:tcBorders>
                    <w:tl2br w:val="nil"/>
                    <w:tr2bl w:val="nil"/>
                  </w:tcBorders>
                  <w:vAlign w:val="center"/>
                </w:tcPr>
                <w:p w14:paraId="7CFE67D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bl>
          <w:p w14:paraId="5456C2F8">
            <w:pPr>
              <w:numPr>
                <w:ilvl w:val="2"/>
                <w:numId w:val="0"/>
              </w:numPr>
              <w:spacing w:before="120" w:beforeLines="50"/>
              <w:rPr>
                <w:b/>
                <w:kern w:val="0"/>
                <w:sz w:val="28"/>
                <w:szCs w:val="28"/>
              </w:rPr>
            </w:pPr>
            <w:r>
              <w:rPr>
                <w:b/>
                <w:kern w:val="0"/>
                <w:sz w:val="28"/>
                <w:szCs w:val="28"/>
              </w:rPr>
              <w:t>1.</w:t>
            </w:r>
            <w:r>
              <w:rPr>
                <w:rFonts w:hint="eastAsia"/>
                <w:b/>
                <w:kern w:val="0"/>
                <w:sz w:val="28"/>
                <w:szCs w:val="28"/>
              </w:rPr>
              <w:t>1现有</w:t>
            </w:r>
            <w:r>
              <w:rPr>
                <w:b/>
                <w:kern w:val="0"/>
                <w:sz w:val="28"/>
                <w:szCs w:val="28"/>
              </w:rPr>
              <w:t>项目环评批复落实情况及竣工环保验收情况</w:t>
            </w:r>
          </w:p>
          <w:p w14:paraId="1F82989C">
            <w:pPr>
              <w:adjustRightInd w:val="0"/>
              <w:snapToGrid w:val="0"/>
              <w:ind w:firstLine="480"/>
              <w:textAlignment w:val="baseline"/>
              <w:rPr>
                <w:color w:val="000000"/>
                <w:sz w:val="24"/>
              </w:rPr>
            </w:pPr>
            <w:r>
              <w:rPr>
                <w:rFonts w:hint="eastAsia"/>
                <w:color w:val="000000"/>
                <w:sz w:val="24"/>
              </w:rPr>
              <w:t>现有项目环保手续办理情况见下表：</w:t>
            </w:r>
          </w:p>
          <w:p w14:paraId="70255D74">
            <w:pPr>
              <w:pStyle w:val="379"/>
              <w:numPr>
                <w:ilvl w:val="0"/>
                <w:numId w:val="18"/>
              </w:numPr>
              <w:tabs>
                <w:tab w:val="clear" w:pos="1139"/>
              </w:tabs>
              <w:spacing w:line="240" w:lineRule="auto"/>
              <w:ind w:firstLineChars="0"/>
              <w:jc w:val="center"/>
              <w:rPr>
                <w:b/>
                <w:sz w:val="24"/>
              </w:rPr>
            </w:pPr>
            <w:r>
              <w:rPr>
                <w:b/>
                <w:sz w:val="24"/>
              </w:rPr>
              <w:t>现有项目环保手续办理情况</w:t>
            </w:r>
            <w:r>
              <w:rPr>
                <w:rFonts w:hint="eastAsia"/>
                <w:b/>
                <w:sz w:val="24"/>
              </w:rPr>
              <w:t>一览表</w:t>
            </w:r>
          </w:p>
          <w:tbl>
            <w:tblPr>
              <w:tblStyle w:val="3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728"/>
              <w:gridCol w:w="2004"/>
              <w:gridCol w:w="1173"/>
              <w:gridCol w:w="1782"/>
            </w:tblGrid>
            <w:tr w14:paraId="0AF90E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111C084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b/>
                      <w:bCs/>
                      <w:sz w:val="21"/>
                      <w:szCs w:val="21"/>
                      <w:highlight w:val="none"/>
                      <w:vertAlign w:val="baseline"/>
                      <w:lang w:val="en-US" w:eastAsia="zh-CN"/>
                    </w:rPr>
                  </w:pPr>
                  <w:r>
                    <w:rPr>
                      <w:rFonts w:hint="eastAsia"/>
                      <w:b/>
                      <w:bCs/>
                      <w:sz w:val="21"/>
                      <w:szCs w:val="21"/>
                      <w:highlight w:val="none"/>
                      <w:vertAlign w:val="baseline"/>
                      <w:lang w:val="en-US" w:eastAsia="zh-CN"/>
                    </w:rPr>
                    <w:t>项目名称</w:t>
                  </w:r>
                </w:p>
              </w:tc>
              <w:tc>
                <w:tcPr>
                  <w:tcW w:w="2004" w:type="dxa"/>
                  <w:tcBorders>
                    <w:tl2br w:val="nil"/>
                    <w:tr2bl w:val="nil"/>
                  </w:tcBorders>
                  <w:vAlign w:val="center"/>
                </w:tcPr>
                <w:p w14:paraId="1E5FF96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b/>
                      <w:bCs/>
                      <w:sz w:val="21"/>
                      <w:szCs w:val="21"/>
                      <w:highlight w:val="none"/>
                      <w:vertAlign w:val="baseline"/>
                      <w:lang w:val="en-US" w:eastAsia="zh-CN"/>
                    </w:rPr>
                  </w:pPr>
                  <w:r>
                    <w:rPr>
                      <w:rFonts w:hint="eastAsia"/>
                      <w:b/>
                      <w:bCs/>
                      <w:sz w:val="21"/>
                      <w:szCs w:val="21"/>
                      <w:highlight w:val="none"/>
                      <w:vertAlign w:val="baseline"/>
                      <w:lang w:val="en-US" w:eastAsia="zh-CN"/>
                    </w:rPr>
                    <w:t>环评批复情况</w:t>
                  </w:r>
                </w:p>
              </w:tc>
              <w:tc>
                <w:tcPr>
                  <w:tcW w:w="1173" w:type="dxa"/>
                  <w:tcBorders>
                    <w:tl2br w:val="nil"/>
                    <w:tr2bl w:val="nil"/>
                  </w:tcBorders>
                  <w:vAlign w:val="center"/>
                </w:tcPr>
                <w:p w14:paraId="2EE7CE10">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b/>
                      <w:bCs/>
                      <w:sz w:val="21"/>
                      <w:szCs w:val="21"/>
                      <w:highlight w:val="none"/>
                      <w:vertAlign w:val="baseline"/>
                      <w:lang w:val="en-US" w:eastAsia="zh-CN"/>
                    </w:rPr>
                  </w:pPr>
                  <w:r>
                    <w:rPr>
                      <w:rFonts w:hint="eastAsia"/>
                      <w:b/>
                      <w:bCs/>
                      <w:sz w:val="21"/>
                      <w:szCs w:val="21"/>
                      <w:highlight w:val="none"/>
                      <w:vertAlign w:val="baseline"/>
                      <w:lang w:val="en-US" w:eastAsia="zh-CN"/>
                    </w:rPr>
                    <w:t>运行情况</w:t>
                  </w:r>
                </w:p>
              </w:tc>
              <w:tc>
                <w:tcPr>
                  <w:tcW w:w="1782" w:type="dxa"/>
                  <w:tcBorders>
                    <w:tl2br w:val="nil"/>
                    <w:tr2bl w:val="nil"/>
                  </w:tcBorders>
                  <w:vAlign w:val="center"/>
                </w:tcPr>
                <w:p w14:paraId="376E8DC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b/>
                      <w:bCs/>
                      <w:sz w:val="21"/>
                      <w:szCs w:val="21"/>
                      <w:highlight w:val="none"/>
                      <w:vertAlign w:val="baseline"/>
                      <w:lang w:val="en-US" w:eastAsia="zh-CN"/>
                    </w:rPr>
                  </w:pPr>
                  <w:r>
                    <w:rPr>
                      <w:rFonts w:hint="eastAsia"/>
                      <w:b/>
                      <w:bCs/>
                      <w:sz w:val="21"/>
                      <w:szCs w:val="21"/>
                      <w:highlight w:val="none"/>
                      <w:vertAlign w:val="baseline"/>
                      <w:lang w:val="en-US" w:eastAsia="zh-CN"/>
                    </w:rPr>
                    <w:t>验收情况</w:t>
                  </w:r>
                </w:p>
              </w:tc>
            </w:tr>
            <w:tr w14:paraId="494473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40125AA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华能岳阳电厂一期工程（2</w:t>
                  </w:r>
                  <w:r>
                    <w:rPr>
                      <w:rFonts w:hint="default" w:ascii="Times New Roman" w:hAnsi="Times New Roman" w:cs="Times New Roman"/>
                      <w:sz w:val="21"/>
                      <w:szCs w:val="21"/>
                      <w:highlight w:val="none"/>
                      <w:vertAlign w:val="baseline"/>
                      <w:lang w:val="en-US" w:eastAsia="zh-CN"/>
                    </w:rPr>
                    <w:t>×</w:t>
                  </w:r>
                  <w:r>
                    <w:rPr>
                      <w:rFonts w:hint="eastAsia"/>
                      <w:sz w:val="21"/>
                      <w:szCs w:val="21"/>
                      <w:highlight w:val="none"/>
                      <w:vertAlign w:val="baseline"/>
                      <w:lang w:val="en-US" w:eastAsia="zh-CN"/>
                    </w:rPr>
                    <w:t>362.5MW）项目</w:t>
                  </w:r>
                </w:p>
              </w:tc>
              <w:tc>
                <w:tcPr>
                  <w:tcW w:w="2004" w:type="dxa"/>
                  <w:tcBorders>
                    <w:tl2br w:val="nil"/>
                    <w:tr2bl w:val="nil"/>
                  </w:tcBorders>
                  <w:vAlign w:val="center"/>
                </w:tcPr>
                <w:p w14:paraId="5D25C71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已批复</w:t>
                  </w:r>
                </w:p>
              </w:tc>
              <w:tc>
                <w:tcPr>
                  <w:tcW w:w="1173" w:type="dxa"/>
                  <w:tcBorders>
                    <w:tl2br w:val="nil"/>
                    <w:tr2bl w:val="nil"/>
                  </w:tcBorders>
                  <w:vAlign w:val="center"/>
                </w:tcPr>
                <w:p w14:paraId="6B9B792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33BCF2F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二期验收同时对一期进行了验收</w:t>
                  </w:r>
                </w:p>
              </w:tc>
            </w:tr>
            <w:tr w14:paraId="6B698F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04A1E5F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华能岳阳电厂二期扩建工程（2</w:t>
                  </w:r>
                  <w:r>
                    <w:rPr>
                      <w:rFonts w:hint="default" w:ascii="Times New Roman" w:hAnsi="Times New Roman" w:cs="Times New Roman"/>
                      <w:sz w:val="21"/>
                      <w:szCs w:val="21"/>
                      <w:highlight w:val="none"/>
                      <w:vertAlign w:val="baseline"/>
                      <w:lang w:val="en-US" w:eastAsia="zh-CN"/>
                    </w:rPr>
                    <w:t>×</w:t>
                  </w:r>
                  <w:r>
                    <w:rPr>
                      <w:rFonts w:hint="eastAsia" w:ascii="Times New Roman" w:hAnsi="Times New Roman" w:cs="Times New Roman"/>
                      <w:sz w:val="21"/>
                      <w:szCs w:val="21"/>
                      <w:highlight w:val="none"/>
                      <w:vertAlign w:val="baseline"/>
                      <w:lang w:val="en-US" w:eastAsia="zh-CN"/>
                    </w:rPr>
                    <w:t>300MW</w:t>
                  </w:r>
                  <w:r>
                    <w:rPr>
                      <w:rFonts w:hint="eastAsia"/>
                      <w:sz w:val="21"/>
                      <w:szCs w:val="21"/>
                      <w:highlight w:val="none"/>
                      <w:vertAlign w:val="baseline"/>
                      <w:lang w:val="en-US" w:eastAsia="zh-CN"/>
                    </w:rPr>
                    <w:t>）项目</w:t>
                  </w:r>
                </w:p>
              </w:tc>
              <w:tc>
                <w:tcPr>
                  <w:tcW w:w="2004" w:type="dxa"/>
                  <w:tcBorders>
                    <w:tl2br w:val="nil"/>
                    <w:tr2bl w:val="nil"/>
                  </w:tcBorders>
                  <w:vAlign w:val="center"/>
                </w:tcPr>
                <w:p w14:paraId="7CA1EFC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1994年11月11日获得原国家环境保护局批复，环监〔1994〕591号</w:t>
                  </w:r>
                </w:p>
              </w:tc>
              <w:tc>
                <w:tcPr>
                  <w:tcW w:w="1173" w:type="dxa"/>
                  <w:tcBorders>
                    <w:tl2br w:val="nil"/>
                    <w:tr2bl w:val="nil"/>
                  </w:tcBorders>
                  <w:vAlign w:val="center"/>
                </w:tcPr>
                <w:p w14:paraId="539A297A">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vMerge w:val="restart"/>
                  <w:tcBorders>
                    <w:tl2br w:val="nil"/>
                    <w:tr2bl w:val="nil"/>
                  </w:tcBorders>
                  <w:vAlign w:val="center"/>
                </w:tcPr>
                <w:p w14:paraId="176A97A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2007年3月27日完成验收，环验〔2007〕46号</w:t>
                  </w:r>
                </w:p>
              </w:tc>
            </w:tr>
            <w:tr w14:paraId="44B435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0A20140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华能岳阳电厂二期扩建工程（2</w:t>
                  </w:r>
                  <w:r>
                    <w:rPr>
                      <w:rFonts w:hint="default" w:ascii="Times New Roman" w:hAnsi="Times New Roman" w:cs="Times New Roman"/>
                      <w:sz w:val="21"/>
                      <w:szCs w:val="21"/>
                      <w:highlight w:val="none"/>
                      <w:vertAlign w:val="baseline"/>
                      <w:lang w:val="en-US" w:eastAsia="zh-CN"/>
                    </w:rPr>
                    <w:t>×</w:t>
                  </w:r>
                  <w:r>
                    <w:rPr>
                      <w:rFonts w:hint="eastAsia" w:ascii="Times New Roman" w:hAnsi="Times New Roman" w:cs="Times New Roman"/>
                      <w:sz w:val="21"/>
                      <w:szCs w:val="21"/>
                      <w:highlight w:val="none"/>
                      <w:vertAlign w:val="baseline"/>
                      <w:lang w:val="en-US" w:eastAsia="zh-CN"/>
                    </w:rPr>
                    <w:t>600MW</w:t>
                  </w:r>
                  <w:r>
                    <w:rPr>
                      <w:rFonts w:hint="eastAsia"/>
                      <w:sz w:val="21"/>
                      <w:szCs w:val="21"/>
                      <w:highlight w:val="none"/>
                      <w:vertAlign w:val="baseline"/>
                      <w:lang w:val="en-US" w:eastAsia="zh-CN"/>
                    </w:rPr>
                    <w:t>）项目复核</w:t>
                  </w:r>
                </w:p>
              </w:tc>
              <w:tc>
                <w:tcPr>
                  <w:tcW w:w="2004" w:type="dxa"/>
                  <w:tcBorders>
                    <w:tl2br w:val="nil"/>
                    <w:tr2bl w:val="nil"/>
                  </w:tcBorders>
                  <w:vAlign w:val="center"/>
                </w:tcPr>
                <w:p w14:paraId="0D2229BF">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2003年11月6日获得原国家环境保护总局审批，环审〔2003〕298号</w:t>
                  </w:r>
                </w:p>
              </w:tc>
              <w:tc>
                <w:tcPr>
                  <w:tcW w:w="1173" w:type="dxa"/>
                  <w:tcBorders>
                    <w:tl2br w:val="nil"/>
                    <w:tr2bl w:val="nil"/>
                  </w:tcBorders>
                  <w:vAlign w:val="center"/>
                </w:tcPr>
                <w:p w14:paraId="5F2BC19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vMerge w:val="continue"/>
                  <w:tcBorders>
                    <w:tl2br w:val="nil"/>
                    <w:tr2bl w:val="nil"/>
                  </w:tcBorders>
                  <w:vAlign w:val="center"/>
                </w:tcPr>
                <w:p w14:paraId="2B28D370">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p>
              </w:tc>
            </w:tr>
            <w:tr w14:paraId="7EE878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589EC9D0">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华能岳阳电厂三期扩建工程（2</w:t>
                  </w:r>
                  <w:r>
                    <w:rPr>
                      <w:rFonts w:hint="default" w:ascii="Times New Roman" w:hAnsi="Times New Roman" w:cs="Times New Roman"/>
                      <w:sz w:val="21"/>
                      <w:szCs w:val="21"/>
                      <w:highlight w:val="none"/>
                      <w:vertAlign w:val="baseline"/>
                      <w:lang w:val="en-US" w:eastAsia="zh-CN"/>
                    </w:rPr>
                    <w:t>×</w:t>
                  </w:r>
                  <w:r>
                    <w:rPr>
                      <w:rFonts w:hint="eastAsia" w:ascii="Times New Roman" w:hAnsi="Times New Roman" w:cs="Times New Roman"/>
                      <w:sz w:val="21"/>
                      <w:szCs w:val="21"/>
                      <w:highlight w:val="none"/>
                      <w:vertAlign w:val="baseline"/>
                      <w:lang w:val="en-US" w:eastAsia="zh-CN"/>
                    </w:rPr>
                    <w:t>600MW机组</w:t>
                  </w:r>
                  <w:r>
                    <w:rPr>
                      <w:rFonts w:hint="eastAsia"/>
                      <w:sz w:val="21"/>
                      <w:szCs w:val="21"/>
                      <w:highlight w:val="none"/>
                      <w:vertAlign w:val="baseline"/>
                      <w:lang w:val="en-US" w:eastAsia="zh-CN"/>
                    </w:rPr>
                    <w:t>）</w:t>
                  </w:r>
                </w:p>
              </w:tc>
              <w:tc>
                <w:tcPr>
                  <w:tcW w:w="2004" w:type="dxa"/>
                  <w:tcBorders>
                    <w:tl2br w:val="nil"/>
                    <w:tr2bl w:val="nil"/>
                  </w:tcBorders>
                  <w:vAlign w:val="center"/>
                </w:tcPr>
                <w:p w14:paraId="1136FA8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2009年3月27日获得原国家环境保护部批复，环审〔2009〕165号</w:t>
                  </w:r>
                </w:p>
              </w:tc>
              <w:tc>
                <w:tcPr>
                  <w:tcW w:w="1173" w:type="dxa"/>
                  <w:tcBorders>
                    <w:tl2br w:val="nil"/>
                    <w:tr2bl w:val="nil"/>
                  </w:tcBorders>
                  <w:vAlign w:val="center"/>
                </w:tcPr>
                <w:p w14:paraId="682E799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0F4AEFF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2013年11月22日完成验收，环验〔2013〕257号</w:t>
                  </w:r>
                </w:p>
              </w:tc>
            </w:tr>
            <w:tr w14:paraId="4A6CE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43880CF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华能湖南岳阳发电有限责任公司一期2</w:t>
                  </w:r>
                  <w:r>
                    <w:rPr>
                      <w:rFonts w:hint="default" w:ascii="Times New Roman" w:hAnsi="Times New Roman" w:cs="Times New Roman"/>
                      <w:sz w:val="21"/>
                      <w:szCs w:val="21"/>
                      <w:highlight w:val="none"/>
                      <w:vertAlign w:val="baseline"/>
                      <w:lang w:val="en-US" w:eastAsia="zh-CN"/>
                    </w:rPr>
                    <w:t>×</w:t>
                  </w:r>
                  <w:r>
                    <w:rPr>
                      <w:rFonts w:hint="eastAsia"/>
                      <w:sz w:val="21"/>
                      <w:szCs w:val="21"/>
                      <w:highlight w:val="none"/>
                      <w:vertAlign w:val="baseline"/>
                      <w:lang w:val="en-US" w:eastAsia="zh-CN"/>
                    </w:rPr>
                    <w:t>362.5MW烟气脱硫工程</w:t>
                  </w:r>
                </w:p>
              </w:tc>
              <w:tc>
                <w:tcPr>
                  <w:tcW w:w="2004" w:type="dxa"/>
                  <w:tcBorders>
                    <w:tl2br w:val="nil"/>
                    <w:tr2bl w:val="nil"/>
                  </w:tcBorders>
                  <w:vAlign w:val="center"/>
                </w:tcPr>
                <w:p w14:paraId="5A38493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2007年8月20日获得原湖南省环境保护局，湘环评表〔2007〕104号</w:t>
                  </w:r>
                </w:p>
              </w:tc>
              <w:tc>
                <w:tcPr>
                  <w:tcW w:w="1173" w:type="dxa"/>
                  <w:tcBorders>
                    <w:tl2br w:val="nil"/>
                    <w:tr2bl w:val="nil"/>
                  </w:tcBorders>
                  <w:vAlign w:val="center"/>
                </w:tcPr>
                <w:p w14:paraId="16F4525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3E34A67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2009年6月29日完成验收，湘环评验〔2009〕31号</w:t>
                  </w:r>
                </w:p>
              </w:tc>
            </w:tr>
            <w:tr w14:paraId="5F33E0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618F16C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华能湖南岳阳发电有限责任公司1号机组进行超低排放改造工程</w:t>
                  </w:r>
                </w:p>
              </w:tc>
              <w:tc>
                <w:tcPr>
                  <w:tcW w:w="2004" w:type="dxa"/>
                  <w:tcBorders>
                    <w:tl2br w:val="nil"/>
                    <w:tr2bl w:val="nil"/>
                  </w:tcBorders>
                  <w:vAlign w:val="center"/>
                </w:tcPr>
                <w:p w14:paraId="3C84AF9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w:t>
                  </w:r>
                </w:p>
              </w:tc>
              <w:tc>
                <w:tcPr>
                  <w:tcW w:w="1173" w:type="dxa"/>
                  <w:tcBorders>
                    <w:tl2br w:val="nil"/>
                    <w:tr2bl w:val="nil"/>
                  </w:tcBorders>
                  <w:vAlign w:val="center"/>
                </w:tcPr>
                <w:p w14:paraId="6D8ED3B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4D55A96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2017年11月1日完成验收，湘环函〔2017〕595号</w:t>
                  </w:r>
                </w:p>
              </w:tc>
            </w:tr>
            <w:tr w14:paraId="0758D8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2BE9A88F">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华能湖南岳阳发电有限责任公司2号机组进行超低排放改造工程</w:t>
                  </w:r>
                </w:p>
              </w:tc>
              <w:tc>
                <w:tcPr>
                  <w:tcW w:w="2004" w:type="dxa"/>
                  <w:tcBorders>
                    <w:tl2br w:val="nil"/>
                    <w:tr2bl w:val="nil"/>
                  </w:tcBorders>
                  <w:vAlign w:val="center"/>
                </w:tcPr>
                <w:p w14:paraId="005AEFF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w:t>
                  </w:r>
                </w:p>
              </w:tc>
              <w:tc>
                <w:tcPr>
                  <w:tcW w:w="1173" w:type="dxa"/>
                  <w:tcBorders>
                    <w:tl2br w:val="nil"/>
                    <w:tr2bl w:val="nil"/>
                  </w:tcBorders>
                  <w:vAlign w:val="center"/>
                </w:tcPr>
                <w:p w14:paraId="36694E7F">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2025年12月31日关停</w:t>
                  </w:r>
                </w:p>
              </w:tc>
              <w:tc>
                <w:tcPr>
                  <w:tcW w:w="1782" w:type="dxa"/>
                  <w:tcBorders>
                    <w:tl2br w:val="nil"/>
                    <w:tr2bl w:val="nil"/>
                  </w:tcBorders>
                  <w:vAlign w:val="center"/>
                </w:tcPr>
                <w:p w14:paraId="4C1EB99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2017年11月23日完成验收，湘环函〔2017〕643号</w:t>
                  </w:r>
                </w:p>
              </w:tc>
            </w:tr>
            <w:tr w14:paraId="57C73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486B08F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华能湖南岳阳发电有限责任公司3号机组进行超低排放改造工程</w:t>
                  </w:r>
                </w:p>
              </w:tc>
              <w:tc>
                <w:tcPr>
                  <w:tcW w:w="2004" w:type="dxa"/>
                  <w:tcBorders>
                    <w:tl2br w:val="nil"/>
                    <w:tr2bl w:val="nil"/>
                  </w:tcBorders>
                  <w:vAlign w:val="center"/>
                </w:tcPr>
                <w:p w14:paraId="2BB6A54F">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w:t>
                  </w:r>
                </w:p>
              </w:tc>
              <w:tc>
                <w:tcPr>
                  <w:tcW w:w="1173" w:type="dxa"/>
                  <w:tcBorders>
                    <w:tl2br w:val="nil"/>
                    <w:tr2bl w:val="nil"/>
                  </w:tcBorders>
                  <w:vAlign w:val="center"/>
                </w:tcPr>
                <w:p w14:paraId="1611340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450575B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2017年8月17日完成验收，湘环函〔2017〕509号</w:t>
                  </w:r>
                </w:p>
              </w:tc>
            </w:tr>
            <w:tr w14:paraId="79E128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433EFF7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华能湖南岳阳发电有限责任公司4号机组进行超低排放改造工程</w:t>
                  </w:r>
                </w:p>
              </w:tc>
              <w:tc>
                <w:tcPr>
                  <w:tcW w:w="2004" w:type="dxa"/>
                  <w:tcBorders>
                    <w:tl2br w:val="nil"/>
                    <w:tr2bl w:val="nil"/>
                  </w:tcBorders>
                  <w:vAlign w:val="center"/>
                </w:tcPr>
                <w:p w14:paraId="3CDD976A">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w:t>
                  </w:r>
                </w:p>
              </w:tc>
              <w:tc>
                <w:tcPr>
                  <w:tcW w:w="1173" w:type="dxa"/>
                  <w:tcBorders>
                    <w:tl2br w:val="nil"/>
                    <w:tr2bl w:val="nil"/>
                  </w:tcBorders>
                  <w:vAlign w:val="center"/>
                </w:tcPr>
                <w:p w14:paraId="56208C2A">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321EB3D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2017年12月27日完成验收，湘环函〔2017〕708号</w:t>
                  </w:r>
                </w:p>
              </w:tc>
            </w:tr>
            <w:tr w14:paraId="6C7B9A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251909C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华能湖南岳阳发电有限责任公司5号机组进行超低排放改造工程</w:t>
                  </w:r>
                </w:p>
              </w:tc>
              <w:tc>
                <w:tcPr>
                  <w:tcW w:w="2004" w:type="dxa"/>
                  <w:tcBorders>
                    <w:tl2br w:val="nil"/>
                    <w:tr2bl w:val="nil"/>
                  </w:tcBorders>
                  <w:vAlign w:val="center"/>
                </w:tcPr>
                <w:p w14:paraId="3A44C7D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w:t>
                  </w:r>
                </w:p>
              </w:tc>
              <w:tc>
                <w:tcPr>
                  <w:tcW w:w="1173" w:type="dxa"/>
                  <w:tcBorders>
                    <w:tl2br w:val="nil"/>
                    <w:tr2bl w:val="nil"/>
                  </w:tcBorders>
                  <w:vAlign w:val="center"/>
                </w:tcPr>
                <w:p w14:paraId="0A06BA1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524B0E3A">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2016年9月29日完成验收，湘环函〔2016〕404号</w:t>
                  </w:r>
                </w:p>
              </w:tc>
            </w:tr>
            <w:tr w14:paraId="71C18A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00421DEF">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华能湖南岳阳发电有限责任公司6号机组进行超低排放改造工程</w:t>
                  </w:r>
                </w:p>
              </w:tc>
              <w:tc>
                <w:tcPr>
                  <w:tcW w:w="2004" w:type="dxa"/>
                  <w:tcBorders>
                    <w:tl2br w:val="nil"/>
                    <w:tr2bl w:val="nil"/>
                  </w:tcBorders>
                  <w:vAlign w:val="center"/>
                </w:tcPr>
                <w:p w14:paraId="71DB7CC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w:t>
                  </w:r>
                </w:p>
              </w:tc>
              <w:tc>
                <w:tcPr>
                  <w:tcW w:w="1173" w:type="dxa"/>
                  <w:tcBorders>
                    <w:tl2br w:val="nil"/>
                    <w:tr2bl w:val="nil"/>
                  </w:tcBorders>
                  <w:vAlign w:val="center"/>
                </w:tcPr>
                <w:p w14:paraId="050BA9C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72E60BD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2015年12月16日完成验收，湘环函〔2015〕547号</w:t>
                  </w:r>
                </w:p>
              </w:tc>
            </w:tr>
            <w:tr w14:paraId="27E53A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4C5A86A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华能岳阳电厂码头2#泊位提质改造工程</w:t>
                  </w:r>
                </w:p>
              </w:tc>
              <w:tc>
                <w:tcPr>
                  <w:tcW w:w="2004" w:type="dxa"/>
                  <w:tcBorders>
                    <w:tl2br w:val="nil"/>
                    <w:tr2bl w:val="nil"/>
                  </w:tcBorders>
                  <w:vAlign w:val="center"/>
                </w:tcPr>
                <w:p w14:paraId="0FD7164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岳环评〔2021〕8号</w:t>
                  </w:r>
                </w:p>
              </w:tc>
              <w:tc>
                <w:tcPr>
                  <w:tcW w:w="1173" w:type="dxa"/>
                  <w:tcBorders>
                    <w:tl2br w:val="nil"/>
                    <w:tr2bl w:val="nil"/>
                  </w:tcBorders>
                  <w:vAlign w:val="center"/>
                </w:tcPr>
                <w:p w14:paraId="0287F5D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5EB525C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2022年6月完成验收</w:t>
                  </w:r>
                </w:p>
              </w:tc>
            </w:tr>
            <w:tr w14:paraId="535E5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1AB967E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华能岳阳发电有限责任公司38万吨/年城市生活污水处理污泥、造纸污泥、河湖底泥掺烧处理系统建设项目</w:t>
                  </w:r>
                </w:p>
              </w:tc>
              <w:tc>
                <w:tcPr>
                  <w:tcW w:w="2004" w:type="dxa"/>
                  <w:tcBorders>
                    <w:tl2br w:val="nil"/>
                    <w:tr2bl w:val="nil"/>
                  </w:tcBorders>
                  <w:vAlign w:val="center"/>
                </w:tcPr>
                <w:p w14:paraId="3D4BA9C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岳环评〔2021〕50号</w:t>
                  </w:r>
                </w:p>
              </w:tc>
              <w:tc>
                <w:tcPr>
                  <w:tcW w:w="1173" w:type="dxa"/>
                  <w:tcBorders>
                    <w:tl2br w:val="nil"/>
                    <w:tr2bl w:val="nil"/>
                  </w:tcBorders>
                  <w:vAlign w:val="center"/>
                </w:tcPr>
                <w:p w14:paraId="64CABB2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5AE8EEE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分期验收（21.6万吨/年），2024年5月完成验收</w:t>
                  </w:r>
                </w:p>
              </w:tc>
            </w:tr>
            <w:tr w14:paraId="7A2FC6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4D4B515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华能岳阳电厂三灰湖水面光伏发电项目（一期20MWp）工程</w:t>
                  </w:r>
                </w:p>
              </w:tc>
              <w:tc>
                <w:tcPr>
                  <w:tcW w:w="2004" w:type="dxa"/>
                  <w:tcBorders>
                    <w:tl2br w:val="nil"/>
                    <w:tr2bl w:val="nil"/>
                  </w:tcBorders>
                  <w:vAlign w:val="center"/>
                </w:tcPr>
                <w:p w14:paraId="454A284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岳环评〔2019〕157号</w:t>
                  </w:r>
                </w:p>
              </w:tc>
              <w:tc>
                <w:tcPr>
                  <w:tcW w:w="1173" w:type="dxa"/>
                  <w:tcBorders>
                    <w:tl2br w:val="nil"/>
                    <w:tr2bl w:val="nil"/>
                  </w:tcBorders>
                  <w:vAlign w:val="center"/>
                </w:tcPr>
                <w:p w14:paraId="2E19DF2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54F5701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2020年7月完成验收</w:t>
                  </w:r>
                </w:p>
              </w:tc>
            </w:tr>
            <w:tr w14:paraId="6DD6E9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1417211A">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华能岳阳擂鼓台（20MWp）分布光伏电站</w:t>
                  </w:r>
                </w:p>
              </w:tc>
              <w:tc>
                <w:tcPr>
                  <w:tcW w:w="2004" w:type="dxa"/>
                  <w:tcBorders>
                    <w:tl2br w:val="nil"/>
                    <w:tr2bl w:val="nil"/>
                  </w:tcBorders>
                  <w:vAlign w:val="center"/>
                </w:tcPr>
                <w:p w14:paraId="55E6E6D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2016年9月27日取得岳阳市环境保护局审批意见</w:t>
                  </w:r>
                </w:p>
              </w:tc>
              <w:tc>
                <w:tcPr>
                  <w:tcW w:w="1173" w:type="dxa"/>
                  <w:tcBorders>
                    <w:tl2br w:val="nil"/>
                    <w:tr2bl w:val="nil"/>
                  </w:tcBorders>
                  <w:vAlign w:val="center"/>
                </w:tcPr>
                <w:p w14:paraId="14E37F0A">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1780732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2017年12月验收</w:t>
                  </w:r>
                </w:p>
              </w:tc>
            </w:tr>
          </w:tbl>
          <w:p w14:paraId="7B54EE76">
            <w:pPr>
              <w:keepNext w:val="0"/>
              <w:keepLines w:val="0"/>
              <w:pageBreakBefore w:val="0"/>
              <w:widowControl/>
              <w:numPr>
                <w:ilvl w:val="255"/>
                <w:numId w:val="0"/>
              </w:numPr>
              <w:kinsoku/>
              <w:wordWrap/>
              <w:overflowPunct/>
              <w:topLinePunct w:val="0"/>
              <w:autoSpaceDE/>
              <w:autoSpaceDN/>
              <w:bidi w:val="0"/>
              <w:adjustRightInd/>
              <w:snapToGrid/>
              <w:spacing w:before="164" w:beforeLines="50"/>
              <w:ind w:firstLine="0" w:firstLineChars="0"/>
              <w:jc w:val="both"/>
              <w:textAlignment w:val="auto"/>
              <w:rPr>
                <w:b/>
                <w:kern w:val="0"/>
                <w:sz w:val="28"/>
                <w:szCs w:val="28"/>
              </w:rPr>
            </w:pPr>
            <w:r>
              <w:rPr>
                <w:rFonts w:hint="eastAsia"/>
                <w:b/>
                <w:kern w:val="0"/>
                <w:sz w:val="28"/>
                <w:szCs w:val="28"/>
                <w:lang w:val="en-US" w:eastAsia="zh-CN"/>
              </w:rPr>
              <w:t>1.2</w:t>
            </w:r>
            <w:r>
              <w:rPr>
                <w:b/>
                <w:kern w:val="0"/>
                <w:sz w:val="28"/>
                <w:szCs w:val="28"/>
              </w:rPr>
              <w:t>现有项目污染源排放情况及采取的防</w:t>
            </w:r>
            <w:r>
              <w:rPr>
                <w:rFonts w:hint="eastAsia"/>
                <w:b/>
                <w:kern w:val="0"/>
                <w:sz w:val="28"/>
                <w:szCs w:val="28"/>
              </w:rPr>
              <w:t>治</w:t>
            </w:r>
            <w:r>
              <w:rPr>
                <w:b/>
                <w:kern w:val="0"/>
                <w:sz w:val="28"/>
                <w:szCs w:val="28"/>
              </w:rPr>
              <w:t>措施分析</w:t>
            </w:r>
          </w:p>
          <w:p w14:paraId="48C307BE">
            <w:pPr>
              <w:keepNext w:val="0"/>
              <w:keepLines w:val="0"/>
              <w:pageBreakBefore w:val="0"/>
              <w:widowControl/>
              <w:numPr>
                <w:ilvl w:val="255"/>
                <w:numId w:val="0"/>
              </w:numPr>
              <w:kinsoku/>
              <w:wordWrap/>
              <w:overflowPunct/>
              <w:topLinePunct w:val="0"/>
              <w:autoSpaceDE/>
              <w:autoSpaceDN/>
              <w:bidi w:val="0"/>
              <w:adjustRightInd/>
              <w:snapToGrid/>
              <w:ind w:firstLine="480" w:firstLineChars="200"/>
              <w:jc w:val="both"/>
              <w:textAlignment w:val="auto"/>
              <w:rPr>
                <w:rFonts w:hint="eastAsia"/>
                <w:sz w:val="24"/>
                <w:u w:val="none"/>
                <w:lang w:val="en-US" w:eastAsia="zh-CN"/>
              </w:rPr>
            </w:pPr>
            <w:r>
              <w:rPr>
                <w:rFonts w:hint="eastAsia"/>
                <w:sz w:val="24"/>
                <w:u w:val="none"/>
                <w:lang w:val="en-US" w:eastAsia="zh-CN"/>
              </w:rPr>
              <w:t>企业现有项目产排污情况将根据建设单位提供的相关资料进行统计分析。</w:t>
            </w:r>
          </w:p>
          <w:p w14:paraId="583DCF01">
            <w:pPr>
              <w:keepNext w:val="0"/>
              <w:keepLines w:val="0"/>
              <w:pageBreakBefore w:val="0"/>
              <w:widowControl/>
              <w:numPr>
                <w:ilvl w:val="255"/>
                <w:numId w:val="0"/>
              </w:numPr>
              <w:kinsoku/>
              <w:wordWrap/>
              <w:overflowPunct/>
              <w:topLinePunct w:val="0"/>
              <w:autoSpaceDE/>
              <w:autoSpaceDN/>
              <w:bidi w:val="0"/>
              <w:adjustRightInd/>
              <w:snapToGrid/>
              <w:jc w:val="both"/>
              <w:textAlignment w:val="auto"/>
              <w:rPr>
                <w:rFonts w:hint="eastAsia"/>
                <w:b/>
                <w:bCs/>
                <w:sz w:val="24"/>
                <w:u w:val="none"/>
                <w:lang w:val="en-US" w:eastAsia="zh-CN"/>
              </w:rPr>
            </w:pPr>
            <w:r>
              <w:rPr>
                <w:rFonts w:hint="eastAsia"/>
                <w:b/>
                <w:bCs/>
                <w:sz w:val="24"/>
                <w:u w:val="none"/>
                <w:lang w:val="en-US" w:eastAsia="zh-CN"/>
              </w:rPr>
              <w:t>1.2.1 废水污染源排放情况</w:t>
            </w:r>
          </w:p>
          <w:p w14:paraId="29C62852">
            <w:pPr>
              <w:keepNext w:val="0"/>
              <w:keepLines w:val="0"/>
              <w:pageBreakBefore w:val="0"/>
              <w:widowControl/>
              <w:numPr>
                <w:ilvl w:val="255"/>
                <w:numId w:val="0"/>
              </w:numPr>
              <w:kinsoku/>
              <w:wordWrap/>
              <w:overflowPunct/>
              <w:topLinePunct w:val="0"/>
              <w:autoSpaceDE/>
              <w:autoSpaceDN/>
              <w:bidi w:val="0"/>
              <w:adjustRightInd/>
              <w:snapToGrid/>
              <w:ind w:firstLine="480" w:firstLineChars="200"/>
              <w:jc w:val="both"/>
              <w:textAlignment w:val="auto"/>
              <w:rPr>
                <w:rFonts w:hint="eastAsia"/>
                <w:b w:val="0"/>
                <w:bCs w:val="0"/>
                <w:sz w:val="24"/>
                <w:u w:val="none"/>
                <w:lang w:val="en-US" w:eastAsia="zh-CN"/>
              </w:rPr>
            </w:pPr>
            <w:r>
              <w:rPr>
                <w:rFonts w:hint="eastAsia"/>
                <w:b w:val="0"/>
                <w:bCs w:val="0"/>
                <w:sz w:val="24"/>
                <w:u w:val="none"/>
                <w:lang w:val="en-US" w:eastAsia="zh-CN"/>
              </w:rPr>
              <w:t>厂区已进行雨污分流、污污分流。</w:t>
            </w:r>
          </w:p>
          <w:p w14:paraId="585B10B8">
            <w:pPr>
              <w:keepNext w:val="0"/>
              <w:keepLines w:val="0"/>
              <w:pageBreakBefore w:val="0"/>
              <w:widowControl/>
              <w:numPr>
                <w:ilvl w:val="255"/>
                <w:numId w:val="0"/>
              </w:numPr>
              <w:kinsoku/>
              <w:wordWrap/>
              <w:overflowPunct/>
              <w:topLinePunct w:val="0"/>
              <w:autoSpaceDE/>
              <w:autoSpaceDN/>
              <w:bidi w:val="0"/>
              <w:adjustRightInd/>
              <w:snapToGrid/>
              <w:ind w:firstLine="480" w:firstLineChars="200"/>
              <w:jc w:val="both"/>
              <w:textAlignment w:val="auto"/>
              <w:rPr>
                <w:rFonts w:hint="eastAsia"/>
                <w:b w:val="0"/>
                <w:bCs w:val="0"/>
                <w:sz w:val="24"/>
                <w:u w:val="none"/>
                <w:lang w:val="en-US" w:eastAsia="zh-CN"/>
              </w:rPr>
            </w:pPr>
            <w:r>
              <w:rPr>
                <w:rFonts w:hint="eastAsia"/>
                <w:b w:val="0"/>
                <w:bCs w:val="0"/>
                <w:sz w:val="24"/>
                <w:u w:val="none"/>
                <w:lang w:val="en-US" w:eastAsia="zh-CN"/>
              </w:rPr>
              <w:t>厂区设置1个污水排放口（DW002），三个直流冷却水排放口（一期直流冷却水排放口DW003、二期直流冷却水排放口DW004以及三期直流冷却水排放口DW005），脱硫废水处理后循环使用，不外排。其中厂区污水经处理后大部分回收利用，少量污水满足《污水综合排放标准》（GB8978-1996）一级标准后排入长江；直流冷却水为循环水进水经凝汽器换热后通过循环水回水管和虹吸井直接排放，DW003和DW005排入长江，DW004排入芭蕉湖。</w:t>
            </w:r>
          </w:p>
          <w:p w14:paraId="53F1EA0D">
            <w:pPr>
              <w:keepNext w:val="0"/>
              <w:keepLines w:val="0"/>
              <w:pageBreakBefore w:val="0"/>
              <w:widowControl/>
              <w:numPr>
                <w:ilvl w:val="255"/>
                <w:numId w:val="0"/>
              </w:numPr>
              <w:kinsoku/>
              <w:wordWrap/>
              <w:overflowPunct/>
              <w:topLinePunct w:val="0"/>
              <w:autoSpaceDE/>
              <w:autoSpaceDN/>
              <w:bidi w:val="0"/>
              <w:adjustRightInd/>
              <w:snapToGrid/>
              <w:ind w:firstLine="480" w:firstLineChars="200"/>
              <w:jc w:val="both"/>
              <w:textAlignment w:val="auto"/>
              <w:rPr>
                <w:rFonts w:hint="default"/>
                <w:b w:val="0"/>
                <w:bCs w:val="0"/>
                <w:sz w:val="24"/>
                <w:u w:val="none"/>
                <w:lang w:val="en-US" w:eastAsia="zh-CN"/>
              </w:rPr>
            </w:pPr>
            <w:r>
              <w:rPr>
                <w:rFonts w:hint="eastAsia"/>
                <w:b w:val="0"/>
                <w:bCs w:val="0"/>
                <w:sz w:val="24"/>
                <w:u w:val="none"/>
                <w:lang w:val="en-US" w:eastAsia="zh-CN"/>
              </w:rPr>
              <w:t>厂区设置三个雨水排放口（一期雨水排放口DW006、二期雨水排放口DW007以及三期雨水排放口DW008），其中DW006排入芭蕉湖，DW007和DW008排入长江。</w:t>
            </w:r>
          </w:p>
          <w:p w14:paraId="68A295CF">
            <w:pPr>
              <w:keepNext w:val="0"/>
              <w:keepLines w:val="0"/>
              <w:pageBreakBefore w:val="0"/>
              <w:widowControl/>
              <w:numPr>
                <w:ilvl w:val="255"/>
                <w:numId w:val="0"/>
              </w:numPr>
              <w:kinsoku/>
              <w:wordWrap/>
              <w:overflowPunct/>
              <w:topLinePunct w:val="0"/>
              <w:autoSpaceDE/>
              <w:autoSpaceDN/>
              <w:bidi w:val="0"/>
              <w:adjustRightInd/>
              <w:snapToGrid/>
              <w:ind w:firstLine="480" w:firstLineChars="200"/>
              <w:jc w:val="both"/>
              <w:textAlignment w:val="auto"/>
              <w:rPr>
                <w:rFonts w:hint="default"/>
                <w:color w:val="000000"/>
                <w:kern w:val="0"/>
                <w:sz w:val="24"/>
                <w:u w:val="none"/>
                <w:lang w:val="en-US" w:eastAsia="zh-CN" w:bidi="ar"/>
              </w:rPr>
            </w:pPr>
            <w:r>
              <w:rPr>
                <w:rFonts w:hint="eastAsia"/>
                <w:b w:val="0"/>
                <w:bCs w:val="0"/>
                <w:sz w:val="24"/>
                <w:u w:val="none"/>
                <w:lang w:val="en-US" w:eastAsia="zh-CN"/>
              </w:rPr>
              <w:t>根据湖南中测湘源检测有限公司</w:t>
            </w:r>
            <w:r>
              <w:rPr>
                <w:rFonts w:hint="eastAsia"/>
                <w:sz w:val="24"/>
                <w:highlight w:val="none"/>
                <w:u w:val="none"/>
              </w:rPr>
              <w:t>于2025年</w:t>
            </w:r>
            <w:r>
              <w:rPr>
                <w:rFonts w:hint="eastAsia"/>
                <w:sz w:val="24"/>
                <w:highlight w:val="none"/>
                <w:u w:val="none"/>
                <w:lang w:val="en-US" w:eastAsia="zh-CN"/>
              </w:rPr>
              <w:t>12</w:t>
            </w:r>
            <w:r>
              <w:rPr>
                <w:rFonts w:hint="eastAsia"/>
                <w:sz w:val="24"/>
                <w:highlight w:val="none"/>
                <w:u w:val="none"/>
              </w:rPr>
              <w:t>月</w:t>
            </w:r>
            <w:r>
              <w:rPr>
                <w:rFonts w:hint="eastAsia"/>
                <w:sz w:val="24"/>
                <w:highlight w:val="none"/>
                <w:u w:val="none"/>
                <w:lang w:val="en-US" w:eastAsia="zh-CN"/>
              </w:rPr>
              <w:t>26</w:t>
            </w:r>
            <w:r>
              <w:rPr>
                <w:rFonts w:hint="eastAsia"/>
                <w:sz w:val="24"/>
                <w:highlight w:val="none"/>
                <w:u w:val="none"/>
              </w:rPr>
              <w:t>日出具的检测报</w:t>
            </w:r>
            <w:r>
              <w:rPr>
                <w:rFonts w:hint="eastAsia"/>
                <w:sz w:val="24"/>
                <w:highlight w:val="none"/>
                <w:u w:val="none"/>
                <w:lang w:val="en-US" w:eastAsia="zh-CN"/>
              </w:rPr>
              <w:t>告，厂区各</w:t>
            </w:r>
            <w:r>
              <w:rPr>
                <w:color w:val="000000"/>
                <w:kern w:val="0"/>
                <w:sz w:val="24"/>
                <w:u w:val="none"/>
                <w:lang w:bidi="ar"/>
              </w:rPr>
              <w:t>废水排口主要污染因子</w:t>
            </w:r>
            <w:r>
              <w:rPr>
                <w:rFonts w:hint="eastAsia"/>
                <w:color w:val="000000"/>
                <w:kern w:val="0"/>
                <w:sz w:val="24"/>
                <w:u w:val="none"/>
                <w:lang w:val="en-US" w:eastAsia="zh-CN" w:bidi="ar"/>
              </w:rPr>
              <w:t>均</w:t>
            </w:r>
            <w:r>
              <w:rPr>
                <w:color w:val="000000"/>
                <w:kern w:val="0"/>
                <w:sz w:val="24"/>
                <w:u w:val="none"/>
                <w:lang w:bidi="ar"/>
              </w:rPr>
              <w:t>能满足《污水综合排放标准》（GB8978-1996）</w:t>
            </w:r>
            <w:r>
              <w:rPr>
                <w:rFonts w:hint="eastAsia"/>
                <w:color w:val="000000"/>
                <w:kern w:val="0"/>
                <w:sz w:val="24"/>
                <w:u w:val="none"/>
                <w:lang w:val="en-US" w:eastAsia="zh-CN" w:bidi="ar"/>
              </w:rPr>
              <w:t>一级</w:t>
            </w:r>
            <w:r>
              <w:rPr>
                <w:color w:val="000000"/>
                <w:kern w:val="0"/>
                <w:sz w:val="24"/>
                <w:u w:val="none"/>
                <w:lang w:bidi="ar"/>
              </w:rPr>
              <w:t>标准要求</w:t>
            </w:r>
            <w:r>
              <w:rPr>
                <w:rFonts w:hint="eastAsia"/>
                <w:color w:val="000000"/>
                <w:kern w:val="0"/>
                <w:sz w:val="24"/>
                <w:u w:val="none"/>
                <w:lang w:eastAsia="zh-CN" w:bidi="ar"/>
              </w:rPr>
              <w:t>。</w:t>
            </w:r>
          </w:p>
          <w:p w14:paraId="520316A3">
            <w:pPr>
              <w:keepNext w:val="0"/>
              <w:keepLines w:val="0"/>
              <w:pageBreakBefore w:val="0"/>
              <w:widowControl/>
              <w:numPr>
                <w:ilvl w:val="255"/>
                <w:numId w:val="0"/>
              </w:numPr>
              <w:kinsoku/>
              <w:wordWrap/>
              <w:overflowPunct/>
              <w:topLinePunct w:val="0"/>
              <w:autoSpaceDE/>
              <w:autoSpaceDN/>
              <w:bidi w:val="0"/>
              <w:adjustRightInd/>
              <w:snapToGrid/>
              <w:ind w:firstLine="480" w:firstLineChars="200"/>
              <w:jc w:val="both"/>
              <w:textAlignment w:val="auto"/>
              <w:rPr>
                <w:rFonts w:hint="eastAsia"/>
                <w:color w:val="000000"/>
                <w:kern w:val="0"/>
                <w:sz w:val="24"/>
                <w:u w:val="none"/>
                <w:lang w:val="en-US" w:eastAsia="zh-CN" w:bidi="ar"/>
              </w:rPr>
            </w:pPr>
            <w:r>
              <w:rPr>
                <w:rFonts w:hint="eastAsia"/>
                <w:color w:val="000000"/>
                <w:kern w:val="0"/>
                <w:sz w:val="24"/>
                <w:u w:val="none"/>
                <w:lang w:val="en-US" w:eastAsia="zh-CN" w:bidi="ar"/>
              </w:rPr>
              <w:t>现有项目废水污染源监测数据如下：</w:t>
            </w:r>
          </w:p>
          <w:p w14:paraId="15148BC3">
            <w:pPr>
              <w:pStyle w:val="379"/>
              <w:numPr>
                <w:ilvl w:val="0"/>
                <w:numId w:val="18"/>
              </w:numPr>
              <w:tabs>
                <w:tab w:val="clear" w:pos="1139"/>
              </w:tabs>
              <w:spacing w:line="240" w:lineRule="auto"/>
              <w:ind w:firstLineChars="0"/>
              <w:jc w:val="center"/>
              <w:rPr>
                <w:rFonts w:hint="eastAsia" w:ascii="Times New Roman" w:hAnsi="Times New Roman" w:eastAsia="宋体" w:cs="Times New Roman"/>
                <w:b/>
                <w:sz w:val="24"/>
                <w:lang w:val="en-US" w:eastAsia="zh-CN"/>
              </w:rPr>
            </w:pPr>
            <w:r>
              <w:rPr>
                <w:rFonts w:hint="eastAsia" w:cs="Times New Roman"/>
                <w:b/>
                <w:sz w:val="24"/>
                <w:lang w:val="en-US" w:eastAsia="zh-CN"/>
              </w:rPr>
              <w:t>废水产生排放情况一览表</w:t>
            </w:r>
          </w:p>
          <w:tbl>
            <w:tblPr>
              <w:tblStyle w:val="175"/>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350"/>
              <w:gridCol w:w="833"/>
              <w:gridCol w:w="758"/>
              <w:gridCol w:w="1156"/>
              <w:gridCol w:w="1270"/>
              <w:gridCol w:w="1175"/>
              <w:gridCol w:w="589"/>
              <w:gridCol w:w="553"/>
            </w:tblGrid>
            <w:tr w14:paraId="1E5628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restart"/>
                  <w:tcBorders>
                    <w:tl2br w:val="nil"/>
                    <w:tr2bl w:val="nil"/>
                  </w:tcBorders>
                  <w:vAlign w:val="center"/>
                </w:tcPr>
                <w:p w14:paraId="3294EA60">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lang w:eastAsia="en-US"/>
                    </w:rPr>
                  </w:pPr>
                  <w:r>
                    <w:rPr>
                      <w:b/>
                      <w:bCs/>
                      <w:snapToGrid w:val="0"/>
                      <w:color w:val="000000"/>
                      <w:spacing w:val="-3"/>
                      <w:kern w:val="0"/>
                      <w:sz w:val="21"/>
                      <w:szCs w:val="21"/>
                      <w:u w:val="none"/>
                      <w:lang w:eastAsia="en-US"/>
                    </w:rPr>
                    <w:t>采样点位/</w:t>
                  </w:r>
                  <w:r>
                    <w:rPr>
                      <w:b/>
                      <w:bCs/>
                      <w:snapToGrid w:val="0"/>
                      <w:color w:val="000000"/>
                      <w:spacing w:val="-2"/>
                      <w:kern w:val="0"/>
                      <w:sz w:val="21"/>
                      <w:szCs w:val="21"/>
                      <w:u w:val="none"/>
                      <w:lang w:eastAsia="en-US"/>
                    </w:rPr>
                    <w:t>采样时间</w:t>
                  </w:r>
                </w:p>
              </w:tc>
              <w:tc>
                <w:tcPr>
                  <w:tcW w:w="542" w:type="pct"/>
                  <w:vMerge w:val="restart"/>
                  <w:tcBorders>
                    <w:tl2br w:val="nil"/>
                    <w:tr2bl w:val="nil"/>
                  </w:tcBorders>
                  <w:vAlign w:val="center"/>
                </w:tcPr>
                <w:p w14:paraId="15F044A3">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lang w:eastAsia="en-US"/>
                    </w:rPr>
                  </w:pPr>
                  <w:r>
                    <w:rPr>
                      <w:b/>
                      <w:bCs/>
                      <w:snapToGrid w:val="0"/>
                      <w:color w:val="000000"/>
                      <w:spacing w:val="6"/>
                      <w:kern w:val="0"/>
                      <w:sz w:val="21"/>
                      <w:szCs w:val="21"/>
                      <w:u w:val="none"/>
                      <w:lang w:eastAsia="en-US"/>
                    </w:rPr>
                    <w:t>检测项目</w:t>
                  </w:r>
                </w:p>
              </w:tc>
              <w:tc>
                <w:tcPr>
                  <w:tcW w:w="493" w:type="pct"/>
                  <w:vMerge w:val="restart"/>
                  <w:tcBorders>
                    <w:tl2br w:val="nil"/>
                    <w:tr2bl w:val="nil"/>
                  </w:tcBorders>
                  <w:vAlign w:val="center"/>
                </w:tcPr>
                <w:p w14:paraId="3D85D9F0">
                  <w:pPr>
                    <w:widowControl/>
                    <w:autoSpaceDE w:val="0"/>
                    <w:autoSpaceDN w:val="0"/>
                    <w:adjustRightInd w:val="0"/>
                    <w:snapToGrid w:val="0"/>
                    <w:spacing w:line="240" w:lineRule="auto"/>
                    <w:ind w:left="0" w:leftChars="0" w:right="0" w:rightChars="0" w:firstLine="0" w:firstLineChars="0"/>
                    <w:jc w:val="center"/>
                    <w:textAlignment w:val="baseline"/>
                    <w:rPr>
                      <w:b/>
                      <w:bCs/>
                      <w:snapToGrid w:val="0"/>
                      <w:color w:val="000000"/>
                      <w:spacing w:val="6"/>
                      <w:kern w:val="0"/>
                      <w:sz w:val="21"/>
                      <w:szCs w:val="21"/>
                      <w:u w:val="none"/>
                    </w:rPr>
                  </w:pPr>
                  <w:r>
                    <w:rPr>
                      <w:b/>
                      <w:bCs/>
                      <w:snapToGrid w:val="0"/>
                      <w:color w:val="000000"/>
                      <w:spacing w:val="6"/>
                      <w:kern w:val="0"/>
                      <w:sz w:val="21"/>
                      <w:szCs w:val="21"/>
                      <w:u w:val="none"/>
                    </w:rPr>
                    <w:t>单位</w:t>
                  </w:r>
                </w:p>
              </w:tc>
              <w:tc>
                <w:tcPr>
                  <w:tcW w:w="2342" w:type="pct"/>
                  <w:gridSpan w:val="3"/>
                  <w:tcBorders>
                    <w:tl2br w:val="nil"/>
                    <w:tr2bl w:val="nil"/>
                  </w:tcBorders>
                  <w:vAlign w:val="center"/>
                </w:tcPr>
                <w:p w14:paraId="6828FEED">
                  <w:pPr>
                    <w:widowControl/>
                    <w:autoSpaceDE w:val="0"/>
                    <w:autoSpaceDN w:val="0"/>
                    <w:adjustRightInd w:val="0"/>
                    <w:snapToGrid w:val="0"/>
                    <w:spacing w:line="240" w:lineRule="auto"/>
                    <w:ind w:left="0" w:leftChars="0" w:right="0" w:rightChars="0" w:firstLine="0" w:firstLineChars="0"/>
                    <w:jc w:val="center"/>
                    <w:textAlignment w:val="baseline"/>
                    <w:rPr>
                      <w:b/>
                      <w:bCs/>
                      <w:snapToGrid w:val="0"/>
                      <w:color w:val="000000"/>
                      <w:spacing w:val="-1"/>
                      <w:kern w:val="0"/>
                      <w:sz w:val="21"/>
                      <w:szCs w:val="21"/>
                      <w:u w:val="none"/>
                    </w:rPr>
                  </w:pPr>
                  <w:r>
                    <w:rPr>
                      <w:b/>
                      <w:bCs/>
                      <w:snapToGrid w:val="0"/>
                      <w:color w:val="000000"/>
                      <w:spacing w:val="-1"/>
                      <w:kern w:val="0"/>
                      <w:sz w:val="21"/>
                      <w:szCs w:val="21"/>
                      <w:u w:val="none"/>
                    </w:rPr>
                    <w:t>检测结果</w:t>
                  </w:r>
                </w:p>
              </w:tc>
              <w:tc>
                <w:tcPr>
                  <w:tcW w:w="383" w:type="pct"/>
                  <w:vMerge w:val="restart"/>
                  <w:tcBorders>
                    <w:tl2br w:val="nil"/>
                    <w:tr2bl w:val="nil"/>
                  </w:tcBorders>
                  <w:vAlign w:val="center"/>
                </w:tcPr>
                <w:p w14:paraId="3E3F2D31">
                  <w:pPr>
                    <w:widowControl w:val="0"/>
                    <w:wordWrap w:val="0"/>
                    <w:overflowPunct w:val="0"/>
                    <w:autoSpaceDE w:val="0"/>
                    <w:autoSpaceDN w:val="0"/>
                    <w:adjustRightInd w:val="0"/>
                    <w:snapToGrid w:val="0"/>
                    <w:spacing w:line="240" w:lineRule="auto"/>
                    <w:ind w:left="0" w:leftChars="0" w:right="0" w:rightChars="0"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标准</w:t>
                  </w:r>
                </w:p>
                <w:p w14:paraId="18B59941">
                  <w:pPr>
                    <w:widowControl w:val="0"/>
                    <w:wordWrap w:val="0"/>
                    <w:overflowPunct w:val="0"/>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b/>
                      <w:bCs/>
                      <w:snapToGrid w:val="0"/>
                      <w:color w:val="000000"/>
                      <w:spacing w:val="7"/>
                      <w:kern w:val="0"/>
                      <w:sz w:val="21"/>
                      <w:szCs w:val="21"/>
                      <w:u w:val="none"/>
                    </w:rPr>
                    <w:t>限值</w:t>
                  </w:r>
                </w:p>
              </w:tc>
              <w:tc>
                <w:tcPr>
                  <w:tcW w:w="360" w:type="pct"/>
                  <w:vMerge w:val="restart"/>
                  <w:tcBorders>
                    <w:tl2br w:val="nil"/>
                    <w:tr2bl w:val="nil"/>
                  </w:tcBorders>
                  <w:vAlign w:val="center"/>
                </w:tcPr>
                <w:p w14:paraId="09C50E09">
                  <w:pPr>
                    <w:widowControl w:val="0"/>
                    <w:wordWrap w:val="0"/>
                    <w:overflowPunct w:val="0"/>
                    <w:autoSpaceDE w:val="0"/>
                    <w:autoSpaceDN w:val="0"/>
                    <w:adjustRightInd w:val="0"/>
                    <w:snapToGrid w:val="0"/>
                    <w:spacing w:line="240" w:lineRule="auto"/>
                    <w:ind w:left="0" w:leftChars="0" w:right="0" w:rightChars="0"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达标</w:t>
                  </w:r>
                </w:p>
                <w:p w14:paraId="67B82451">
                  <w:pPr>
                    <w:widowControl w:val="0"/>
                    <w:wordWrap w:val="0"/>
                    <w:overflowPunct w:val="0"/>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b/>
                      <w:bCs/>
                      <w:snapToGrid w:val="0"/>
                      <w:color w:val="000000"/>
                      <w:spacing w:val="7"/>
                      <w:kern w:val="0"/>
                      <w:sz w:val="21"/>
                      <w:szCs w:val="21"/>
                      <w:u w:val="none"/>
                    </w:rPr>
                    <w:t>判定</w:t>
                  </w:r>
                </w:p>
              </w:tc>
            </w:tr>
            <w:tr w14:paraId="067B01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6A56878A">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vMerge w:val="continue"/>
                  <w:tcBorders>
                    <w:tl2br w:val="nil"/>
                    <w:tr2bl w:val="nil"/>
                  </w:tcBorders>
                  <w:vAlign w:val="center"/>
                </w:tcPr>
                <w:p w14:paraId="149AB597">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493" w:type="pct"/>
                  <w:vMerge w:val="continue"/>
                  <w:tcBorders>
                    <w:tl2br w:val="nil"/>
                    <w:tr2bl w:val="nil"/>
                  </w:tcBorders>
                  <w:vAlign w:val="center"/>
                </w:tcPr>
                <w:p w14:paraId="0E353062">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752" w:type="pct"/>
                  <w:tcBorders>
                    <w:tl2br w:val="nil"/>
                    <w:tr2bl w:val="nil"/>
                  </w:tcBorders>
                  <w:vAlign w:val="center"/>
                </w:tcPr>
                <w:p w14:paraId="298DE0DE">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b/>
                      <w:bCs/>
                      <w:snapToGrid w:val="0"/>
                      <w:color w:val="000000"/>
                      <w:spacing w:val="-2"/>
                      <w:kern w:val="0"/>
                      <w:sz w:val="21"/>
                      <w:szCs w:val="21"/>
                      <w:u w:val="none"/>
                    </w:rPr>
                    <w:t>第一次</w:t>
                  </w:r>
                </w:p>
              </w:tc>
              <w:tc>
                <w:tcPr>
                  <w:tcW w:w="826" w:type="pct"/>
                  <w:tcBorders>
                    <w:tl2br w:val="nil"/>
                    <w:tr2bl w:val="nil"/>
                  </w:tcBorders>
                  <w:vAlign w:val="center"/>
                </w:tcPr>
                <w:p w14:paraId="42F86024">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b/>
                      <w:bCs/>
                      <w:snapToGrid w:val="0"/>
                      <w:color w:val="000000"/>
                      <w:spacing w:val="-2"/>
                      <w:kern w:val="0"/>
                      <w:sz w:val="21"/>
                      <w:szCs w:val="21"/>
                      <w:u w:val="none"/>
                    </w:rPr>
                    <w:t>第二次</w:t>
                  </w:r>
                </w:p>
              </w:tc>
              <w:tc>
                <w:tcPr>
                  <w:tcW w:w="764" w:type="pct"/>
                  <w:tcBorders>
                    <w:tl2br w:val="nil"/>
                    <w:tr2bl w:val="nil"/>
                  </w:tcBorders>
                  <w:vAlign w:val="center"/>
                </w:tcPr>
                <w:p w14:paraId="4D8D2775">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b/>
                      <w:bCs/>
                      <w:snapToGrid w:val="0"/>
                      <w:color w:val="000000"/>
                      <w:spacing w:val="-2"/>
                      <w:kern w:val="0"/>
                      <w:sz w:val="21"/>
                      <w:szCs w:val="21"/>
                      <w:u w:val="none"/>
                    </w:rPr>
                    <w:t>第三次</w:t>
                  </w:r>
                </w:p>
              </w:tc>
              <w:tc>
                <w:tcPr>
                  <w:tcW w:w="383" w:type="pct"/>
                  <w:vMerge w:val="continue"/>
                  <w:tcBorders>
                    <w:tl2br w:val="nil"/>
                    <w:tr2bl w:val="nil"/>
                  </w:tcBorders>
                  <w:vAlign w:val="center"/>
                </w:tcPr>
                <w:p w14:paraId="2D2579EC">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360" w:type="pct"/>
                  <w:vMerge w:val="continue"/>
                  <w:tcBorders>
                    <w:tl2br w:val="nil"/>
                    <w:tr2bl w:val="nil"/>
                  </w:tcBorders>
                  <w:vAlign w:val="center"/>
                </w:tcPr>
                <w:p w14:paraId="11C3254F">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r>
            <w:tr w14:paraId="1EC523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restart"/>
                  <w:tcBorders>
                    <w:tl2br w:val="nil"/>
                    <w:tr2bl w:val="nil"/>
                  </w:tcBorders>
                  <w:vAlign w:val="center"/>
                </w:tcPr>
                <w:p w14:paraId="03295B01">
                  <w:pPr>
                    <w:widowControl/>
                    <w:autoSpaceDE w:val="0"/>
                    <w:autoSpaceDN w:val="0"/>
                    <w:adjustRightInd w:val="0"/>
                    <w:snapToGrid w:val="0"/>
                    <w:spacing w:line="240" w:lineRule="auto"/>
                    <w:ind w:left="0" w:leftChars="0" w:right="0" w:rightChars="0" w:firstLine="0" w:firstLineChars="0"/>
                    <w:jc w:val="center"/>
                    <w:textAlignment w:val="baseline"/>
                    <w:rPr>
                      <w:rFonts w:hint="default"/>
                      <w:snapToGrid w:val="0"/>
                      <w:color w:val="000000"/>
                      <w:spacing w:val="6"/>
                      <w:kern w:val="0"/>
                      <w:sz w:val="21"/>
                      <w:szCs w:val="21"/>
                      <w:u w:val="none"/>
                      <w:lang w:val="en-US" w:eastAsia="zh-CN"/>
                    </w:rPr>
                  </w:pPr>
                  <w:r>
                    <w:rPr>
                      <w:rFonts w:hint="eastAsia"/>
                      <w:snapToGrid w:val="0"/>
                      <w:color w:val="000000"/>
                      <w:spacing w:val="6"/>
                      <w:kern w:val="0"/>
                      <w:sz w:val="21"/>
                      <w:szCs w:val="21"/>
                      <w:u w:val="none"/>
                    </w:rPr>
                    <w:t>废水总排口</w:t>
                  </w:r>
                  <w:r>
                    <w:rPr>
                      <w:rFonts w:hint="eastAsia"/>
                      <w:snapToGrid w:val="0"/>
                      <w:color w:val="000000"/>
                      <w:spacing w:val="6"/>
                      <w:kern w:val="0"/>
                      <w:sz w:val="21"/>
                      <w:szCs w:val="21"/>
                      <w:u w:val="none"/>
                      <w:lang w:val="en-US" w:eastAsia="zh-CN"/>
                    </w:rPr>
                    <w:t>DW002</w:t>
                  </w:r>
                </w:p>
                <w:p w14:paraId="7BD4976A">
                  <w:pPr>
                    <w:widowControl/>
                    <w:autoSpaceDE w:val="0"/>
                    <w:autoSpaceDN w:val="0"/>
                    <w:adjustRightInd w:val="0"/>
                    <w:snapToGrid w:val="0"/>
                    <w:spacing w:line="240" w:lineRule="auto"/>
                    <w:ind w:left="0" w:leftChars="0" w:right="0" w:rightChars="0" w:firstLine="0" w:firstLineChars="0"/>
                    <w:jc w:val="center"/>
                    <w:textAlignment w:val="baseline"/>
                    <w:rPr>
                      <w:rFonts w:hint="default"/>
                      <w:snapToGrid w:val="0"/>
                      <w:color w:val="000000"/>
                      <w:spacing w:val="6"/>
                      <w:kern w:val="0"/>
                      <w:sz w:val="21"/>
                      <w:szCs w:val="21"/>
                      <w:u w:val="none"/>
                      <w:lang w:val="en-US" w:eastAsia="zh-CN"/>
                    </w:rPr>
                  </w:pPr>
                  <w:r>
                    <w:rPr>
                      <w:rFonts w:hint="eastAsia"/>
                      <w:snapToGrid w:val="0"/>
                      <w:color w:val="000000"/>
                      <w:spacing w:val="6"/>
                      <w:kern w:val="0"/>
                      <w:sz w:val="21"/>
                      <w:szCs w:val="21"/>
                      <w:u w:val="none"/>
                      <w:lang w:val="en-US" w:eastAsia="zh-CN"/>
                    </w:rPr>
                    <w:t>2025.12.09</w:t>
                  </w:r>
                </w:p>
              </w:tc>
              <w:tc>
                <w:tcPr>
                  <w:tcW w:w="542" w:type="pct"/>
                  <w:tcBorders>
                    <w:tl2br w:val="nil"/>
                    <w:tr2bl w:val="nil"/>
                  </w:tcBorders>
                  <w:vAlign w:val="center"/>
                </w:tcPr>
                <w:p w14:paraId="1C84A253">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水温</w:t>
                  </w:r>
                </w:p>
              </w:tc>
              <w:tc>
                <w:tcPr>
                  <w:tcW w:w="493" w:type="pct"/>
                  <w:tcBorders>
                    <w:tl2br w:val="nil"/>
                    <w:tr2bl w:val="nil"/>
                  </w:tcBorders>
                  <w:vAlign w:val="center"/>
                </w:tcPr>
                <w:p w14:paraId="4B10EFEF">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spacing w:val="-1"/>
                      <w:kern w:val="0"/>
                      <w:sz w:val="21"/>
                      <w:szCs w:val="21"/>
                      <w:u w:val="none"/>
                      <w:lang w:val="en-US" w:eastAsia="zh-CN"/>
                    </w:rPr>
                  </w:pPr>
                  <w:r>
                    <w:rPr>
                      <w:rFonts w:hint="default" w:ascii="Times New Roman" w:hAnsi="Times New Roman" w:cs="Times New Roman"/>
                      <w:snapToGrid w:val="0"/>
                      <w:color w:val="000000"/>
                      <w:spacing w:val="-1"/>
                      <w:kern w:val="0"/>
                      <w:sz w:val="21"/>
                      <w:szCs w:val="21"/>
                      <w:u w:val="none"/>
                      <w:lang w:val="en-US" w:eastAsia="zh-CN"/>
                    </w:rPr>
                    <w:t>℃</w:t>
                  </w:r>
                </w:p>
              </w:tc>
              <w:tc>
                <w:tcPr>
                  <w:tcW w:w="752" w:type="pct"/>
                  <w:tcBorders>
                    <w:tl2br w:val="nil"/>
                    <w:tr2bl w:val="nil"/>
                  </w:tcBorders>
                  <w:vAlign w:val="center"/>
                </w:tcPr>
                <w:p w14:paraId="238A965C">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19.7</w:t>
                  </w:r>
                </w:p>
              </w:tc>
              <w:tc>
                <w:tcPr>
                  <w:tcW w:w="826" w:type="pct"/>
                  <w:tcBorders>
                    <w:tl2br w:val="nil"/>
                    <w:tr2bl w:val="nil"/>
                  </w:tcBorders>
                  <w:shd w:val="clear" w:color="auto" w:fill="auto"/>
                  <w:vAlign w:val="center"/>
                </w:tcPr>
                <w:p w14:paraId="654E9C9F">
                  <w:pPr>
                    <w:widowControl/>
                    <w:autoSpaceDE w:val="0"/>
                    <w:autoSpaceDN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spacing w:val="-3"/>
                      <w:kern w:val="0"/>
                      <w:sz w:val="21"/>
                      <w:szCs w:val="21"/>
                      <w:u w:val="none"/>
                      <w:lang w:val="en-US" w:eastAsia="zh-CN" w:bidi="ar-SA"/>
                    </w:rPr>
                  </w:pPr>
                  <w:r>
                    <w:rPr>
                      <w:rFonts w:hint="eastAsia"/>
                      <w:snapToGrid w:val="0"/>
                      <w:color w:val="000000"/>
                      <w:spacing w:val="-3"/>
                      <w:kern w:val="0"/>
                      <w:sz w:val="21"/>
                      <w:szCs w:val="21"/>
                      <w:u w:val="none"/>
                      <w:lang w:val="en-US" w:eastAsia="zh-CN"/>
                    </w:rPr>
                    <w:t>19.8</w:t>
                  </w:r>
                </w:p>
              </w:tc>
              <w:tc>
                <w:tcPr>
                  <w:tcW w:w="764" w:type="pct"/>
                  <w:tcBorders>
                    <w:tl2br w:val="nil"/>
                    <w:tr2bl w:val="nil"/>
                  </w:tcBorders>
                  <w:shd w:val="clear" w:color="auto" w:fill="auto"/>
                  <w:vAlign w:val="center"/>
                </w:tcPr>
                <w:p w14:paraId="19481223">
                  <w:pPr>
                    <w:widowControl/>
                    <w:autoSpaceDE w:val="0"/>
                    <w:autoSpaceDN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napToGrid w:val="0"/>
                      <w:color w:val="000000"/>
                      <w:spacing w:val="-3"/>
                      <w:kern w:val="0"/>
                      <w:sz w:val="21"/>
                      <w:szCs w:val="21"/>
                      <w:u w:val="none"/>
                      <w:lang w:val="en-US" w:eastAsia="zh-CN" w:bidi="ar-SA"/>
                    </w:rPr>
                  </w:pPr>
                  <w:r>
                    <w:rPr>
                      <w:rFonts w:hint="eastAsia"/>
                      <w:snapToGrid w:val="0"/>
                      <w:color w:val="000000"/>
                      <w:spacing w:val="-3"/>
                      <w:kern w:val="0"/>
                      <w:sz w:val="21"/>
                      <w:szCs w:val="21"/>
                      <w:u w:val="none"/>
                      <w:lang w:val="en-US" w:eastAsia="zh-CN"/>
                    </w:rPr>
                    <w:t>19.7</w:t>
                  </w:r>
                </w:p>
              </w:tc>
              <w:tc>
                <w:tcPr>
                  <w:tcW w:w="383" w:type="pct"/>
                  <w:tcBorders>
                    <w:tl2br w:val="nil"/>
                    <w:tr2bl w:val="nil"/>
                  </w:tcBorders>
                  <w:vAlign w:val="center"/>
                </w:tcPr>
                <w:p w14:paraId="06BFCC2C">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c>
                <w:tcPr>
                  <w:tcW w:w="360" w:type="pct"/>
                  <w:tcBorders>
                    <w:tl2br w:val="nil"/>
                    <w:tr2bl w:val="nil"/>
                  </w:tcBorders>
                  <w:vAlign w:val="center"/>
                </w:tcPr>
                <w:p w14:paraId="1B201E12">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r>
            <w:tr w14:paraId="1704C1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1D2B72E9">
                  <w:pPr>
                    <w:widowControl/>
                    <w:autoSpaceDE w:val="0"/>
                    <w:autoSpaceDN w:val="0"/>
                    <w:adjustRightInd w:val="0"/>
                    <w:snapToGrid w:val="0"/>
                    <w:spacing w:line="240" w:lineRule="auto"/>
                    <w:ind w:left="0" w:leftChars="0" w:right="0" w:rightChars="0" w:firstLine="0" w:firstLineChars="0"/>
                    <w:jc w:val="center"/>
                    <w:textAlignment w:val="baseline"/>
                    <w:rPr>
                      <w:rFonts w:hint="default"/>
                      <w:snapToGrid w:val="0"/>
                      <w:color w:val="000000"/>
                      <w:spacing w:val="6"/>
                      <w:kern w:val="0"/>
                      <w:sz w:val="21"/>
                      <w:szCs w:val="21"/>
                      <w:u w:val="none"/>
                      <w:lang w:val="en-US" w:eastAsia="zh-CN"/>
                    </w:rPr>
                  </w:pPr>
                </w:p>
              </w:tc>
              <w:tc>
                <w:tcPr>
                  <w:tcW w:w="542" w:type="pct"/>
                  <w:tcBorders>
                    <w:tl2br w:val="nil"/>
                    <w:tr2bl w:val="nil"/>
                  </w:tcBorders>
                  <w:vAlign w:val="center"/>
                </w:tcPr>
                <w:p w14:paraId="0B0E8ECE">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pH</w:t>
                  </w:r>
                  <w:r>
                    <w:rPr>
                      <w:snapToGrid w:val="0"/>
                      <w:color w:val="000000"/>
                      <w:spacing w:val="13"/>
                      <w:kern w:val="0"/>
                      <w:sz w:val="21"/>
                      <w:szCs w:val="21"/>
                      <w:u w:val="none"/>
                    </w:rPr>
                    <w:t>值</w:t>
                  </w:r>
                </w:p>
              </w:tc>
              <w:tc>
                <w:tcPr>
                  <w:tcW w:w="493" w:type="pct"/>
                  <w:tcBorders>
                    <w:tl2br w:val="nil"/>
                    <w:tr2bl w:val="nil"/>
                  </w:tcBorders>
                  <w:vAlign w:val="center"/>
                </w:tcPr>
                <w:p w14:paraId="48893CEB">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spacing w:val="-1"/>
                      <w:kern w:val="0"/>
                      <w:sz w:val="21"/>
                      <w:szCs w:val="21"/>
                      <w:u w:val="none"/>
                    </w:rPr>
                    <w:t>无量纲</w:t>
                  </w:r>
                </w:p>
              </w:tc>
              <w:tc>
                <w:tcPr>
                  <w:tcW w:w="752" w:type="pct"/>
                  <w:tcBorders>
                    <w:tl2br w:val="nil"/>
                    <w:tr2bl w:val="nil"/>
                  </w:tcBorders>
                  <w:vAlign w:val="center"/>
                </w:tcPr>
                <w:p w14:paraId="53F2D32B">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8.4</w:t>
                  </w:r>
                </w:p>
              </w:tc>
              <w:tc>
                <w:tcPr>
                  <w:tcW w:w="826" w:type="pct"/>
                  <w:tcBorders>
                    <w:tl2br w:val="nil"/>
                    <w:tr2bl w:val="nil"/>
                  </w:tcBorders>
                  <w:vAlign w:val="center"/>
                </w:tcPr>
                <w:p w14:paraId="259C039F">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8.3</w:t>
                  </w:r>
                </w:p>
              </w:tc>
              <w:tc>
                <w:tcPr>
                  <w:tcW w:w="764" w:type="pct"/>
                  <w:tcBorders>
                    <w:tl2br w:val="nil"/>
                    <w:tr2bl w:val="nil"/>
                  </w:tcBorders>
                  <w:vAlign w:val="center"/>
                </w:tcPr>
                <w:p w14:paraId="6D43ACEC">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8.4</w:t>
                  </w:r>
                </w:p>
              </w:tc>
              <w:tc>
                <w:tcPr>
                  <w:tcW w:w="383" w:type="pct"/>
                  <w:tcBorders>
                    <w:tl2br w:val="nil"/>
                    <w:tr2bl w:val="nil"/>
                  </w:tcBorders>
                  <w:vAlign w:val="center"/>
                </w:tcPr>
                <w:p w14:paraId="3A2AE67D">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6~9</w:t>
                  </w:r>
                </w:p>
              </w:tc>
              <w:tc>
                <w:tcPr>
                  <w:tcW w:w="360" w:type="pct"/>
                  <w:tcBorders>
                    <w:tl2br w:val="nil"/>
                    <w:tr2bl w:val="nil"/>
                  </w:tcBorders>
                  <w:vAlign w:val="center"/>
                </w:tcPr>
                <w:p w14:paraId="1AD92247">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达标</w:t>
                  </w:r>
                </w:p>
              </w:tc>
            </w:tr>
            <w:tr w14:paraId="716071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35E4007D">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6"/>
                      <w:kern w:val="0"/>
                      <w:sz w:val="21"/>
                      <w:szCs w:val="21"/>
                      <w:u w:val="none"/>
                    </w:rPr>
                  </w:pPr>
                </w:p>
              </w:tc>
              <w:tc>
                <w:tcPr>
                  <w:tcW w:w="542" w:type="pct"/>
                  <w:tcBorders>
                    <w:tl2br w:val="nil"/>
                    <w:tr2bl w:val="nil"/>
                  </w:tcBorders>
                  <w:vAlign w:val="center"/>
                </w:tcPr>
                <w:p w14:paraId="06F390E8">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化学需氧量</w:t>
                  </w:r>
                </w:p>
              </w:tc>
              <w:tc>
                <w:tcPr>
                  <w:tcW w:w="493" w:type="pct"/>
                  <w:tcBorders>
                    <w:tl2br w:val="nil"/>
                    <w:tr2bl w:val="nil"/>
                  </w:tcBorders>
                  <w:vAlign w:val="center"/>
                </w:tcPr>
                <w:p w14:paraId="490AD16C">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7"/>
                      <w:kern w:val="0"/>
                      <w:sz w:val="21"/>
                      <w:szCs w:val="21"/>
                      <w:u w:val="none"/>
                    </w:rPr>
                  </w:pPr>
                  <w:r>
                    <w:rPr>
                      <w:snapToGrid w:val="0"/>
                      <w:color w:val="000000"/>
                      <w:spacing w:val="-1"/>
                      <w:kern w:val="0"/>
                      <w:sz w:val="21"/>
                      <w:szCs w:val="21"/>
                      <w:u w:val="none"/>
                    </w:rPr>
                    <w:t>mg/L</w:t>
                  </w:r>
                </w:p>
              </w:tc>
              <w:tc>
                <w:tcPr>
                  <w:tcW w:w="752" w:type="pct"/>
                  <w:tcBorders>
                    <w:tl2br w:val="nil"/>
                    <w:tr2bl w:val="nil"/>
                  </w:tcBorders>
                  <w:vAlign w:val="center"/>
                </w:tcPr>
                <w:p w14:paraId="3F10FE77">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10</w:t>
                  </w:r>
                </w:p>
              </w:tc>
              <w:tc>
                <w:tcPr>
                  <w:tcW w:w="826" w:type="pct"/>
                  <w:tcBorders>
                    <w:tl2br w:val="nil"/>
                    <w:tr2bl w:val="nil"/>
                  </w:tcBorders>
                  <w:vAlign w:val="center"/>
                </w:tcPr>
                <w:p w14:paraId="09FEFA18">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11</w:t>
                  </w:r>
                </w:p>
              </w:tc>
              <w:tc>
                <w:tcPr>
                  <w:tcW w:w="764" w:type="pct"/>
                  <w:tcBorders>
                    <w:tl2br w:val="nil"/>
                    <w:tr2bl w:val="nil"/>
                  </w:tcBorders>
                  <w:vAlign w:val="center"/>
                </w:tcPr>
                <w:p w14:paraId="15CD1C8D">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9</w:t>
                  </w:r>
                </w:p>
              </w:tc>
              <w:tc>
                <w:tcPr>
                  <w:tcW w:w="383" w:type="pct"/>
                  <w:tcBorders>
                    <w:tl2br w:val="nil"/>
                    <w:tr2bl w:val="nil"/>
                  </w:tcBorders>
                  <w:vAlign w:val="center"/>
                </w:tcPr>
                <w:p w14:paraId="6A6D1289">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100</w:t>
                  </w:r>
                </w:p>
              </w:tc>
              <w:tc>
                <w:tcPr>
                  <w:tcW w:w="360" w:type="pct"/>
                  <w:tcBorders>
                    <w:tl2br w:val="nil"/>
                    <w:tr2bl w:val="nil"/>
                  </w:tcBorders>
                  <w:vAlign w:val="center"/>
                </w:tcPr>
                <w:p w14:paraId="756CFE30">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达标</w:t>
                  </w:r>
                </w:p>
              </w:tc>
            </w:tr>
            <w:tr w14:paraId="4EBCBD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1BE64B65">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tcBorders>
                    <w:tl2br w:val="nil"/>
                    <w:tr2bl w:val="nil"/>
                  </w:tcBorders>
                  <w:vAlign w:val="center"/>
                </w:tcPr>
                <w:p w14:paraId="6CE727BF">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spacing w:val="6"/>
                      <w:kern w:val="0"/>
                      <w:sz w:val="21"/>
                      <w:szCs w:val="21"/>
                      <w:u w:val="none"/>
                    </w:rPr>
                    <w:t>悬浮物</w:t>
                  </w:r>
                </w:p>
              </w:tc>
              <w:tc>
                <w:tcPr>
                  <w:tcW w:w="493" w:type="pct"/>
                  <w:tcBorders>
                    <w:tl2br w:val="nil"/>
                    <w:tr2bl w:val="nil"/>
                  </w:tcBorders>
                  <w:vAlign w:val="center"/>
                </w:tcPr>
                <w:p w14:paraId="7AECC438">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4"/>
                      <w:kern w:val="0"/>
                      <w:sz w:val="21"/>
                      <w:szCs w:val="21"/>
                      <w:u w:val="none"/>
                    </w:rPr>
                  </w:pPr>
                  <w:r>
                    <w:rPr>
                      <w:snapToGrid w:val="0"/>
                      <w:color w:val="000000"/>
                      <w:spacing w:val="4"/>
                      <w:kern w:val="0"/>
                      <w:sz w:val="21"/>
                      <w:szCs w:val="21"/>
                      <w:u w:val="none"/>
                    </w:rPr>
                    <w:t>mg/L</w:t>
                  </w:r>
                </w:p>
              </w:tc>
              <w:tc>
                <w:tcPr>
                  <w:tcW w:w="752" w:type="pct"/>
                  <w:tcBorders>
                    <w:tl2br w:val="nil"/>
                    <w:tr2bl w:val="nil"/>
                  </w:tcBorders>
                  <w:vAlign w:val="center"/>
                </w:tcPr>
                <w:p w14:paraId="68307FAB">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13</w:t>
                  </w:r>
                </w:p>
              </w:tc>
              <w:tc>
                <w:tcPr>
                  <w:tcW w:w="826" w:type="pct"/>
                  <w:tcBorders>
                    <w:tl2br w:val="nil"/>
                    <w:tr2bl w:val="nil"/>
                  </w:tcBorders>
                  <w:vAlign w:val="center"/>
                </w:tcPr>
                <w:p w14:paraId="279EAF8B">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12</w:t>
                  </w:r>
                </w:p>
              </w:tc>
              <w:tc>
                <w:tcPr>
                  <w:tcW w:w="764" w:type="pct"/>
                  <w:tcBorders>
                    <w:tl2br w:val="nil"/>
                    <w:tr2bl w:val="nil"/>
                  </w:tcBorders>
                  <w:vAlign w:val="center"/>
                </w:tcPr>
                <w:p w14:paraId="0DC13AF8">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11</w:t>
                  </w:r>
                </w:p>
              </w:tc>
              <w:tc>
                <w:tcPr>
                  <w:tcW w:w="383" w:type="pct"/>
                  <w:tcBorders>
                    <w:tl2br w:val="nil"/>
                    <w:tr2bl w:val="nil"/>
                  </w:tcBorders>
                  <w:vAlign w:val="center"/>
                </w:tcPr>
                <w:p w14:paraId="1F962EB1">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70</w:t>
                  </w:r>
                </w:p>
              </w:tc>
              <w:tc>
                <w:tcPr>
                  <w:tcW w:w="360" w:type="pct"/>
                  <w:tcBorders>
                    <w:tl2br w:val="nil"/>
                    <w:tr2bl w:val="nil"/>
                  </w:tcBorders>
                  <w:vAlign w:val="center"/>
                </w:tcPr>
                <w:p w14:paraId="5F8A110B">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达标</w:t>
                  </w:r>
                </w:p>
              </w:tc>
            </w:tr>
            <w:tr w14:paraId="7EDFD8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39C06293">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tcBorders>
                    <w:tl2br w:val="nil"/>
                    <w:tr2bl w:val="nil"/>
                  </w:tcBorders>
                  <w:vAlign w:val="center"/>
                </w:tcPr>
                <w:p w14:paraId="24927C84">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氨氮</w:t>
                  </w:r>
                </w:p>
              </w:tc>
              <w:tc>
                <w:tcPr>
                  <w:tcW w:w="493" w:type="pct"/>
                  <w:tcBorders>
                    <w:tl2br w:val="nil"/>
                    <w:tr2bl w:val="nil"/>
                  </w:tcBorders>
                  <w:vAlign w:val="center"/>
                </w:tcPr>
                <w:p w14:paraId="22BFA900">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4"/>
                      <w:kern w:val="0"/>
                      <w:sz w:val="21"/>
                      <w:szCs w:val="21"/>
                      <w:u w:val="none"/>
                    </w:rPr>
                  </w:pPr>
                  <w:r>
                    <w:rPr>
                      <w:snapToGrid w:val="0"/>
                      <w:color w:val="000000"/>
                      <w:spacing w:val="-1"/>
                      <w:kern w:val="0"/>
                      <w:sz w:val="21"/>
                      <w:szCs w:val="21"/>
                      <w:u w:val="none"/>
                    </w:rPr>
                    <w:t>mg/L</w:t>
                  </w:r>
                </w:p>
              </w:tc>
              <w:tc>
                <w:tcPr>
                  <w:tcW w:w="752" w:type="pct"/>
                  <w:tcBorders>
                    <w:tl2br w:val="nil"/>
                    <w:tr2bl w:val="nil"/>
                  </w:tcBorders>
                  <w:vAlign w:val="center"/>
                </w:tcPr>
                <w:p w14:paraId="2DC31EB2">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0.244</w:t>
                  </w:r>
                </w:p>
              </w:tc>
              <w:tc>
                <w:tcPr>
                  <w:tcW w:w="826" w:type="pct"/>
                  <w:tcBorders>
                    <w:tl2br w:val="nil"/>
                    <w:tr2bl w:val="nil"/>
                  </w:tcBorders>
                  <w:vAlign w:val="center"/>
                </w:tcPr>
                <w:p w14:paraId="317D6742">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0.254</w:t>
                  </w:r>
                </w:p>
              </w:tc>
              <w:tc>
                <w:tcPr>
                  <w:tcW w:w="764" w:type="pct"/>
                  <w:tcBorders>
                    <w:tl2br w:val="nil"/>
                    <w:tr2bl w:val="nil"/>
                  </w:tcBorders>
                  <w:vAlign w:val="center"/>
                </w:tcPr>
                <w:p w14:paraId="32EF2B97">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0.241</w:t>
                  </w:r>
                </w:p>
              </w:tc>
              <w:tc>
                <w:tcPr>
                  <w:tcW w:w="383" w:type="pct"/>
                  <w:tcBorders>
                    <w:tl2br w:val="nil"/>
                    <w:tr2bl w:val="nil"/>
                  </w:tcBorders>
                  <w:vAlign w:val="center"/>
                </w:tcPr>
                <w:p w14:paraId="5DDA33ED">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15</w:t>
                  </w:r>
                </w:p>
              </w:tc>
              <w:tc>
                <w:tcPr>
                  <w:tcW w:w="360" w:type="pct"/>
                  <w:tcBorders>
                    <w:tl2br w:val="nil"/>
                    <w:tr2bl w:val="nil"/>
                  </w:tcBorders>
                  <w:vAlign w:val="center"/>
                </w:tcPr>
                <w:p w14:paraId="1706E730">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达标</w:t>
                  </w:r>
                </w:p>
              </w:tc>
            </w:tr>
            <w:tr w14:paraId="65BD72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69" w:hRule="atLeast"/>
              </w:trPr>
              <w:tc>
                <w:tcPr>
                  <w:tcW w:w="878" w:type="pct"/>
                  <w:vMerge w:val="continue"/>
                  <w:tcBorders>
                    <w:tl2br w:val="nil"/>
                    <w:tr2bl w:val="nil"/>
                  </w:tcBorders>
                  <w:vAlign w:val="center"/>
                </w:tcPr>
                <w:p w14:paraId="6C93E607">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tcBorders>
                    <w:tl2br w:val="nil"/>
                    <w:tr2bl w:val="nil"/>
                  </w:tcBorders>
                  <w:vAlign w:val="center"/>
                </w:tcPr>
                <w:p w14:paraId="00EC9A73">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总磷</w:t>
                  </w:r>
                </w:p>
              </w:tc>
              <w:tc>
                <w:tcPr>
                  <w:tcW w:w="493" w:type="pct"/>
                  <w:tcBorders>
                    <w:tl2br w:val="nil"/>
                    <w:tr2bl w:val="nil"/>
                  </w:tcBorders>
                  <w:vAlign w:val="center"/>
                </w:tcPr>
                <w:p w14:paraId="0FEDE3A7">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6"/>
                      <w:kern w:val="0"/>
                      <w:sz w:val="21"/>
                      <w:szCs w:val="21"/>
                      <w:u w:val="none"/>
                    </w:rPr>
                  </w:pPr>
                  <w:r>
                    <w:rPr>
                      <w:snapToGrid w:val="0"/>
                      <w:color w:val="000000"/>
                      <w:spacing w:val="-1"/>
                      <w:kern w:val="0"/>
                      <w:sz w:val="21"/>
                      <w:szCs w:val="21"/>
                      <w:u w:val="none"/>
                    </w:rPr>
                    <w:t>mg/L</w:t>
                  </w:r>
                </w:p>
              </w:tc>
              <w:tc>
                <w:tcPr>
                  <w:tcW w:w="752" w:type="pct"/>
                  <w:tcBorders>
                    <w:tl2br w:val="nil"/>
                    <w:tr2bl w:val="nil"/>
                  </w:tcBorders>
                  <w:vAlign w:val="center"/>
                </w:tcPr>
                <w:p w14:paraId="34434826">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0.01</w:t>
                  </w:r>
                </w:p>
              </w:tc>
              <w:tc>
                <w:tcPr>
                  <w:tcW w:w="826" w:type="pct"/>
                  <w:tcBorders>
                    <w:tl2br w:val="nil"/>
                    <w:tr2bl w:val="nil"/>
                  </w:tcBorders>
                  <w:vAlign w:val="center"/>
                </w:tcPr>
                <w:p w14:paraId="1433ADEA">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0.02</w:t>
                  </w:r>
                </w:p>
              </w:tc>
              <w:tc>
                <w:tcPr>
                  <w:tcW w:w="764" w:type="pct"/>
                  <w:tcBorders>
                    <w:tl2br w:val="nil"/>
                    <w:tr2bl w:val="nil"/>
                  </w:tcBorders>
                  <w:vAlign w:val="center"/>
                </w:tcPr>
                <w:p w14:paraId="1DA3AC82">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0.01</w:t>
                  </w:r>
                </w:p>
              </w:tc>
              <w:tc>
                <w:tcPr>
                  <w:tcW w:w="383" w:type="pct"/>
                  <w:tcBorders>
                    <w:tl2br w:val="nil"/>
                    <w:tr2bl w:val="nil"/>
                  </w:tcBorders>
                  <w:vAlign w:val="center"/>
                </w:tcPr>
                <w:p w14:paraId="3039AE50">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eastAsia="zh-CN"/>
                    </w:rPr>
                  </w:pPr>
                  <w:r>
                    <w:rPr>
                      <w:rFonts w:hint="eastAsia"/>
                      <w:snapToGrid w:val="0"/>
                      <w:color w:val="000000"/>
                      <w:kern w:val="0"/>
                      <w:sz w:val="21"/>
                      <w:szCs w:val="21"/>
                      <w:u w:val="none"/>
                      <w:lang w:val="en-US" w:eastAsia="zh-CN"/>
                    </w:rPr>
                    <w:t>/</w:t>
                  </w:r>
                </w:p>
              </w:tc>
              <w:tc>
                <w:tcPr>
                  <w:tcW w:w="360" w:type="pct"/>
                  <w:tcBorders>
                    <w:tl2br w:val="nil"/>
                    <w:tr2bl w:val="nil"/>
                  </w:tcBorders>
                  <w:vAlign w:val="center"/>
                </w:tcPr>
                <w:p w14:paraId="2FE0FFAE">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达标</w:t>
                  </w:r>
                </w:p>
              </w:tc>
            </w:tr>
            <w:tr w14:paraId="5632282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2FDB378B">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tcBorders>
                    <w:tl2br w:val="nil"/>
                    <w:tr2bl w:val="nil"/>
                  </w:tcBorders>
                  <w:vAlign w:val="center"/>
                </w:tcPr>
                <w:p w14:paraId="07EEA85D">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spacing w:val="6"/>
                      <w:kern w:val="0"/>
                      <w:sz w:val="21"/>
                      <w:szCs w:val="21"/>
                      <w:u w:val="none"/>
                    </w:rPr>
                    <w:t>总氮</w:t>
                  </w:r>
                </w:p>
              </w:tc>
              <w:tc>
                <w:tcPr>
                  <w:tcW w:w="493" w:type="pct"/>
                  <w:tcBorders>
                    <w:tl2br w:val="nil"/>
                    <w:tr2bl w:val="nil"/>
                  </w:tcBorders>
                  <w:vAlign w:val="center"/>
                </w:tcPr>
                <w:p w14:paraId="69BDBB98">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6"/>
                      <w:kern w:val="0"/>
                      <w:sz w:val="21"/>
                      <w:szCs w:val="21"/>
                      <w:u w:val="none"/>
                    </w:rPr>
                  </w:pPr>
                  <w:r>
                    <w:rPr>
                      <w:snapToGrid w:val="0"/>
                      <w:color w:val="000000"/>
                      <w:spacing w:val="-1"/>
                      <w:kern w:val="0"/>
                      <w:sz w:val="21"/>
                      <w:szCs w:val="21"/>
                      <w:u w:val="none"/>
                    </w:rPr>
                    <w:t>mg/L</w:t>
                  </w:r>
                </w:p>
              </w:tc>
              <w:tc>
                <w:tcPr>
                  <w:tcW w:w="752" w:type="pct"/>
                  <w:tcBorders>
                    <w:tl2br w:val="nil"/>
                    <w:tr2bl w:val="nil"/>
                  </w:tcBorders>
                  <w:vAlign w:val="center"/>
                </w:tcPr>
                <w:p w14:paraId="2ED29ED2">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0.94</w:t>
                  </w:r>
                </w:p>
              </w:tc>
              <w:tc>
                <w:tcPr>
                  <w:tcW w:w="826" w:type="pct"/>
                  <w:tcBorders>
                    <w:tl2br w:val="nil"/>
                    <w:tr2bl w:val="nil"/>
                  </w:tcBorders>
                  <w:vAlign w:val="center"/>
                </w:tcPr>
                <w:p w14:paraId="6123A7A4">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0.66</w:t>
                  </w:r>
                </w:p>
              </w:tc>
              <w:tc>
                <w:tcPr>
                  <w:tcW w:w="764" w:type="pct"/>
                  <w:tcBorders>
                    <w:tl2br w:val="nil"/>
                    <w:tr2bl w:val="nil"/>
                  </w:tcBorders>
                  <w:vAlign w:val="center"/>
                </w:tcPr>
                <w:p w14:paraId="2FE3381D">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0.81</w:t>
                  </w:r>
                </w:p>
              </w:tc>
              <w:tc>
                <w:tcPr>
                  <w:tcW w:w="383" w:type="pct"/>
                  <w:tcBorders>
                    <w:tl2br w:val="nil"/>
                    <w:tr2bl w:val="nil"/>
                  </w:tcBorders>
                  <w:vAlign w:val="center"/>
                </w:tcPr>
                <w:p w14:paraId="1D57AFA3">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150</w:t>
                  </w:r>
                </w:p>
              </w:tc>
              <w:tc>
                <w:tcPr>
                  <w:tcW w:w="360" w:type="pct"/>
                  <w:tcBorders>
                    <w:tl2br w:val="nil"/>
                    <w:tr2bl w:val="nil"/>
                  </w:tcBorders>
                  <w:vAlign w:val="center"/>
                </w:tcPr>
                <w:p w14:paraId="47F9D376">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达标</w:t>
                  </w:r>
                </w:p>
              </w:tc>
            </w:tr>
            <w:tr w14:paraId="6B60EB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31BA8278">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tcBorders>
                    <w:tl2br w:val="nil"/>
                    <w:tr2bl w:val="nil"/>
                  </w:tcBorders>
                  <w:vAlign w:val="center"/>
                </w:tcPr>
                <w:p w14:paraId="5B2BFB93">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6"/>
                      <w:kern w:val="0"/>
                      <w:sz w:val="21"/>
                      <w:szCs w:val="21"/>
                      <w:u w:val="none"/>
                    </w:rPr>
                  </w:pPr>
                  <w:r>
                    <w:rPr>
                      <w:rFonts w:hint="eastAsia"/>
                      <w:snapToGrid w:val="0"/>
                      <w:color w:val="000000"/>
                      <w:spacing w:val="6"/>
                      <w:kern w:val="0"/>
                      <w:sz w:val="21"/>
                      <w:szCs w:val="21"/>
                      <w:u w:val="none"/>
                    </w:rPr>
                    <w:t>石油类</w:t>
                  </w:r>
                </w:p>
              </w:tc>
              <w:tc>
                <w:tcPr>
                  <w:tcW w:w="493" w:type="pct"/>
                  <w:tcBorders>
                    <w:tl2br w:val="nil"/>
                    <w:tr2bl w:val="nil"/>
                  </w:tcBorders>
                  <w:vAlign w:val="center"/>
                </w:tcPr>
                <w:p w14:paraId="415F2945">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4"/>
                      <w:kern w:val="0"/>
                      <w:sz w:val="21"/>
                      <w:szCs w:val="21"/>
                      <w:u w:val="none"/>
                    </w:rPr>
                  </w:pPr>
                  <w:r>
                    <w:rPr>
                      <w:snapToGrid w:val="0"/>
                      <w:color w:val="000000"/>
                      <w:spacing w:val="4"/>
                      <w:kern w:val="0"/>
                      <w:sz w:val="21"/>
                      <w:szCs w:val="21"/>
                      <w:u w:val="none"/>
                    </w:rPr>
                    <w:t>mg/L</w:t>
                  </w:r>
                </w:p>
              </w:tc>
              <w:tc>
                <w:tcPr>
                  <w:tcW w:w="752" w:type="pct"/>
                  <w:tcBorders>
                    <w:tl2br w:val="nil"/>
                    <w:tr2bl w:val="nil"/>
                  </w:tcBorders>
                  <w:vAlign w:val="center"/>
                </w:tcPr>
                <w:p w14:paraId="7ABF00FF">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ND</w:t>
                  </w:r>
                </w:p>
              </w:tc>
              <w:tc>
                <w:tcPr>
                  <w:tcW w:w="826" w:type="pct"/>
                  <w:tcBorders>
                    <w:tl2br w:val="nil"/>
                    <w:tr2bl w:val="nil"/>
                  </w:tcBorders>
                  <w:vAlign w:val="center"/>
                </w:tcPr>
                <w:p w14:paraId="0C963B0A">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3"/>
                      <w:kern w:val="0"/>
                      <w:sz w:val="21"/>
                      <w:szCs w:val="21"/>
                      <w:u w:val="none"/>
                    </w:rPr>
                  </w:pPr>
                  <w:r>
                    <w:rPr>
                      <w:rFonts w:hint="eastAsia"/>
                      <w:snapToGrid w:val="0"/>
                      <w:color w:val="000000"/>
                      <w:spacing w:val="-3"/>
                      <w:kern w:val="0"/>
                      <w:sz w:val="21"/>
                      <w:szCs w:val="21"/>
                      <w:u w:val="none"/>
                      <w:lang w:val="en-US" w:eastAsia="zh-CN"/>
                    </w:rPr>
                    <w:t>ND</w:t>
                  </w:r>
                </w:p>
              </w:tc>
              <w:tc>
                <w:tcPr>
                  <w:tcW w:w="764" w:type="pct"/>
                  <w:tcBorders>
                    <w:tl2br w:val="nil"/>
                    <w:tr2bl w:val="nil"/>
                  </w:tcBorders>
                  <w:vAlign w:val="center"/>
                </w:tcPr>
                <w:p w14:paraId="7A63A09B">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3"/>
                      <w:kern w:val="0"/>
                      <w:sz w:val="21"/>
                      <w:szCs w:val="21"/>
                      <w:u w:val="none"/>
                    </w:rPr>
                  </w:pPr>
                  <w:r>
                    <w:rPr>
                      <w:rFonts w:hint="eastAsia"/>
                      <w:snapToGrid w:val="0"/>
                      <w:color w:val="000000"/>
                      <w:spacing w:val="-3"/>
                      <w:kern w:val="0"/>
                      <w:sz w:val="21"/>
                      <w:szCs w:val="21"/>
                      <w:u w:val="none"/>
                      <w:lang w:val="en-US" w:eastAsia="zh-CN"/>
                    </w:rPr>
                    <w:t>ND</w:t>
                  </w:r>
                </w:p>
              </w:tc>
              <w:tc>
                <w:tcPr>
                  <w:tcW w:w="383" w:type="pct"/>
                  <w:tcBorders>
                    <w:tl2br w:val="nil"/>
                    <w:tr2bl w:val="nil"/>
                  </w:tcBorders>
                  <w:vAlign w:val="center"/>
                </w:tcPr>
                <w:p w14:paraId="5E213B31">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20</w:t>
                  </w:r>
                </w:p>
              </w:tc>
              <w:tc>
                <w:tcPr>
                  <w:tcW w:w="360" w:type="pct"/>
                  <w:tcBorders>
                    <w:tl2br w:val="nil"/>
                    <w:tr2bl w:val="nil"/>
                  </w:tcBorders>
                  <w:vAlign w:val="center"/>
                </w:tcPr>
                <w:p w14:paraId="3BE8C1D5">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达标</w:t>
                  </w:r>
                </w:p>
              </w:tc>
            </w:tr>
            <w:tr w14:paraId="163AD5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69" w:hRule="atLeast"/>
              </w:trPr>
              <w:tc>
                <w:tcPr>
                  <w:tcW w:w="878" w:type="pct"/>
                  <w:vMerge w:val="continue"/>
                  <w:tcBorders>
                    <w:tl2br w:val="nil"/>
                    <w:tr2bl w:val="nil"/>
                  </w:tcBorders>
                  <w:vAlign w:val="center"/>
                </w:tcPr>
                <w:p w14:paraId="0048FF35">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tcBorders>
                    <w:tl2br w:val="nil"/>
                    <w:tr2bl w:val="nil"/>
                  </w:tcBorders>
                  <w:vAlign w:val="center"/>
                </w:tcPr>
                <w:p w14:paraId="1ACA7E79">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spacing w:val="6"/>
                      <w:kern w:val="0"/>
                      <w:sz w:val="21"/>
                      <w:szCs w:val="21"/>
                      <w:u w:val="none"/>
                      <w:lang w:val="en-US" w:eastAsia="zh-CN"/>
                    </w:rPr>
                  </w:pPr>
                  <w:r>
                    <w:rPr>
                      <w:rFonts w:hint="eastAsia"/>
                      <w:snapToGrid w:val="0"/>
                      <w:color w:val="000000"/>
                      <w:spacing w:val="6"/>
                      <w:kern w:val="0"/>
                      <w:sz w:val="21"/>
                      <w:szCs w:val="21"/>
                      <w:u w:val="none"/>
                      <w:lang w:val="en-US" w:eastAsia="zh-CN"/>
                    </w:rPr>
                    <w:t>氟化物</w:t>
                  </w:r>
                </w:p>
              </w:tc>
              <w:tc>
                <w:tcPr>
                  <w:tcW w:w="493" w:type="pct"/>
                  <w:tcBorders>
                    <w:tl2br w:val="nil"/>
                    <w:tr2bl w:val="nil"/>
                  </w:tcBorders>
                  <w:vAlign w:val="center"/>
                </w:tcPr>
                <w:p w14:paraId="3971295F">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spacing w:val="-1"/>
                      <w:kern w:val="0"/>
                      <w:sz w:val="21"/>
                      <w:szCs w:val="21"/>
                      <w:u w:val="none"/>
                      <w:lang w:val="en-US" w:eastAsia="zh-CN"/>
                    </w:rPr>
                  </w:pPr>
                  <w:r>
                    <w:rPr>
                      <w:rFonts w:hint="eastAsia"/>
                      <w:snapToGrid w:val="0"/>
                      <w:color w:val="000000"/>
                      <w:spacing w:val="-1"/>
                      <w:kern w:val="0"/>
                      <w:sz w:val="21"/>
                      <w:szCs w:val="21"/>
                      <w:u w:val="none"/>
                      <w:lang w:val="en-US" w:eastAsia="zh-CN"/>
                    </w:rPr>
                    <w:t>mg/L</w:t>
                  </w:r>
                </w:p>
              </w:tc>
              <w:tc>
                <w:tcPr>
                  <w:tcW w:w="752" w:type="pct"/>
                  <w:tcBorders>
                    <w:tl2br w:val="nil"/>
                    <w:tr2bl w:val="nil"/>
                  </w:tcBorders>
                  <w:vAlign w:val="center"/>
                </w:tcPr>
                <w:p w14:paraId="56E7B231">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0.54</w:t>
                  </w:r>
                </w:p>
              </w:tc>
              <w:tc>
                <w:tcPr>
                  <w:tcW w:w="826" w:type="pct"/>
                  <w:tcBorders>
                    <w:tl2br w:val="nil"/>
                    <w:tr2bl w:val="nil"/>
                  </w:tcBorders>
                  <w:vAlign w:val="center"/>
                </w:tcPr>
                <w:p w14:paraId="3EABD50E">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0.51</w:t>
                  </w:r>
                </w:p>
              </w:tc>
              <w:tc>
                <w:tcPr>
                  <w:tcW w:w="764" w:type="pct"/>
                  <w:tcBorders>
                    <w:tl2br w:val="nil"/>
                    <w:tr2bl w:val="nil"/>
                  </w:tcBorders>
                  <w:vAlign w:val="center"/>
                </w:tcPr>
                <w:p w14:paraId="4672E147">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0.55</w:t>
                  </w:r>
                </w:p>
              </w:tc>
              <w:tc>
                <w:tcPr>
                  <w:tcW w:w="383" w:type="pct"/>
                  <w:tcBorders>
                    <w:tl2br w:val="nil"/>
                    <w:tr2bl w:val="nil"/>
                  </w:tcBorders>
                  <w:vAlign w:val="center"/>
                </w:tcPr>
                <w:p w14:paraId="2CFFB24C">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10</w:t>
                  </w:r>
                </w:p>
              </w:tc>
              <w:tc>
                <w:tcPr>
                  <w:tcW w:w="360" w:type="pct"/>
                  <w:tcBorders>
                    <w:tl2br w:val="nil"/>
                    <w:tr2bl w:val="nil"/>
                  </w:tcBorders>
                  <w:vAlign w:val="center"/>
                </w:tcPr>
                <w:p w14:paraId="47FDD78D">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达标</w:t>
                  </w:r>
                </w:p>
              </w:tc>
            </w:tr>
            <w:tr w14:paraId="24759B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46A5CC8D">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tcBorders>
                    <w:tl2br w:val="nil"/>
                    <w:tr2bl w:val="nil"/>
                  </w:tcBorders>
                  <w:vAlign w:val="center"/>
                </w:tcPr>
                <w:p w14:paraId="0B7348A2">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6"/>
                      <w:kern w:val="0"/>
                      <w:sz w:val="21"/>
                      <w:szCs w:val="21"/>
                      <w:u w:val="none"/>
                    </w:rPr>
                  </w:pPr>
                  <w:r>
                    <w:rPr>
                      <w:snapToGrid w:val="0"/>
                      <w:color w:val="000000"/>
                      <w:spacing w:val="6"/>
                      <w:kern w:val="0"/>
                      <w:sz w:val="21"/>
                      <w:szCs w:val="21"/>
                      <w:u w:val="none"/>
                    </w:rPr>
                    <w:t>硫化物</w:t>
                  </w:r>
                </w:p>
              </w:tc>
              <w:tc>
                <w:tcPr>
                  <w:tcW w:w="493" w:type="pct"/>
                  <w:tcBorders>
                    <w:tl2br w:val="nil"/>
                    <w:tr2bl w:val="nil"/>
                  </w:tcBorders>
                  <w:vAlign w:val="center"/>
                </w:tcPr>
                <w:p w14:paraId="60B6210E">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4"/>
                      <w:kern w:val="0"/>
                      <w:sz w:val="21"/>
                      <w:szCs w:val="21"/>
                      <w:u w:val="none"/>
                    </w:rPr>
                  </w:pPr>
                  <w:r>
                    <w:rPr>
                      <w:snapToGrid w:val="0"/>
                      <w:color w:val="000000"/>
                      <w:spacing w:val="-1"/>
                      <w:kern w:val="0"/>
                      <w:sz w:val="21"/>
                      <w:szCs w:val="21"/>
                      <w:u w:val="none"/>
                    </w:rPr>
                    <w:t>mg/L</w:t>
                  </w:r>
                </w:p>
              </w:tc>
              <w:tc>
                <w:tcPr>
                  <w:tcW w:w="752" w:type="pct"/>
                  <w:tcBorders>
                    <w:tl2br w:val="nil"/>
                    <w:tr2bl w:val="nil"/>
                  </w:tcBorders>
                  <w:vAlign w:val="center"/>
                </w:tcPr>
                <w:p w14:paraId="461EF2C3">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ND</w:t>
                  </w:r>
                </w:p>
              </w:tc>
              <w:tc>
                <w:tcPr>
                  <w:tcW w:w="826" w:type="pct"/>
                  <w:tcBorders>
                    <w:tl2br w:val="nil"/>
                    <w:tr2bl w:val="nil"/>
                  </w:tcBorders>
                  <w:vAlign w:val="center"/>
                </w:tcPr>
                <w:p w14:paraId="2C5407D8">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3"/>
                      <w:kern w:val="0"/>
                      <w:sz w:val="21"/>
                      <w:szCs w:val="21"/>
                      <w:u w:val="none"/>
                    </w:rPr>
                  </w:pPr>
                  <w:r>
                    <w:rPr>
                      <w:rFonts w:hint="eastAsia"/>
                      <w:snapToGrid w:val="0"/>
                      <w:color w:val="000000"/>
                      <w:spacing w:val="-3"/>
                      <w:kern w:val="0"/>
                      <w:sz w:val="21"/>
                      <w:szCs w:val="21"/>
                      <w:u w:val="none"/>
                      <w:lang w:val="en-US" w:eastAsia="zh-CN"/>
                    </w:rPr>
                    <w:t>ND</w:t>
                  </w:r>
                </w:p>
              </w:tc>
              <w:tc>
                <w:tcPr>
                  <w:tcW w:w="764" w:type="pct"/>
                  <w:tcBorders>
                    <w:tl2br w:val="nil"/>
                    <w:tr2bl w:val="nil"/>
                  </w:tcBorders>
                  <w:vAlign w:val="center"/>
                </w:tcPr>
                <w:p w14:paraId="2EBDBD9D">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3"/>
                      <w:kern w:val="0"/>
                      <w:sz w:val="21"/>
                      <w:szCs w:val="21"/>
                      <w:u w:val="none"/>
                    </w:rPr>
                  </w:pPr>
                  <w:r>
                    <w:rPr>
                      <w:rFonts w:hint="eastAsia"/>
                      <w:snapToGrid w:val="0"/>
                      <w:color w:val="000000"/>
                      <w:spacing w:val="-3"/>
                      <w:kern w:val="0"/>
                      <w:sz w:val="21"/>
                      <w:szCs w:val="21"/>
                      <w:u w:val="none"/>
                      <w:lang w:val="en-US" w:eastAsia="zh-CN"/>
                    </w:rPr>
                    <w:t>ND</w:t>
                  </w:r>
                </w:p>
              </w:tc>
              <w:tc>
                <w:tcPr>
                  <w:tcW w:w="383" w:type="pct"/>
                  <w:tcBorders>
                    <w:tl2br w:val="nil"/>
                    <w:tr2bl w:val="nil"/>
                  </w:tcBorders>
                  <w:vAlign w:val="center"/>
                </w:tcPr>
                <w:p w14:paraId="280DC936">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1.0</w:t>
                  </w:r>
                </w:p>
              </w:tc>
              <w:tc>
                <w:tcPr>
                  <w:tcW w:w="360" w:type="pct"/>
                  <w:tcBorders>
                    <w:tl2br w:val="nil"/>
                    <w:tr2bl w:val="nil"/>
                  </w:tcBorders>
                  <w:vAlign w:val="center"/>
                </w:tcPr>
                <w:p w14:paraId="33ECF4BC">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达标</w:t>
                  </w:r>
                </w:p>
              </w:tc>
            </w:tr>
            <w:tr w14:paraId="5CA27D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4ECDEC40">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tcBorders>
                    <w:tl2br w:val="nil"/>
                    <w:tr2bl w:val="nil"/>
                  </w:tcBorders>
                  <w:vAlign w:val="center"/>
                </w:tcPr>
                <w:p w14:paraId="4CED3F39">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6"/>
                      <w:kern w:val="0"/>
                      <w:sz w:val="21"/>
                      <w:szCs w:val="21"/>
                      <w:u w:val="none"/>
                    </w:rPr>
                  </w:pPr>
                  <w:r>
                    <w:rPr>
                      <w:snapToGrid w:val="0"/>
                      <w:color w:val="000000"/>
                      <w:spacing w:val="6"/>
                      <w:kern w:val="0"/>
                      <w:sz w:val="21"/>
                      <w:szCs w:val="21"/>
                      <w:u w:val="none"/>
                    </w:rPr>
                    <w:t>挥发酚</w:t>
                  </w:r>
                </w:p>
              </w:tc>
              <w:tc>
                <w:tcPr>
                  <w:tcW w:w="493" w:type="pct"/>
                  <w:tcBorders>
                    <w:tl2br w:val="nil"/>
                    <w:tr2bl w:val="nil"/>
                  </w:tcBorders>
                  <w:vAlign w:val="center"/>
                </w:tcPr>
                <w:p w14:paraId="449F3DBB">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1"/>
                      <w:kern w:val="0"/>
                      <w:sz w:val="21"/>
                      <w:szCs w:val="21"/>
                      <w:u w:val="none"/>
                    </w:rPr>
                  </w:pPr>
                  <w:r>
                    <w:rPr>
                      <w:rFonts w:hint="eastAsia"/>
                      <w:snapToGrid w:val="0"/>
                      <w:color w:val="000000"/>
                      <w:spacing w:val="-1"/>
                      <w:kern w:val="0"/>
                      <w:sz w:val="21"/>
                      <w:szCs w:val="21"/>
                      <w:u w:val="none"/>
                    </w:rPr>
                    <w:t>mg/L</w:t>
                  </w:r>
                </w:p>
              </w:tc>
              <w:tc>
                <w:tcPr>
                  <w:tcW w:w="752" w:type="pct"/>
                  <w:tcBorders>
                    <w:tl2br w:val="nil"/>
                    <w:tr2bl w:val="nil"/>
                  </w:tcBorders>
                  <w:vAlign w:val="center"/>
                </w:tcPr>
                <w:p w14:paraId="2C100879">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ND</w:t>
                  </w:r>
                </w:p>
              </w:tc>
              <w:tc>
                <w:tcPr>
                  <w:tcW w:w="826" w:type="pct"/>
                  <w:tcBorders>
                    <w:tl2br w:val="nil"/>
                    <w:tr2bl w:val="nil"/>
                  </w:tcBorders>
                  <w:vAlign w:val="center"/>
                </w:tcPr>
                <w:p w14:paraId="7E21E61E">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3"/>
                      <w:kern w:val="0"/>
                      <w:sz w:val="21"/>
                      <w:szCs w:val="21"/>
                      <w:u w:val="none"/>
                    </w:rPr>
                  </w:pPr>
                  <w:r>
                    <w:rPr>
                      <w:rFonts w:hint="eastAsia"/>
                      <w:snapToGrid w:val="0"/>
                      <w:color w:val="000000"/>
                      <w:spacing w:val="-3"/>
                      <w:kern w:val="0"/>
                      <w:sz w:val="21"/>
                      <w:szCs w:val="21"/>
                      <w:u w:val="none"/>
                      <w:lang w:val="en-US" w:eastAsia="zh-CN"/>
                    </w:rPr>
                    <w:t>ND</w:t>
                  </w:r>
                </w:p>
              </w:tc>
              <w:tc>
                <w:tcPr>
                  <w:tcW w:w="764" w:type="pct"/>
                  <w:tcBorders>
                    <w:tl2br w:val="nil"/>
                    <w:tr2bl w:val="nil"/>
                  </w:tcBorders>
                  <w:vAlign w:val="center"/>
                </w:tcPr>
                <w:p w14:paraId="7585F6C5">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3"/>
                      <w:kern w:val="0"/>
                      <w:sz w:val="21"/>
                      <w:szCs w:val="21"/>
                      <w:u w:val="none"/>
                    </w:rPr>
                  </w:pPr>
                  <w:r>
                    <w:rPr>
                      <w:rFonts w:hint="eastAsia"/>
                      <w:snapToGrid w:val="0"/>
                      <w:color w:val="000000"/>
                      <w:spacing w:val="-3"/>
                      <w:kern w:val="0"/>
                      <w:sz w:val="21"/>
                      <w:szCs w:val="21"/>
                      <w:u w:val="none"/>
                      <w:lang w:val="en-US" w:eastAsia="zh-CN"/>
                    </w:rPr>
                    <w:t>ND</w:t>
                  </w:r>
                </w:p>
              </w:tc>
              <w:tc>
                <w:tcPr>
                  <w:tcW w:w="383" w:type="pct"/>
                  <w:tcBorders>
                    <w:tl2br w:val="nil"/>
                    <w:tr2bl w:val="nil"/>
                  </w:tcBorders>
                  <w:vAlign w:val="center"/>
                </w:tcPr>
                <w:p w14:paraId="7E32A4D0">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0.5</w:t>
                  </w:r>
                </w:p>
              </w:tc>
              <w:tc>
                <w:tcPr>
                  <w:tcW w:w="360" w:type="pct"/>
                  <w:tcBorders>
                    <w:tl2br w:val="nil"/>
                    <w:tr2bl w:val="nil"/>
                  </w:tcBorders>
                  <w:vAlign w:val="center"/>
                </w:tcPr>
                <w:p w14:paraId="77E9BA71">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达标</w:t>
                  </w:r>
                </w:p>
              </w:tc>
            </w:tr>
            <w:tr w14:paraId="7E5DB1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878" w:type="pct"/>
                  <w:vMerge w:val="restart"/>
                  <w:vAlign w:val="center"/>
                </w:tcPr>
                <w:p w14:paraId="64D2EBA6">
                  <w:pPr>
                    <w:widowControl/>
                    <w:autoSpaceDE w:val="0"/>
                    <w:autoSpaceDN w:val="0"/>
                    <w:adjustRightInd w:val="0"/>
                    <w:snapToGrid w:val="0"/>
                    <w:spacing w:line="240" w:lineRule="auto"/>
                    <w:ind w:left="0" w:leftChars="0" w:right="0" w:rightChars="0" w:firstLine="0" w:firstLineChars="0"/>
                    <w:jc w:val="center"/>
                    <w:textAlignment w:val="baseline"/>
                    <w:rPr>
                      <w:rFonts w:hint="default"/>
                      <w:b/>
                      <w:bCs/>
                      <w:snapToGrid w:val="0"/>
                      <w:color w:val="000000"/>
                      <w:kern w:val="0"/>
                      <w:sz w:val="21"/>
                      <w:szCs w:val="21"/>
                      <w:u w:val="none"/>
                      <w:lang w:val="en-US" w:eastAsia="zh-CN"/>
                    </w:rPr>
                  </w:pPr>
                  <w:r>
                    <w:rPr>
                      <w:rFonts w:hint="eastAsia"/>
                      <w:b/>
                      <w:bCs/>
                      <w:snapToGrid w:val="0"/>
                      <w:color w:val="000000"/>
                      <w:kern w:val="0"/>
                      <w:sz w:val="21"/>
                      <w:szCs w:val="21"/>
                      <w:u w:val="none"/>
                      <w:lang w:val="en-US" w:eastAsia="zh-CN"/>
                    </w:rPr>
                    <w:t>采样日期</w:t>
                  </w:r>
                </w:p>
              </w:tc>
              <w:tc>
                <w:tcPr>
                  <w:tcW w:w="542" w:type="pct"/>
                  <w:vMerge w:val="restart"/>
                  <w:shd w:val="clear" w:color="auto" w:fill="auto"/>
                  <w:vAlign w:val="center"/>
                </w:tcPr>
                <w:p w14:paraId="341585BE">
                  <w:pPr>
                    <w:widowControl/>
                    <w:autoSpaceDE w:val="0"/>
                    <w:autoSpaceDN w:val="0"/>
                    <w:adjustRightInd w:val="0"/>
                    <w:snapToGrid w:val="0"/>
                    <w:spacing w:line="240" w:lineRule="auto"/>
                    <w:ind w:left="0" w:leftChars="0" w:right="0" w:rightChars="0" w:firstLine="0" w:firstLineChars="0"/>
                    <w:jc w:val="center"/>
                    <w:textAlignment w:val="baseline"/>
                    <w:rPr>
                      <w:rFonts w:hint="default"/>
                      <w:b/>
                      <w:bCs/>
                      <w:snapToGrid w:val="0"/>
                      <w:color w:val="000000"/>
                      <w:spacing w:val="6"/>
                      <w:kern w:val="0"/>
                      <w:sz w:val="21"/>
                      <w:szCs w:val="21"/>
                      <w:u w:val="none"/>
                      <w:lang w:val="en-US" w:eastAsia="zh-CN"/>
                    </w:rPr>
                  </w:pPr>
                  <w:r>
                    <w:rPr>
                      <w:rFonts w:hint="eastAsia"/>
                      <w:b/>
                      <w:bCs/>
                      <w:snapToGrid w:val="0"/>
                      <w:color w:val="000000"/>
                      <w:spacing w:val="6"/>
                      <w:kern w:val="0"/>
                      <w:sz w:val="21"/>
                      <w:szCs w:val="21"/>
                      <w:u w:val="none"/>
                      <w:lang w:val="en-US" w:eastAsia="zh-CN"/>
                    </w:rPr>
                    <w:t>检测项目</w:t>
                  </w:r>
                </w:p>
              </w:tc>
              <w:tc>
                <w:tcPr>
                  <w:tcW w:w="493" w:type="pct"/>
                  <w:vMerge w:val="restart"/>
                  <w:shd w:val="clear" w:color="auto" w:fill="auto"/>
                  <w:vAlign w:val="center"/>
                </w:tcPr>
                <w:p w14:paraId="454D413E">
                  <w:pPr>
                    <w:widowControl/>
                    <w:autoSpaceDE w:val="0"/>
                    <w:autoSpaceDN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b/>
                      <w:bCs/>
                      <w:snapToGrid w:val="0"/>
                      <w:color w:val="000000"/>
                      <w:spacing w:val="-1"/>
                      <w:kern w:val="0"/>
                      <w:sz w:val="21"/>
                      <w:szCs w:val="21"/>
                      <w:u w:val="none"/>
                      <w:lang w:val="en-US" w:eastAsia="zh-CN"/>
                    </w:rPr>
                  </w:pPr>
                  <w:r>
                    <w:rPr>
                      <w:rFonts w:hint="eastAsia" w:cs="Times New Roman"/>
                      <w:b/>
                      <w:bCs/>
                      <w:snapToGrid w:val="0"/>
                      <w:color w:val="000000"/>
                      <w:spacing w:val="-1"/>
                      <w:kern w:val="0"/>
                      <w:sz w:val="21"/>
                      <w:szCs w:val="21"/>
                      <w:u w:val="none"/>
                      <w:lang w:val="en-US" w:eastAsia="zh-CN"/>
                    </w:rPr>
                    <w:t>单位</w:t>
                  </w:r>
                </w:p>
              </w:tc>
              <w:tc>
                <w:tcPr>
                  <w:tcW w:w="2342" w:type="pct"/>
                  <w:gridSpan w:val="3"/>
                  <w:vAlign w:val="center"/>
                </w:tcPr>
                <w:p w14:paraId="5E1E1250">
                  <w:pPr>
                    <w:widowControl/>
                    <w:autoSpaceDE w:val="0"/>
                    <w:autoSpaceDN w:val="0"/>
                    <w:adjustRightInd w:val="0"/>
                    <w:snapToGrid w:val="0"/>
                    <w:spacing w:line="240" w:lineRule="auto"/>
                    <w:ind w:left="0" w:leftChars="0" w:right="0" w:rightChars="0" w:firstLine="0" w:firstLineChars="0"/>
                    <w:jc w:val="center"/>
                    <w:textAlignment w:val="baseline"/>
                    <w:rPr>
                      <w:b/>
                      <w:bCs/>
                      <w:snapToGrid w:val="0"/>
                      <w:color w:val="000000"/>
                      <w:spacing w:val="-3"/>
                      <w:kern w:val="0"/>
                      <w:sz w:val="21"/>
                      <w:szCs w:val="21"/>
                      <w:u w:val="none"/>
                    </w:rPr>
                  </w:pPr>
                  <w:r>
                    <w:rPr>
                      <w:rFonts w:hint="eastAsia"/>
                      <w:b/>
                      <w:bCs/>
                      <w:snapToGrid w:val="0"/>
                      <w:color w:val="000000"/>
                      <w:spacing w:val="-3"/>
                      <w:kern w:val="0"/>
                      <w:sz w:val="21"/>
                      <w:szCs w:val="21"/>
                      <w:u w:val="none"/>
                      <w:lang w:val="en-US" w:eastAsia="zh-CN"/>
                    </w:rPr>
                    <w:t>检测结果</w:t>
                  </w:r>
                </w:p>
              </w:tc>
              <w:tc>
                <w:tcPr>
                  <w:tcW w:w="383" w:type="pct"/>
                  <w:vMerge w:val="restart"/>
                  <w:vAlign w:val="center"/>
                </w:tcPr>
                <w:p w14:paraId="79B06BFD">
                  <w:pPr>
                    <w:widowControl/>
                    <w:autoSpaceDE w:val="0"/>
                    <w:autoSpaceDN w:val="0"/>
                    <w:adjustRightInd w:val="0"/>
                    <w:snapToGrid w:val="0"/>
                    <w:spacing w:line="240" w:lineRule="auto"/>
                    <w:ind w:left="0" w:leftChars="0" w:right="0" w:rightChars="0" w:firstLine="0" w:firstLineChars="0"/>
                    <w:jc w:val="center"/>
                    <w:textAlignment w:val="baseline"/>
                    <w:rPr>
                      <w:rFonts w:hint="default"/>
                      <w:b/>
                      <w:bCs/>
                      <w:snapToGrid w:val="0"/>
                      <w:color w:val="000000"/>
                      <w:kern w:val="0"/>
                      <w:sz w:val="21"/>
                      <w:szCs w:val="21"/>
                      <w:u w:val="none"/>
                      <w:lang w:val="en-US" w:eastAsia="zh-CN"/>
                    </w:rPr>
                  </w:pPr>
                  <w:r>
                    <w:rPr>
                      <w:rFonts w:hint="eastAsia"/>
                      <w:b/>
                      <w:bCs/>
                      <w:snapToGrid w:val="0"/>
                      <w:color w:val="000000"/>
                      <w:kern w:val="0"/>
                      <w:sz w:val="21"/>
                      <w:szCs w:val="21"/>
                      <w:u w:val="none"/>
                      <w:lang w:val="en-US" w:eastAsia="zh-CN"/>
                    </w:rPr>
                    <w:t>标准限值</w:t>
                  </w:r>
                </w:p>
              </w:tc>
              <w:tc>
                <w:tcPr>
                  <w:tcW w:w="360" w:type="pct"/>
                  <w:vMerge w:val="restart"/>
                  <w:vAlign w:val="center"/>
                </w:tcPr>
                <w:p w14:paraId="333D1B80">
                  <w:pPr>
                    <w:widowControl/>
                    <w:autoSpaceDE w:val="0"/>
                    <w:autoSpaceDN w:val="0"/>
                    <w:adjustRightInd w:val="0"/>
                    <w:snapToGrid w:val="0"/>
                    <w:spacing w:line="240" w:lineRule="auto"/>
                    <w:ind w:left="0" w:leftChars="0" w:right="0" w:rightChars="0" w:firstLine="0" w:firstLineChars="0"/>
                    <w:jc w:val="center"/>
                    <w:textAlignment w:val="baseline"/>
                    <w:rPr>
                      <w:rFonts w:hint="default"/>
                      <w:snapToGrid w:val="0"/>
                      <w:color w:val="000000"/>
                      <w:kern w:val="0"/>
                      <w:sz w:val="21"/>
                      <w:szCs w:val="21"/>
                      <w:u w:val="none"/>
                      <w:lang w:val="en-US" w:eastAsia="zh-CN"/>
                    </w:rPr>
                  </w:pPr>
                  <w:r>
                    <w:rPr>
                      <w:rFonts w:hint="eastAsia"/>
                      <w:b/>
                      <w:bCs/>
                      <w:snapToGrid w:val="0"/>
                      <w:color w:val="000000"/>
                      <w:kern w:val="0"/>
                      <w:sz w:val="21"/>
                      <w:szCs w:val="21"/>
                      <w:u w:val="none"/>
                      <w:lang w:val="en-US" w:eastAsia="zh-CN"/>
                    </w:rPr>
                    <w:t>达标情况</w:t>
                  </w:r>
                </w:p>
              </w:tc>
            </w:tr>
            <w:tr w14:paraId="075D4D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878" w:type="pct"/>
                  <w:vMerge w:val="continue"/>
                  <w:vAlign w:val="center"/>
                </w:tcPr>
                <w:p w14:paraId="4D30FC63">
                  <w:pPr>
                    <w:widowControl/>
                    <w:autoSpaceDE w:val="0"/>
                    <w:autoSpaceDN w:val="0"/>
                    <w:adjustRightInd w:val="0"/>
                    <w:snapToGrid w:val="0"/>
                    <w:spacing w:line="240" w:lineRule="auto"/>
                    <w:ind w:left="0" w:leftChars="0" w:right="0" w:rightChars="0" w:firstLine="0" w:firstLineChars="0"/>
                    <w:jc w:val="center"/>
                    <w:textAlignment w:val="baseline"/>
                  </w:pPr>
                </w:p>
              </w:tc>
              <w:tc>
                <w:tcPr>
                  <w:tcW w:w="542" w:type="pct"/>
                  <w:vMerge w:val="continue"/>
                  <w:shd w:val="clear" w:color="auto" w:fill="auto"/>
                  <w:vAlign w:val="center"/>
                </w:tcPr>
                <w:p w14:paraId="20129D5E">
                  <w:pPr>
                    <w:widowControl/>
                    <w:autoSpaceDE w:val="0"/>
                    <w:autoSpaceDN w:val="0"/>
                    <w:adjustRightInd w:val="0"/>
                    <w:snapToGrid w:val="0"/>
                    <w:spacing w:line="240" w:lineRule="auto"/>
                    <w:ind w:left="0" w:leftChars="0" w:right="0" w:rightChars="0" w:firstLine="0" w:firstLineChars="0"/>
                    <w:jc w:val="center"/>
                    <w:textAlignment w:val="baseline"/>
                  </w:pPr>
                </w:p>
              </w:tc>
              <w:tc>
                <w:tcPr>
                  <w:tcW w:w="493" w:type="pct"/>
                  <w:vMerge w:val="continue"/>
                  <w:shd w:val="clear" w:color="auto" w:fill="auto"/>
                  <w:vAlign w:val="center"/>
                </w:tcPr>
                <w:p w14:paraId="70BFA10D">
                  <w:pPr>
                    <w:widowControl/>
                    <w:autoSpaceDE w:val="0"/>
                    <w:autoSpaceDN w:val="0"/>
                    <w:adjustRightInd w:val="0"/>
                    <w:snapToGrid w:val="0"/>
                    <w:spacing w:line="240" w:lineRule="auto"/>
                    <w:ind w:left="0" w:leftChars="0" w:right="0" w:rightChars="0" w:firstLine="0" w:firstLineChars="0"/>
                    <w:jc w:val="center"/>
                    <w:textAlignment w:val="baseline"/>
                  </w:pPr>
                </w:p>
              </w:tc>
              <w:tc>
                <w:tcPr>
                  <w:tcW w:w="752" w:type="pct"/>
                  <w:vAlign w:val="center"/>
                </w:tcPr>
                <w:p w14:paraId="0E7813D3">
                  <w:pPr>
                    <w:widowControl/>
                    <w:autoSpaceDE w:val="0"/>
                    <w:autoSpaceDN w:val="0"/>
                    <w:adjustRightInd w:val="0"/>
                    <w:snapToGrid w:val="0"/>
                    <w:spacing w:line="240" w:lineRule="auto"/>
                    <w:ind w:left="0" w:leftChars="0" w:right="0" w:rightChars="0" w:firstLine="0" w:firstLineChars="0"/>
                    <w:jc w:val="center"/>
                    <w:textAlignment w:val="baseline"/>
                    <w:rPr>
                      <w:rFonts w:hint="default"/>
                      <w:b/>
                      <w:bCs/>
                      <w:snapToGrid w:val="0"/>
                      <w:color w:val="000000"/>
                      <w:spacing w:val="-3"/>
                      <w:kern w:val="0"/>
                      <w:sz w:val="21"/>
                      <w:szCs w:val="21"/>
                      <w:u w:val="none"/>
                      <w:lang w:val="en-US"/>
                    </w:rPr>
                  </w:pPr>
                  <w:r>
                    <w:rPr>
                      <w:rFonts w:hint="eastAsia"/>
                      <w:b/>
                      <w:bCs/>
                      <w:snapToGrid w:val="0"/>
                      <w:color w:val="000000"/>
                      <w:kern w:val="0"/>
                      <w:sz w:val="21"/>
                      <w:szCs w:val="21"/>
                      <w:u w:val="none"/>
                      <w:lang w:val="en-US" w:eastAsia="zh-CN"/>
                    </w:rPr>
                    <w:t>一期循环冷却水排放口DW003</w:t>
                  </w:r>
                </w:p>
              </w:tc>
              <w:tc>
                <w:tcPr>
                  <w:tcW w:w="826" w:type="pct"/>
                  <w:vAlign w:val="center"/>
                </w:tcPr>
                <w:p w14:paraId="7FCBCBF0">
                  <w:pPr>
                    <w:widowControl/>
                    <w:autoSpaceDE w:val="0"/>
                    <w:autoSpaceDN w:val="0"/>
                    <w:adjustRightInd w:val="0"/>
                    <w:snapToGrid w:val="0"/>
                    <w:spacing w:line="240" w:lineRule="auto"/>
                    <w:ind w:left="0" w:leftChars="0" w:right="0" w:rightChars="0" w:firstLine="0" w:firstLineChars="0"/>
                    <w:jc w:val="center"/>
                    <w:textAlignment w:val="baseline"/>
                    <w:rPr>
                      <w:rFonts w:hint="eastAsia"/>
                      <w:b/>
                      <w:bCs/>
                      <w:snapToGrid w:val="0"/>
                      <w:color w:val="000000"/>
                      <w:kern w:val="0"/>
                      <w:sz w:val="21"/>
                      <w:szCs w:val="21"/>
                      <w:u w:val="none"/>
                      <w:lang w:val="en-US" w:eastAsia="zh-CN"/>
                    </w:rPr>
                  </w:pPr>
                  <w:r>
                    <w:rPr>
                      <w:rFonts w:hint="eastAsia"/>
                      <w:b/>
                      <w:bCs/>
                      <w:snapToGrid w:val="0"/>
                      <w:color w:val="000000"/>
                      <w:kern w:val="0"/>
                      <w:sz w:val="21"/>
                      <w:szCs w:val="21"/>
                      <w:u w:val="none"/>
                      <w:lang w:val="en-US" w:eastAsia="zh-CN"/>
                    </w:rPr>
                    <w:t>二期循环冷却水排放口</w:t>
                  </w:r>
                </w:p>
                <w:p w14:paraId="51FA3AC5">
                  <w:pPr>
                    <w:widowControl/>
                    <w:autoSpaceDE w:val="0"/>
                    <w:autoSpaceDN w:val="0"/>
                    <w:adjustRightInd w:val="0"/>
                    <w:snapToGrid w:val="0"/>
                    <w:spacing w:line="240" w:lineRule="auto"/>
                    <w:ind w:left="0" w:leftChars="0" w:right="0" w:rightChars="0" w:firstLine="0" w:firstLineChars="0"/>
                    <w:jc w:val="center"/>
                    <w:textAlignment w:val="baseline"/>
                    <w:rPr>
                      <w:b/>
                      <w:bCs/>
                      <w:snapToGrid w:val="0"/>
                      <w:color w:val="000000"/>
                      <w:spacing w:val="-3"/>
                      <w:kern w:val="0"/>
                      <w:sz w:val="21"/>
                      <w:szCs w:val="21"/>
                      <w:u w:val="none"/>
                    </w:rPr>
                  </w:pPr>
                  <w:r>
                    <w:rPr>
                      <w:rFonts w:hint="eastAsia"/>
                      <w:b/>
                      <w:bCs/>
                      <w:snapToGrid w:val="0"/>
                      <w:color w:val="000000"/>
                      <w:kern w:val="0"/>
                      <w:sz w:val="21"/>
                      <w:szCs w:val="21"/>
                      <w:u w:val="none"/>
                      <w:lang w:val="en-US" w:eastAsia="zh-CN"/>
                    </w:rPr>
                    <w:t>DW004</w:t>
                  </w:r>
                </w:p>
              </w:tc>
              <w:tc>
                <w:tcPr>
                  <w:tcW w:w="764" w:type="pct"/>
                  <w:vAlign w:val="center"/>
                </w:tcPr>
                <w:p w14:paraId="4349097B">
                  <w:pPr>
                    <w:widowControl/>
                    <w:autoSpaceDE w:val="0"/>
                    <w:autoSpaceDN w:val="0"/>
                    <w:adjustRightInd w:val="0"/>
                    <w:snapToGrid w:val="0"/>
                    <w:spacing w:line="240" w:lineRule="auto"/>
                    <w:ind w:left="0" w:leftChars="0" w:right="0" w:rightChars="0" w:firstLine="0" w:firstLineChars="0"/>
                    <w:jc w:val="center"/>
                    <w:textAlignment w:val="baseline"/>
                    <w:rPr>
                      <w:rFonts w:hint="default"/>
                      <w:b/>
                      <w:bCs/>
                      <w:snapToGrid w:val="0"/>
                      <w:color w:val="000000"/>
                      <w:spacing w:val="-3"/>
                      <w:kern w:val="0"/>
                      <w:sz w:val="21"/>
                      <w:szCs w:val="21"/>
                      <w:u w:val="none"/>
                      <w:lang w:val="en-US"/>
                    </w:rPr>
                  </w:pPr>
                  <w:r>
                    <w:rPr>
                      <w:rFonts w:hint="eastAsia"/>
                      <w:b/>
                      <w:bCs/>
                      <w:snapToGrid w:val="0"/>
                      <w:color w:val="000000"/>
                      <w:kern w:val="0"/>
                      <w:sz w:val="21"/>
                      <w:szCs w:val="21"/>
                      <w:u w:val="none"/>
                      <w:lang w:val="en-US" w:eastAsia="zh-CN"/>
                    </w:rPr>
                    <w:t>三期循环冷却水排放口DW005</w:t>
                  </w:r>
                </w:p>
              </w:tc>
              <w:tc>
                <w:tcPr>
                  <w:tcW w:w="383" w:type="pct"/>
                  <w:vMerge w:val="continue"/>
                  <w:vAlign w:val="center"/>
                </w:tcPr>
                <w:p w14:paraId="1131E511">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3"/>
                      <w:kern w:val="0"/>
                      <w:sz w:val="21"/>
                      <w:szCs w:val="21"/>
                      <w:u w:val="none"/>
                    </w:rPr>
                  </w:pPr>
                </w:p>
              </w:tc>
              <w:tc>
                <w:tcPr>
                  <w:tcW w:w="360" w:type="pct"/>
                  <w:vMerge w:val="continue"/>
                  <w:vAlign w:val="center"/>
                </w:tcPr>
                <w:p w14:paraId="29BAF3D5">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3"/>
                      <w:kern w:val="0"/>
                      <w:sz w:val="21"/>
                      <w:szCs w:val="21"/>
                      <w:u w:val="none"/>
                    </w:rPr>
                  </w:pPr>
                </w:p>
              </w:tc>
            </w:tr>
            <w:tr w14:paraId="752517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restart"/>
                  <w:vAlign w:val="center"/>
                </w:tcPr>
                <w:p w14:paraId="5F7416F1">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spacing w:val="6"/>
                      <w:kern w:val="0"/>
                      <w:sz w:val="21"/>
                      <w:szCs w:val="21"/>
                      <w:u w:val="none"/>
                      <w:lang w:val="en-US" w:eastAsia="zh-CN"/>
                    </w:rPr>
                    <w:t>2025.12.09</w:t>
                  </w:r>
                </w:p>
              </w:tc>
              <w:tc>
                <w:tcPr>
                  <w:tcW w:w="542" w:type="pct"/>
                  <w:shd w:val="clear" w:color="auto" w:fill="auto"/>
                  <w:vAlign w:val="center"/>
                </w:tcPr>
                <w:p w14:paraId="63C2D33D">
                  <w:pPr>
                    <w:widowControl/>
                    <w:autoSpaceDE w:val="0"/>
                    <w:autoSpaceDN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spacing w:val="6"/>
                      <w:kern w:val="0"/>
                      <w:sz w:val="21"/>
                      <w:szCs w:val="21"/>
                      <w:u w:val="none"/>
                      <w:lang w:val="en-US" w:eastAsia="zh-CN" w:bidi="ar-SA"/>
                    </w:rPr>
                  </w:pPr>
                  <w:r>
                    <w:rPr>
                      <w:rFonts w:hint="eastAsia"/>
                      <w:snapToGrid w:val="0"/>
                      <w:color w:val="000000"/>
                      <w:spacing w:val="6"/>
                      <w:kern w:val="0"/>
                      <w:sz w:val="21"/>
                      <w:szCs w:val="21"/>
                      <w:u w:val="none"/>
                      <w:lang w:val="en-US" w:eastAsia="zh-CN"/>
                    </w:rPr>
                    <w:t>水温</w:t>
                  </w:r>
                </w:p>
              </w:tc>
              <w:tc>
                <w:tcPr>
                  <w:tcW w:w="493" w:type="pct"/>
                  <w:shd w:val="clear" w:color="auto" w:fill="auto"/>
                  <w:vAlign w:val="center"/>
                </w:tcPr>
                <w:p w14:paraId="599771F9">
                  <w:pPr>
                    <w:widowControl/>
                    <w:autoSpaceDE w:val="0"/>
                    <w:autoSpaceDN w:val="0"/>
                    <w:adjustRightInd w:val="0"/>
                    <w:snapToGrid w:val="0"/>
                    <w:spacing w:line="240" w:lineRule="auto"/>
                    <w:ind w:left="0" w:leftChars="0" w:right="0" w:rightChars="0" w:firstLine="0" w:firstLineChars="0"/>
                    <w:jc w:val="center"/>
                    <w:textAlignment w:val="baseline"/>
                    <w:rPr>
                      <w:rFonts w:ascii="Times New Roman" w:hAnsi="Times New Roman" w:eastAsia="宋体" w:cs="Times New Roman"/>
                      <w:snapToGrid w:val="0"/>
                      <w:color w:val="000000"/>
                      <w:spacing w:val="-1"/>
                      <w:kern w:val="0"/>
                      <w:sz w:val="21"/>
                      <w:szCs w:val="21"/>
                      <w:u w:val="none"/>
                      <w:lang w:val="en-US" w:eastAsia="zh-CN" w:bidi="ar-SA"/>
                    </w:rPr>
                  </w:pPr>
                  <w:r>
                    <w:rPr>
                      <w:rFonts w:hint="default" w:ascii="Times New Roman" w:hAnsi="Times New Roman" w:cs="Times New Roman"/>
                      <w:snapToGrid w:val="0"/>
                      <w:color w:val="000000"/>
                      <w:spacing w:val="-1"/>
                      <w:kern w:val="0"/>
                      <w:sz w:val="21"/>
                      <w:szCs w:val="21"/>
                      <w:u w:val="none"/>
                      <w:lang w:val="en-US" w:eastAsia="zh-CN"/>
                    </w:rPr>
                    <w:t>℃</w:t>
                  </w:r>
                </w:p>
              </w:tc>
              <w:tc>
                <w:tcPr>
                  <w:tcW w:w="752" w:type="pct"/>
                  <w:vAlign w:val="center"/>
                </w:tcPr>
                <w:p w14:paraId="0EF1026E">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16.5</w:t>
                  </w:r>
                </w:p>
              </w:tc>
              <w:tc>
                <w:tcPr>
                  <w:tcW w:w="826" w:type="pct"/>
                  <w:vAlign w:val="center"/>
                </w:tcPr>
                <w:p w14:paraId="3EF1909E">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15.1</w:t>
                  </w:r>
                </w:p>
              </w:tc>
              <w:tc>
                <w:tcPr>
                  <w:tcW w:w="764" w:type="pct"/>
                  <w:vAlign w:val="center"/>
                </w:tcPr>
                <w:p w14:paraId="063D8A84">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19.2</w:t>
                  </w:r>
                </w:p>
              </w:tc>
              <w:tc>
                <w:tcPr>
                  <w:tcW w:w="383" w:type="pct"/>
                  <w:vAlign w:val="center"/>
                </w:tcPr>
                <w:p w14:paraId="04437A62">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c>
                <w:tcPr>
                  <w:tcW w:w="360" w:type="pct"/>
                  <w:vAlign w:val="center"/>
                </w:tcPr>
                <w:p w14:paraId="5A25D6EF">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r>
            <w:tr w14:paraId="3DF1B6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vAlign w:val="center"/>
                </w:tcPr>
                <w:p w14:paraId="22462207">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shd w:val="clear" w:color="auto" w:fill="auto"/>
                  <w:vAlign w:val="center"/>
                </w:tcPr>
                <w:p w14:paraId="0928209F">
                  <w:pPr>
                    <w:widowControl/>
                    <w:autoSpaceDE w:val="0"/>
                    <w:autoSpaceDN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napToGrid w:val="0"/>
                      <w:color w:val="000000"/>
                      <w:spacing w:val="6"/>
                      <w:kern w:val="0"/>
                      <w:sz w:val="21"/>
                      <w:szCs w:val="21"/>
                      <w:u w:val="none"/>
                      <w:lang w:val="en-US" w:eastAsia="zh-CN" w:bidi="ar-SA"/>
                    </w:rPr>
                  </w:pPr>
                  <w:r>
                    <w:rPr>
                      <w:rFonts w:hint="eastAsia"/>
                      <w:snapToGrid w:val="0"/>
                      <w:color w:val="000000"/>
                      <w:spacing w:val="6"/>
                      <w:kern w:val="0"/>
                      <w:sz w:val="21"/>
                      <w:szCs w:val="21"/>
                      <w:u w:val="none"/>
                      <w:lang w:val="en-US" w:eastAsia="zh-CN"/>
                    </w:rPr>
                    <w:t>pH</w:t>
                  </w:r>
                </w:p>
              </w:tc>
              <w:tc>
                <w:tcPr>
                  <w:tcW w:w="493" w:type="pct"/>
                  <w:shd w:val="clear" w:color="auto" w:fill="auto"/>
                  <w:vAlign w:val="center"/>
                </w:tcPr>
                <w:p w14:paraId="1A78C0A1">
                  <w:pPr>
                    <w:widowControl/>
                    <w:autoSpaceDE w:val="0"/>
                    <w:autoSpaceDN w:val="0"/>
                    <w:adjustRightInd w:val="0"/>
                    <w:snapToGrid w:val="0"/>
                    <w:spacing w:line="240" w:lineRule="auto"/>
                    <w:ind w:left="0" w:leftChars="0" w:right="0" w:rightChars="0" w:firstLine="0" w:firstLineChars="0"/>
                    <w:jc w:val="center"/>
                    <w:textAlignment w:val="baseline"/>
                    <w:rPr>
                      <w:rFonts w:ascii="Times New Roman" w:hAnsi="Times New Roman" w:eastAsia="宋体" w:cs="Times New Roman"/>
                      <w:snapToGrid w:val="0"/>
                      <w:color w:val="000000"/>
                      <w:spacing w:val="6"/>
                      <w:kern w:val="0"/>
                      <w:sz w:val="21"/>
                      <w:szCs w:val="21"/>
                      <w:u w:val="none"/>
                      <w:lang w:val="en-US" w:eastAsia="zh-CN" w:bidi="ar-SA"/>
                    </w:rPr>
                  </w:pPr>
                  <w:r>
                    <w:rPr>
                      <w:snapToGrid w:val="0"/>
                      <w:color w:val="000000"/>
                      <w:spacing w:val="-1"/>
                      <w:kern w:val="0"/>
                      <w:sz w:val="21"/>
                      <w:szCs w:val="21"/>
                      <w:u w:val="none"/>
                    </w:rPr>
                    <w:t>mg/L</w:t>
                  </w:r>
                </w:p>
              </w:tc>
              <w:tc>
                <w:tcPr>
                  <w:tcW w:w="752" w:type="pct"/>
                  <w:vAlign w:val="center"/>
                </w:tcPr>
                <w:p w14:paraId="1DF5CA0B">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7.5</w:t>
                  </w:r>
                </w:p>
              </w:tc>
              <w:tc>
                <w:tcPr>
                  <w:tcW w:w="826" w:type="pct"/>
                  <w:vAlign w:val="center"/>
                </w:tcPr>
                <w:p w14:paraId="7E2531C7">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8.1</w:t>
                  </w:r>
                </w:p>
              </w:tc>
              <w:tc>
                <w:tcPr>
                  <w:tcW w:w="764" w:type="pct"/>
                  <w:vAlign w:val="center"/>
                </w:tcPr>
                <w:p w14:paraId="6B32165D">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7.7</w:t>
                  </w:r>
                </w:p>
              </w:tc>
              <w:tc>
                <w:tcPr>
                  <w:tcW w:w="383" w:type="pct"/>
                  <w:vAlign w:val="center"/>
                </w:tcPr>
                <w:p w14:paraId="73594B39">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6~9</w:t>
                  </w:r>
                </w:p>
              </w:tc>
              <w:tc>
                <w:tcPr>
                  <w:tcW w:w="360" w:type="pct"/>
                  <w:vAlign w:val="center"/>
                </w:tcPr>
                <w:p w14:paraId="57A986BF">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r>
            <w:tr w14:paraId="3F6462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vAlign w:val="center"/>
                </w:tcPr>
                <w:p w14:paraId="24665CE6">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shd w:val="clear" w:color="auto" w:fill="auto"/>
                  <w:vAlign w:val="center"/>
                </w:tcPr>
                <w:p w14:paraId="40B9B292">
                  <w:pPr>
                    <w:widowControl/>
                    <w:autoSpaceDE w:val="0"/>
                    <w:autoSpaceDN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spacing w:val="6"/>
                      <w:kern w:val="0"/>
                      <w:sz w:val="21"/>
                      <w:szCs w:val="21"/>
                      <w:u w:val="none"/>
                      <w:lang w:val="en-US" w:eastAsia="zh-CN" w:bidi="ar-SA"/>
                    </w:rPr>
                  </w:pPr>
                  <w:r>
                    <w:rPr>
                      <w:rFonts w:hint="eastAsia" w:cs="Times New Roman"/>
                      <w:snapToGrid w:val="0"/>
                      <w:color w:val="000000"/>
                      <w:spacing w:val="6"/>
                      <w:kern w:val="0"/>
                      <w:sz w:val="21"/>
                      <w:szCs w:val="21"/>
                      <w:u w:val="none"/>
                      <w:lang w:val="en-US" w:eastAsia="zh-CN" w:bidi="ar-SA"/>
                    </w:rPr>
                    <w:t>化学需氧量</w:t>
                  </w:r>
                </w:p>
              </w:tc>
              <w:tc>
                <w:tcPr>
                  <w:tcW w:w="493" w:type="pct"/>
                  <w:shd w:val="clear" w:color="auto" w:fill="auto"/>
                  <w:vAlign w:val="center"/>
                </w:tcPr>
                <w:p w14:paraId="30687B18">
                  <w:pPr>
                    <w:widowControl/>
                    <w:autoSpaceDE w:val="0"/>
                    <w:autoSpaceDN w:val="0"/>
                    <w:adjustRightInd w:val="0"/>
                    <w:snapToGrid w:val="0"/>
                    <w:spacing w:line="240" w:lineRule="auto"/>
                    <w:ind w:left="0" w:leftChars="0" w:right="0" w:rightChars="0"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snapToGrid w:val="0"/>
                      <w:color w:val="000000"/>
                      <w:spacing w:val="-1"/>
                      <w:kern w:val="0"/>
                      <w:sz w:val="21"/>
                      <w:szCs w:val="21"/>
                      <w:u w:val="none"/>
                    </w:rPr>
                    <w:t>mg/L</w:t>
                  </w:r>
                </w:p>
              </w:tc>
              <w:tc>
                <w:tcPr>
                  <w:tcW w:w="752" w:type="pct"/>
                  <w:vAlign w:val="center"/>
                </w:tcPr>
                <w:p w14:paraId="6D717C41">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11</w:t>
                  </w:r>
                </w:p>
              </w:tc>
              <w:tc>
                <w:tcPr>
                  <w:tcW w:w="826" w:type="pct"/>
                  <w:vAlign w:val="center"/>
                </w:tcPr>
                <w:p w14:paraId="3B466BC9">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9</w:t>
                  </w:r>
                </w:p>
              </w:tc>
              <w:tc>
                <w:tcPr>
                  <w:tcW w:w="764" w:type="pct"/>
                  <w:vAlign w:val="center"/>
                </w:tcPr>
                <w:p w14:paraId="61FF46E3">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12</w:t>
                  </w:r>
                </w:p>
              </w:tc>
              <w:tc>
                <w:tcPr>
                  <w:tcW w:w="383" w:type="pct"/>
                  <w:vAlign w:val="center"/>
                </w:tcPr>
                <w:p w14:paraId="3B4655FC">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100</w:t>
                  </w:r>
                </w:p>
              </w:tc>
              <w:tc>
                <w:tcPr>
                  <w:tcW w:w="360" w:type="pct"/>
                  <w:vAlign w:val="center"/>
                </w:tcPr>
                <w:p w14:paraId="0E98B744">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r>
            <w:tr w14:paraId="30B3F3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vAlign w:val="center"/>
                </w:tcPr>
                <w:p w14:paraId="3CD9CBA5">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shd w:val="clear" w:color="auto" w:fill="auto"/>
                  <w:vAlign w:val="center"/>
                </w:tcPr>
                <w:p w14:paraId="11C4F174">
                  <w:pPr>
                    <w:widowControl/>
                    <w:autoSpaceDE w:val="0"/>
                    <w:autoSpaceDN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spacing w:val="6"/>
                      <w:kern w:val="0"/>
                      <w:sz w:val="21"/>
                      <w:szCs w:val="21"/>
                      <w:u w:val="none"/>
                      <w:lang w:val="en-US" w:eastAsia="zh-CN" w:bidi="ar-SA"/>
                    </w:rPr>
                  </w:pPr>
                  <w:r>
                    <w:rPr>
                      <w:rFonts w:hint="eastAsia" w:cs="Times New Roman"/>
                      <w:snapToGrid w:val="0"/>
                      <w:color w:val="000000"/>
                      <w:spacing w:val="6"/>
                      <w:kern w:val="0"/>
                      <w:sz w:val="21"/>
                      <w:szCs w:val="21"/>
                      <w:u w:val="none"/>
                      <w:lang w:val="en-US" w:eastAsia="zh-CN" w:bidi="ar-SA"/>
                    </w:rPr>
                    <w:t>氨氮</w:t>
                  </w:r>
                </w:p>
              </w:tc>
              <w:tc>
                <w:tcPr>
                  <w:tcW w:w="493" w:type="pct"/>
                  <w:shd w:val="clear" w:color="auto" w:fill="auto"/>
                  <w:vAlign w:val="center"/>
                </w:tcPr>
                <w:p w14:paraId="66028BE7">
                  <w:pPr>
                    <w:widowControl/>
                    <w:autoSpaceDE w:val="0"/>
                    <w:autoSpaceDN w:val="0"/>
                    <w:adjustRightInd w:val="0"/>
                    <w:snapToGrid w:val="0"/>
                    <w:spacing w:line="240" w:lineRule="auto"/>
                    <w:ind w:left="0" w:leftChars="0" w:right="0" w:rightChars="0" w:firstLine="0" w:firstLineChars="0"/>
                    <w:jc w:val="center"/>
                    <w:textAlignment w:val="baseline"/>
                    <w:rPr>
                      <w:rFonts w:ascii="Times New Roman" w:hAnsi="Times New Roman" w:eastAsia="宋体" w:cs="Times New Roman"/>
                      <w:snapToGrid w:val="0"/>
                      <w:color w:val="000000"/>
                      <w:spacing w:val="4"/>
                      <w:kern w:val="0"/>
                      <w:sz w:val="21"/>
                      <w:szCs w:val="21"/>
                      <w:u w:val="none"/>
                      <w:lang w:val="en-US" w:eastAsia="zh-CN" w:bidi="ar-SA"/>
                    </w:rPr>
                  </w:pPr>
                  <w:r>
                    <w:rPr>
                      <w:snapToGrid w:val="0"/>
                      <w:color w:val="000000"/>
                      <w:spacing w:val="4"/>
                      <w:kern w:val="0"/>
                      <w:sz w:val="21"/>
                      <w:szCs w:val="21"/>
                      <w:u w:val="none"/>
                    </w:rPr>
                    <w:t>mg/L</w:t>
                  </w:r>
                </w:p>
              </w:tc>
              <w:tc>
                <w:tcPr>
                  <w:tcW w:w="752" w:type="pct"/>
                  <w:vAlign w:val="center"/>
                </w:tcPr>
                <w:p w14:paraId="41D14F72">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1.11</w:t>
                  </w:r>
                </w:p>
              </w:tc>
              <w:tc>
                <w:tcPr>
                  <w:tcW w:w="826" w:type="pct"/>
                  <w:vAlign w:val="center"/>
                </w:tcPr>
                <w:p w14:paraId="7858C0D3">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0.141</w:t>
                  </w:r>
                </w:p>
              </w:tc>
              <w:tc>
                <w:tcPr>
                  <w:tcW w:w="764" w:type="pct"/>
                  <w:vAlign w:val="center"/>
                </w:tcPr>
                <w:p w14:paraId="03558B3E">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0.107</w:t>
                  </w:r>
                </w:p>
              </w:tc>
              <w:tc>
                <w:tcPr>
                  <w:tcW w:w="383" w:type="pct"/>
                  <w:vAlign w:val="center"/>
                </w:tcPr>
                <w:p w14:paraId="3764DFB4">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15</w:t>
                  </w:r>
                </w:p>
              </w:tc>
              <w:tc>
                <w:tcPr>
                  <w:tcW w:w="360" w:type="pct"/>
                  <w:vAlign w:val="center"/>
                </w:tcPr>
                <w:p w14:paraId="2C4F6DA0">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r>
            <w:tr w14:paraId="1F3B5F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vAlign w:val="center"/>
                </w:tcPr>
                <w:p w14:paraId="465515DE">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shd w:val="clear" w:color="auto" w:fill="auto"/>
                  <w:vAlign w:val="center"/>
                </w:tcPr>
                <w:p w14:paraId="22FFC98B">
                  <w:pPr>
                    <w:widowControl/>
                    <w:autoSpaceDE w:val="0"/>
                    <w:autoSpaceDN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spacing w:val="6"/>
                      <w:kern w:val="0"/>
                      <w:sz w:val="21"/>
                      <w:szCs w:val="21"/>
                      <w:u w:val="none"/>
                      <w:lang w:val="en-US" w:eastAsia="zh-CN" w:bidi="ar-SA"/>
                    </w:rPr>
                  </w:pPr>
                  <w:r>
                    <w:rPr>
                      <w:rFonts w:hint="eastAsia" w:cs="Times New Roman"/>
                      <w:snapToGrid w:val="0"/>
                      <w:color w:val="000000"/>
                      <w:spacing w:val="6"/>
                      <w:kern w:val="0"/>
                      <w:sz w:val="21"/>
                      <w:szCs w:val="21"/>
                      <w:u w:val="none"/>
                      <w:lang w:val="en-US" w:eastAsia="zh-CN" w:bidi="ar-SA"/>
                    </w:rPr>
                    <w:t>总磷</w:t>
                  </w:r>
                </w:p>
              </w:tc>
              <w:tc>
                <w:tcPr>
                  <w:tcW w:w="493" w:type="pct"/>
                  <w:shd w:val="clear" w:color="auto" w:fill="auto"/>
                  <w:vAlign w:val="center"/>
                </w:tcPr>
                <w:p w14:paraId="4171D5E3">
                  <w:pPr>
                    <w:widowControl/>
                    <w:autoSpaceDE w:val="0"/>
                    <w:autoSpaceDN w:val="0"/>
                    <w:adjustRightInd w:val="0"/>
                    <w:snapToGrid w:val="0"/>
                    <w:spacing w:line="240" w:lineRule="auto"/>
                    <w:ind w:left="0" w:leftChars="0" w:right="0" w:rightChars="0" w:firstLine="0" w:firstLineChars="0"/>
                    <w:jc w:val="center"/>
                    <w:textAlignment w:val="baseline"/>
                    <w:rPr>
                      <w:rFonts w:ascii="Times New Roman" w:hAnsi="Times New Roman" w:eastAsia="宋体" w:cs="Times New Roman"/>
                      <w:snapToGrid w:val="0"/>
                      <w:color w:val="000000"/>
                      <w:spacing w:val="4"/>
                      <w:kern w:val="0"/>
                      <w:sz w:val="21"/>
                      <w:szCs w:val="21"/>
                      <w:u w:val="none"/>
                      <w:lang w:val="en-US" w:eastAsia="zh-CN" w:bidi="ar-SA"/>
                    </w:rPr>
                  </w:pPr>
                  <w:r>
                    <w:rPr>
                      <w:snapToGrid w:val="0"/>
                      <w:color w:val="000000"/>
                      <w:spacing w:val="-1"/>
                      <w:kern w:val="0"/>
                      <w:sz w:val="21"/>
                      <w:szCs w:val="21"/>
                      <w:u w:val="none"/>
                    </w:rPr>
                    <w:t>mg/L</w:t>
                  </w:r>
                </w:p>
              </w:tc>
              <w:tc>
                <w:tcPr>
                  <w:tcW w:w="752" w:type="pct"/>
                  <w:vAlign w:val="center"/>
                </w:tcPr>
                <w:p w14:paraId="06C3C753">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0.03</w:t>
                  </w:r>
                </w:p>
              </w:tc>
              <w:tc>
                <w:tcPr>
                  <w:tcW w:w="826" w:type="pct"/>
                  <w:vAlign w:val="center"/>
                </w:tcPr>
                <w:p w14:paraId="6611A94E">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0.03</w:t>
                  </w:r>
                </w:p>
              </w:tc>
              <w:tc>
                <w:tcPr>
                  <w:tcW w:w="764" w:type="pct"/>
                  <w:vAlign w:val="center"/>
                </w:tcPr>
                <w:p w14:paraId="485D57D1">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0.04</w:t>
                  </w:r>
                </w:p>
              </w:tc>
              <w:tc>
                <w:tcPr>
                  <w:tcW w:w="383" w:type="pct"/>
                  <w:vAlign w:val="center"/>
                </w:tcPr>
                <w:p w14:paraId="38EACD11">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c>
                <w:tcPr>
                  <w:tcW w:w="360" w:type="pct"/>
                  <w:vAlign w:val="center"/>
                </w:tcPr>
                <w:p w14:paraId="6367B906">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r>
            <w:tr w14:paraId="59F701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vAlign w:val="center"/>
                </w:tcPr>
                <w:p w14:paraId="326BE4DC">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shd w:val="clear" w:color="auto" w:fill="auto"/>
                  <w:vAlign w:val="center"/>
                </w:tcPr>
                <w:p w14:paraId="3D8FC825">
                  <w:pPr>
                    <w:widowControl/>
                    <w:autoSpaceDE w:val="0"/>
                    <w:autoSpaceDN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spacing w:val="6"/>
                      <w:kern w:val="0"/>
                      <w:sz w:val="21"/>
                      <w:szCs w:val="21"/>
                      <w:u w:val="none"/>
                      <w:lang w:val="en-US" w:eastAsia="zh-CN" w:bidi="ar-SA"/>
                    </w:rPr>
                  </w:pPr>
                  <w:r>
                    <w:rPr>
                      <w:rFonts w:hint="eastAsia" w:cs="Times New Roman"/>
                      <w:snapToGrid w:val="0"/>
                      <w:color w:val="000000"/>
                      <w:spacing w:val="6"/>
                      <w:kern w:val="0"/>
                      <w:sz w:val="21"/>
                      <w:szCs w:val="21"/>
                      <w:u w:val="none"/>
                      <w:lang w:val="en-US" w:eastAsia="zh-CN" w:bidi="ar-SA"/>
                    </w:rPr>
                    <w:t>总氮</w:t>
                  </w:r>
                </w:p>
              </w:tc>
              <w:tc>
                <w:tcPr>
                  <w:tcW w:w="493" w:type="pct"/>
                  <w:shd w:val="clear" w:color="auto" w:fill="auto"/>
                  <w:vAlign w:val="center"/>
                </w:tcPr>
                <w:p w14:paraId="41F10E89">
                  <w:pPr>
                    <w:widowControl/>
                    <w:autoSpaceDE w:val="0"/>
                    <w:autoSpaceDN w:val="0"/>
                    <w:adjustRightInd w:val="0"/>
                    <w:snapToGrid w:val="0"/>
                    <w:spacing w:line="240" w:lineRule="auto"/>
                    <w:ind w:left="0" w:leftChars="0" w:right="0" w:rightChars="0" w:firstLine="0" w:firstLineChars="0"/>
                    <w:jc w:val="center"/>
                    <w:textAlignment w:val="baseline"/>
                    <w:rPr>
                      <w:rFonts w:ascii="Times New Roman" w:hAnsi="Times New Roman" w:eastAsia="宋体" w:cs="Times New Roman"/>
                      <w:snapToGrid w:val="0"/>
                      <w:color w:val="000000"/>
                      <w:spacing w:val="6"/>
                      <w:kern w:val="0"/>
                      <w:sz w:val="21"/>
                      <w:szCs w:val="21"/>
                      <w:u w:val="none"/>
                      <w:lang w:val="en-US" w:eastAsia="zh-CN" w:bidi="ar-SA"/>
                    </w:rPr>
                  </w:pPr>
                  <w:r>
                    <w:rPr>
                      <w:snapToGrid w:val="0"/>
                      <w:color w:val="000000"/>
                      <w:spacing w:val="-1"/>
                      <w:kern w:val="0"/>
                      <w:sz w:val="21"/>
                      <w:szCs w:val="21"/>
                      <w:u w:val="none"/>
                    </w:rPr>
                    <w:t>mg/L</w:t>
                  </w:r>
                </w:p>
              </w:tc>
              <w:tc>
                <w:tcPr>
                  <w:tcW w:w="752" w:type="pct"/>
                  <w:vAlign w:val="center"/>
                </w:tcPr>
                <w:p w14:paraId="338B8F09">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1.41</w:t>
                  </w:r>
                </w:p>
              </w:tc>
              <w:tc>
                <w:tcPr>
                  <w:tcW w:w="826" w:type="pct"/>
                  <w:vAlign w:val="center"/>
                </w:tcPr>
                <w:p w14:paraId="33514D74">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0.53</w:t>
                  </w:r>
                </w:p>
              </w:tc>
              <w:tc>
                <w:tcPr>
                  <w:tcW w:w="764" w:type="pct"/>
                  <w:vAlign w:val="center"/>
                </w:tcPr>
                <w:p w14:paraId="2C79E564">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0.43</w:t>
                  </w:r>
                </w:p>
              </w:tc>
              <w:tc>
                <w:tcPr>
                  <w:tcW w:w="383" w:type="pct"/>
                  <w:vAlign w:val="center"/>
                </w:tcPr>
                <w:p w14:paraId="4745C747">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c>
                <w:tcPr>
                  <w:tcW w:w="360" w:type="pct"/>
                  <w:vAlign w:val="center"/>
                </w:tcPr>
                <w:p w14:paraId="460BB36A">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r>
          </w:tbl>
          <w:p w14:paraId="211CB517">
            <w:pPr>
              <w:pStyle w:val="160"/>
              <w:spacing w:before="120" w:beforeLines="50"/>
              <w:ind w:firstLine="0" w:firstLineChars="0"/>
              <w:outlineLvl w:val="3"/>
              <w:rPr>
                <w:rFonts w:hint="default"/>
                <w:b/>
                <w:bCs/>
                <w:color w:val="auto"/>
                <w:u w:val="none"/>
              </w:rPr>
            </w:pPr>
            <w:r>
              <w:rPr>
                <w:b/>
                <w:bCs/>
                <w:color w:val="auto"/>
                <w:u w:val="none"/>
              </w:rPr>
              <w:t xml:space="preserve">1.2.2 </w:t>
            </w:r>
            <w:r>
              <w:rPr>
                <w:rFonts w:hint="default"/>
                <w:b/>
                <w:bCs/>
                <w:color w:val="auto"/>
                <w:u w:val="none"/>
              </w:rPr>
              <w:t>废气污染源排放情况</w:t>
            </w:r>
          </w:p>
          <w:p w14:paraId="748010CF">
            <w:pPr>
              <w:keepNext w:val="0"/>
              <w:keepLines w:val="0"/>
              <w:pageBreakBefore w:val="0"/>
              <w:widowControl/>
              <w:numPr>
                <w:ilvl w:val="255"/>
                <w:numId w:val="0"/>
              </w:numPr>
              <w:kinsoku/>
              <w:wordWrap/>
              <w:overflowPunct/>
              <w:topLinePunct w:val="0"/>
              <w:autoSpaceDE/>
              <w:autoSpaceDN/>
              <w:bidi w:val="0"/>
              <w:adjustRightInd/>
              <w:snapToGrid/>
              <w:ind w:firstLine="480" w:firstLineChars="200"/>
              <w:jc w:val="both"/>
              <w:textAlignment w:val="auto"/>
              <w:rPr>
                <w:rFonts w:hint="default"/>
                <w:color w:val="000000"/>
                <w:kern w:val="0"/>
                <w:sz w:val="24"/>
                <w:u w:val="none"/>
                <w:lang w:val="en-US" w:eastAsia="zh-CN" w:bidi="ar"/>
              </w:rPr>
            </w:pPr>
            <w:r>
              <w:rPr>
                <w:rFonts w:hint="eastAsia"/>
                <w:color w:val="000000"/>
                <w:kern w:val="0"/>
                <w:sz w:val="24"/>
                <w:u w:val="none"/>
                <w:lang w:val="en-US" w:eastAsia="zh-CN" w:bidi="ar"/>
              </w:rPr>
              <w:t>现有项目主要废气来源为燃煤在锅炉内燃烧后产生的烟气、储灰场筒仓呼吸粉尘、煤场煤粉尘以及油库和氨站区储罐废气。其中燃煤在锅炉内燃烧后产生的烟气经低氮燃烧+SCR+静电除尘器+石灰石-石膏湿法脱硫+240m高烟囱达标排放，厂区共设置三个废气排放口（其中1#机组和2#机组共用1根排气筒DA001，3#机组和4#机组共用一根排气筒DA002，5#机组和6#机组共用一根排气筒DA003）；筒仓呼吸粉尘经仓顶脉冲布袋除尘器处理后自出气口排放，煤场煤粉尘处理措施为全封闭煤场，煤场下风向设置抑尘网；储罐废气在厂区内无组织排放。</w:t>
            </w:r>
          </w:p>
          <w:p w14:paraId="71EEC54D">
            <w:pPr>
              <w:keepNext w:val="0"/>
              <w:keepLines w:val="0"/>
              <w:pageBreakBefore w:val="0"/>
              <w:widowControl/>
              <w:numPr>
                <w:ilvl w:val="255"/>
                <w:numId w:val="0"/>
              </w:numPr>
              <w:kinsoku/>
              <w:wordWrap/>
              <w:overflowPunct/>
              <w:topLinePunct w:val="0"/>
              <w:autoSpaceDE/>
              <w:autoSpaceDN/>
              <w:bidi w:val="0"/>
              <w:adjustRightInd/>
              <w:snapToGrid/>
              <w:ind w:firstLine="480" w:firstLineChars="200"/>
              <w:jc w:val="both"/>
              <w:textAlignment w:val="auto"/>
              <w:rPr>
                <w:rFonts w:hint="eastAsia"/>
                <w:sz w:val="24"/>
                <w:highlight w:val="none"/>
                <w:u w:val="none"/>
                <w:lang w:val="en-US" w:eastAsia="zh-CN"/>
              </w:rPr>
            </w:pPr>
            <w:r>
              <w:rPr>
                <w:rFonts w:hint="eastAsia"/>
                <w:color w:val="000000"/>
                <w:kern w:val="0"/>
                <w:sz w:val="24"/>
                <w:u w:val="none"/>
                <w:lang w:val="en-US" w:eastAsia="zh-CN" w:bidi="ar"/>
              </w:rPr>
              <w:t>根据湖南中测湘源检测有限公司</w:t>
            </w:r>
            <w:r>
              <w:rPr>
                <w:rFonts w:hint="eastAsia"/>
                <w:sz w:val="24"/>
                <w:highlight w:val="none"/>
                <w:u w:val="none"/>
              </w:rPr>
              <w:t>于</w:t>
            </w:r>
            <w:r>
              <w:rPr>
                <w:rFonts w:hint="eastAsia"/>
                <w:sz w:val="24"/>
                <w:highlight w:val="none"/>
                <w:u w:val="none"/>
                <w:lang w:val="en-US" w:eastAsia="zh-CN"/>
              </w:rPr>
              <w:t>2025年1月24日、</w:t>
            </w:r>
            <w:r>
              <w:rPr>
                <w:rFonts w:hint="eastAsia"/>
                <w:sz w:val="24"/>
                <w:highlight w:val="none"/>
                <w:u w:val="none"/>
              </w:rPr>
              <w:t>2025年</w:t>
            </w:r>
            <w:r>
              <w:rPr>
                <w:rFonts w:hint="eastAsia"/>
                <w:sz w:val="24"/>
                <w:highlight w:val="none"/>
                <w:u w:val="none"/>
                <w:lang w:val="en-US" w:eastAsia="zh-CN"/>
              </w:rPr>
              <w:t>4</w:t>
            </w:r>
            <w:r>
              <w:rPr>
                <w:rFonts w:hint="eastAsia"/>
                <w:sz w:val="24"/>
                <w:highlight w:val="none"/>
                <w:u w:val="none"/>
              </w:rPr>
              <w:t>月</w:t>
            </w:r>
            <w:r>
              <w:rPr>
                <w:rFonts w:hint="eastAsia"/>
                <w:sz w:val="24"/>
                <w:highlight w:val="none"/>
                <w:u w:val="none"/>
                <w:lang w:val="en-US" w:eastAsia="zh-CN"/>
              </w:rPr>
              <w:t>29</w:t>
            </w:r>
            <w:r>
              <w:rPr>
                <w:rFonts w:hint="eastAsia"/>
                <w:sz w:val="24"/>
                <w:highlight w:val="none"/>
                <w:u w:val="none"/>
              </w:rPr>
              <w:t>日</w:t>
            </w:r>
            <w:r>
              <w:rPr>
                <w:rFonts w:hint="eastAsia"/>
                <w:sz w:val="24"/>
                <w:highlight w:val="none"/>
                <w:u w:val="none"/>
                <w:lang w:eastAsia="zh-CN"/>
              </w:rPr>
              <w:t>、</w:t>
            </w:r>
            <w:r>
              <w:rPr>
                <w:rFonts w:hint="eastAsia"/>
                <w:sz w:val="24"/>
                <w:highlight w:val="none"/>
                <w:u w:val="none"/>
              </w:rPr>
              <w:t>出具的检测报告</w:t>
            </w:r>
            <w:r>
              <w:rPr>
                <w:sz w:val="24"/>
                <w:highlight w:val="none"/>
                <w:u w:val="none"/>
              </w:rPr>
              <w:t>（</w:t>
            </w:r>
            <w:r>
              <w:rPr>
                <w:rFonts w:hint="eastAsia"/>
                <w:sz w:val="24"/>
                <w:highlight w:val="none"/>
                <w:u w:val="none"/>
              </w:rPr>
              <w:t>详见</w:t>
            </w:r>
            <w:r>
              <w:rPr>
                <w:sz w:val="24"/>
                <w:highlight w:val="none"/>
                <w:u w:val="none"/>
              </w:rPr>
              <w:t>附件</w:t>
            </w:r>
            <w:r>
              <w:rPr>
                <w:rFonts w:hint="eastAsia"/>
                <w:sz w:val="24"/>
                <w:highlight w:val="none"/>
                <w:u w:val="none"/>
                <w:lang w:val="en-US" w:eastAsia="zh-CN"/>
              </w:rPr>
              <w:t>7</w:t>
            </w:r>
            <w:r>
              <w:rPr>
                <w:sz w:val="24"/>
                <w:highlight w:val="none"/>
                <w:u w:val="none"/>
              </w:rPr>
              <w:t>，报告编号：</w:t>
            </w:r>
            <w:r>
              <w:rPr>
                <w:rFonts w:hint="eastAsia"/>
                <w:sz w:val="24"/>
                <w:highlight w:val="none"/>
                <w:u w:val="none"/>
                <w:lang w:val="en-US" w:eastAsia="zh-CN"/>
              </w:rPr>
              <w:t>ZCXY2025010207-2</w:t>
            </w:r>
            <w:r>
              <w:rPr>
                <w:rFonts w:hint="eastAsia"/>
                <w:sz w:val="24"/>
                <w:highlight w:val="none"/>
                <w:u w:val="none"/>
                <w:lang w:eastAsia="zh-CN"/>
              </w:rPr>
              <w:t>、</w:t>
            </w:r>
            <w:r>
              <w:rPr>
                <w:rFonts w:hint="eastAsia"/>
                <w:sz w:val="24"/>
                <w:highlight w:val="none"/>
                <w:u w:val="none"/>
                <w:lang w:val="en-US" w:eastAsia="zh-CN"/>
              </w:rPr>
              <w:t>ZCXY2025040204-2</w:t>
            </w:r>
            <w:r>
              <w:rPr>
                <w:sz w:val="24"/>
                <w:highlight w:val="none"/>
                <w:u w:val="none"/>
              </w:rPr>
              <w:t>），</w:t>
            </w:r>
            <w:r>
              <w:rPr>
                <w:rFonts w:hint="eastAsia"/>
                <w:sz w:val="24"/>
                <w:highlight w:val="none"/>
                <w:u w:val="none"/>
                <w:lang w:val="en-US" w:eastAsia="zh-CN"/>
              </w:rPr>
              <w:t>根据检测结果，废气主要污染因子二氧化硫、氮氧化物、颗粒物和汞及其化合物等满足《火电厂大气污染物排放标准》（GB13223-2011）相关标准限值，总悬浮颗粒物、氨、硫化氢和非甲烷总烃等满足《大气污染物综合排放标准》（GB16297-1996）相关限值要求。</w:t>
            </w:r>
          </w:p>
          <w:p w14:paraId="0E28F6CD">
            <w:pPr>
              <w:keepNext w:val="0"/>
              <w:keepLines w:val="0"/>
              <w:pageBreakBefore w:val="0"/>
              <w:widowControl/>
              <w:numPr>
                <w:ilvl w:val="255"/>
                <w:numId w:val="0"/>
              </w:numPr>
              <w:kinsoku/>
              <w:wordWrap/>
              <w:overflowPunct/>
              <w:topLinePunct w:val="0"/>
              <w:autoSpaceDE/>
              <w:autoSpaceDN/>
              <w:bidi w:val="0"/>
              <w:adjustRightInd/>
              <w:snapToGrid/>
              <w:ind w:firstLine="480" w:firstLineChars="200"/>
              <w:jc w:val="both"/>
              <w:textAlignment w:val="auto"/>
              <w:rPr>
                <w:rFonts w:hint="eastAsia"/>
                <w:sz w:val="24"/>
                <w:highlight w:val="none"/>
                <w:u w:val="none"/>
                <w:lang w:val="en-US" w:eastAsia="zh-CN"/>
              </w:rPr>
            </w:pPr>
            <w:r>
              <w:rPr>
                <w:rFonts w:hint="eastAsia"/>
                <w:sz w:val="24"/>
                <w:highlight w:val="none"/>
                <w:u w:val="none"/>
                <w:lang w:val="en-US" w:eastAsia="zh-CN"/>
              </w:rPr>
              <w:t>现有项目废气污染源监测数据如下：</w:t>
            </w:r>
          </w:p>
          <w:p w14:paraId="3A3DC164">
            <w:pPr>
              <w:pStyle w:val="379"/>
              <w:numPr>
                <w:ilvl w:val="0"/>
                <w:numId w:val="18"/>
              </w:numPr>
              <w:tabs>
                <w:tab w:val="clear" w:pos="1139"/>
              </w:tabs>
              <w:spacing w:line="240" w:lineRule="auto"/>
              <w:ind w:firstLineChars="0"/>
              <w:jc w:val="center"/>
              <w:rPr>
                <w:rFonts w:hint="default" w:ascii="Times New Roman" w:hAnsi="Times New Roman" w:eastAsia="宋体" w:cs="Times New Roman"/>
                <w:b/>
                <w:sz w:val="24"/>
                <w:lang w:val="en-US" w:eastAsia="zh-CN"/>
              </w:rPr>
            </w:pPr>
            <w:r>
              <w:rPr>
                <w:rFonts w:hint="eastAsia" w:ascii="Times New Roman" w:hAnsi="Times New Roman" w:eastAsia="宋体" w:cs="Times New Roman"/>
                <w:b/>
                <w:sz w:val="24"/>
                <w:lang w:val="en-US" w:eastAsia="zh-CN"/>
              </w:rPr>
              <w:t>有组织废气污染源监测结果表</w:t>
            </w:r>
          </w:p>
          <w:tbl>
            <w:tblPr>
              <w:tblStyle w:val="175"/>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538"/>
              <w:gridCol w:w="803"/>
              <w:gridCol w:w="933"/>
              <w:gridCol w:w="935"/>
              <w:gridCol w:w="895"/>
              <w:gridCol w:w="970"/>
              <w:gridCol w:w="993"/>
              <w:gridCol w:w="1003"/>
              <w:gridCol w:w="614"/>
            </w:tblGrid>
            <w:tr w14:paraId="7FC7C8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6FDDB15C">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b/>
                      <w:bCs/>
                      <w:snapToGrid w:val="0"/>
                      <w:color w:val="000000"/>
                      <w:spacing w:val="6"/>
                      <w:kern w:val="0"/>
                      <w:sz w:val="21"/>
                      <w:szCs w:val="21"/>
                      <w:u w:val="none"/>
                      <w:lang w:val="en-US" w:eastAsia="zh-CN"/>
                    </w:rPr>
                  </w:pPr>
                  <w:r>
                    <w:rPr>
                      <w:rFonts w:hint="eastAsia"/>
                      <w:b/>
                      <w:bCs/>
                      <w:snapToGrid w:val="0"/>
                      <w:color w:val="000000"/>
                      <w:spacing w:val="6"/>
                      <w:kern w:val="0"/>
                      <w:sz w:val="21"/>
                      <w:szCs w:val="21"/>
                      <w:u w:val="none"/>
                      <w:lang w:val="en-US" w:eastAsia="zh-CN"/>
                    </w:rPr>
                    <w:t>采样时间</w:t>
                  </w:r>
                </w:p>
              </w:tc>
              <w:tc>
                <w:tcPr>
                  <w:tcW w:w="522" w:type="pct"/>
                  <w:vMerge w:val="restart"/>
                  <w:tcBorders>
                    <w:tl2br w:val="nil"/>
                    <w:tr2bl w:val="nil"/>
                  </w:tcBorders>
                  <w:vAlign w:val="center"/>
                </w:tcPr>
                <w:p w14:paraId="08D596D0">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6"/>
                      <w:kern w:val="0"/>
                      <w:sz w:val="21"/>
                      <w:szCs w:val="21"/>
                      <w:u w:val="none"/>
                      <w:lang w:eastAsia="en-US"/>
                    </w:rPr>
                  </w:pPr>
                  <w:r>
                    <w:rPr>
                      <w:b/>
                      <w:bCs/>
                      <w:snapToGrid w:val="0"/>
                      <w:color w:val="000000"/>
                      <w:spacing w:val="6"/>
                      <w:kern w:val="0"/>
                      <w:sz w:val="21"/>
                      <w:szCs w:val="21"/>
                      <w:u w:val="none"/>
                      <w:lang w:eastAsia="en-US"/>
                    </w:rPr>
                    <w:t>采样点位</w:t>
                  </w:r>
                </w:p>
              </w:tc>
              <w:tc>
                <w:tcPr>
                  <w:tcW w:w="1215" w:type="pct"/>
                  <w:gridSpan w:val="2"/>
                  <w:vMerge w:val="restart"/>
                  <w:tcBorders>
                    <w:tl2br w:val="nil"/>
                    <w:tr2bl w:val="nil"/>
                  </w:tcBorders>
                  <w:vAlign w:val="center"/>
                </w:tcPr>
                <w:p w14:paraId="51436E8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6"/>
                      <w:kern w:val="0"/>
                      <w:sz w:val="21"/>
                      <w:szCs w:val="21"/>
                      <w:u w:val="none"/>
                      <w:lang w:eastAsia="en-US"/>
                    </w:rPr>
                    <w:t>检测项目</w:t>
                  </w:r>
                </w:p>
              </w:tc>
              <w:tc>
                <w:tcPr>
                  <w:tcW w:w="1859" w:type="pct"/>
                  <w:gridSpan w:val="3"/>
                  <w:tcBorders>
                    <w:tl2br w:val="nil"/>
                    <w:tr2bl w:val="nil"/>
                  </w:tcBorders>
                  <w:vAlign w:val="center"/>
                </w:tcPr>
                <w:p w14:paraId="6AFFF616">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b/>
                      <w:bCs/>
                      <w:snapToGrid w:val="0"/>
                      <w:color w:val="000000"/>
                      <w:spacing w:val="7"/>
                      <w:kern w:val="0"/>
                      <w:sz w:val="21"/>
                      <w:szCs w:val="21"/>
                      <w:u w:val="none"/>
                      <w:lang w:eastAsia="en-US"/>
                    </w:rPr>
                    <w:t>检测结果</w:t>
                  </w:r>
                  <w:r>
                    <w:rPr>
                      <w:b/>
                      <w:bCs/>
                      <w:snapToGrid w:val="0"/>
                      <w:color w:val="000000"/>
                      <w:spacing w:val="3"/>
                      <w:kern w:val="0"/>
                      <w:sz w:val="21"/>
                      <w:szCs w:val="21"/>
                      <w:u w:val="none"/>
                      <w:lang w:eastAsia="en-US"/>
                    </w:rPr>
                    <w:t>（</w:t>
                  </w:r>
                  <w:r>
                    <w:rPr>
                      <w:b/>
                      <w:bCs/>
                      <w:snapToGrid w:val="0"/>
                      <w:color w:val="000000"/>
                      <w:kern w:val="0"/>
                      <w:sz w:val="21"/>
                      <w:szCs w:val="21"/>
                      <w:u w:val="none"/>
                      <w:lang w:eastAsia="en-US"/>
                    </w:rPr>
                    <w:t>mg</w:t>
                  </w:r>
                  <w:r>
                    <w:rPr>
                      <w:b/>
                      <w:bCs/>
                      <w:snapToGrid w:val="0"/>
                      <w:color w:val="000000"/>
                      <w:spacing w:val="3"/>
                      <w:kern w:val="0"/>
                      <w:sz w:val="21"/>
                      <w:szCs w:val="21"/>
                      <w:u w:val="none"/>
                      <w:lang w:eastAsia="en-US"/>
                    </w:rPr>
                    <w:t>/m³</w:t>
                  </w:r>
                  <w:r>
                    <w:rPr>
                      <w:b/>
                      <w:bCs/>
                      <w:snapToGrid w:val="0"/>
                      <w:color w:val="000000"/>
                      <w:spacing w:val="3"/>
                      <w:kern w:val="0"/>
                      <w:sz w:val="21"/>
                      <w:szCs w:val="21"/>
                      <w:u w:val="none"/>
                    </w:rPr>
                    <w:t>）</w:t>
                  </w:r>
                </w:p>
              </w:tc>
              <w:tc>
                <w:tcPr>
                  <w:tcW w:w="652" w:type="pct"/>
                  <w:vMerge w:val="restart"/>
                  <w:tcBorders>
                    <w:tl2br w:val="nil"/>
                    <w:tr2bl w:val="nil"/>
                  </w:tcBorders>
                  <w:vAlign w:val="center"/>
                </w:tcPr>
                <w:p w14:paraId="31C7540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r>
                    <w:rPr>
                      <w:b/>
                      <w:bCs/>
                      <w:snapToGrid w:val="0"/>
                      <w:color w:val="000000"/>
                      <w:spacing w:val="6"/>
                      <w:kern w:val="0"/>
                      <w:sz w:val="21"/>
                      <w:szCs w:val="21"/>
                      <w:u w:val="none"/>
                    </w:rPr>
                    <w:t>标准限值</w:t>
                  </w:r>
                </w:p>
              </w:tc>
              <w:tc>
                <w:tcPr>
                  <w:tcW w:w="399" w:type="pct"/>
                  <w:vMerge w:val="restart"/>
                  <w:tcBorders>
                    <w:tl2br w:val="nil"/>
                    <w:tr2bl w:val="nil"/>
                  </w:tcBorders>
                  <w:vAlign w:val="center"/>
                </w:tcPr>
                <w:p w14:paraId="3AC00848">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4"/>
                      <w:kern w:val="0"/>
                      <w:sz w:val="21"/>
                      <w:szCs w:val="21"/>
                      <w:u w:val="none"/>
                      <w:lang w:eastAsia="en-US"/>
                    </w:rPr>
                  </w:pPr>
                  <w:r>
                    <w:rPr>
                      <w:b/>
                      <w:bCs/>
                      <w:snapToGrid w:val="0"/>
                      <w:color w:val="000000"/>
                      <w:spacing w:val="4"/>
                      <w:kern w:val="0"/>
                      <w:sz w:val="21"/>
                      <w:szCs w:val="21"/>
                      <w:u w:val="none"/>
                      <w:lang w:eastAsia="en-US"/>
                    </w:rPr>
                    <w:t>达标</w:t>
                  </w:r>
                </w:p>
                <w:p w14:paraId="34BE7FC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3"/>
                      <w:kern w:val="0"/>
                      <w:sz w:val="21"/>
                      <w:szCs w:val="21"/>
                      <w:u w:val="none"/>
                      <w:lang w:eastAsia="en-US"/>
                    </w:rPr>
                    <w:t>判定</w:t>
                  </w:r>
                </w:p>
              </w:tc>
            </w:tr>
            <w:tr w14:paraId="484EA3B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C1C6AE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5B07597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vMerge w:val="continue"/>
                  <w:tcBorders>
                    <w:tl2br w:val="nil"/>
                    <w:tr2bl w:val="nil"/>
                  </w:tcBorders>
                  <w:vAlign w:val="center"/>
                </w:tcPr>
                <w:p w14:paraId="0AE0215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82" w:type="pct"/>
                  <w:tcBorders>
                    <w:tl2br w:val="nil"/>
                    <w:tr2bl w:val="nil"/>
                  </w:tcBorders>
                  <w:vAlign w:val="center"/>
                </w:tcPr>
                <w:p w14:paraId="7A6ED9A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5"/>
                      <w:kern w:val="0"/>
                      <w:sz w:val="21"/>
                      <w:szCs w:val="21"/>
                      <w:u w:val="none"/>
                      <w:lang w:eastAsia="en-US"/>
                    </w:rPr>
                    <w:t>第一次</w:t>
                  </w:r>
                </w:p>
              </w:tc>
              <w:tc>
                <w:tcPr>
                  <w:tcW w:w="631" w:type="pct"/>
                  <w:tcBorders>
                    <w:tl2br w:val="nil"/>
                    <w:tr2bl w:val="nil"/>
                  </w:tcBorders>
                  <w:vAlign w:val="center"/>
                </w:tcPr>
                <w:p w14:paraId="5D8F4B8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5"/>
                      <w:kern w:val="0"/>
                      <w:sz w:val="21"/>
                      <w:szCs w:val="21"/>
                      <w:u w:val="none"/>
                      <w:lang w:eastAsia="en-US"/>
                    </w:rPr>
                    <w:t>第二次</w:t>
                  </w:r>
                </w:p>
              </w:tc>
              <w:tc>
                <w:tcPr>
                  <w:tcW w:w="646" w:type="pct"/>
                  <w:tcBorders>
                    <w:tl2br w:val="nil"/>
                    <w:tr2bl w:val="nil"/>
                  </w:tcBorders>
                  <w:vAlign w:val="center"/>
                </w:tcPr>
                <w:p w14:paraId="19EE8D3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5"/>
                      <w:kern w:val="0"/>
                      <w:sz w:val="21"/>
                      <w:szCs w:val="21"/>
                      <w:u w:val="none"/>
                      <w:lang w:eastAsia="en-US"/>
                    </w:rPr>
                    <w:t>第三次</w:t>
                  </w:r>
                </w:p>
              </w:tc>
              <w:tc>
                <w:tcPr>
                  <w:tcW w:w="652" w:type="pct"/>
                  <w:vMerge w:val="continue"/>
                  <w:tcBorders>
                    <w:tl2br w:val="nil"/>
                    <w:tr2bl w:val="nil"/>
                  </w:tcBorders>
                  <w:vAlign w:val="center"/>
                </w:tcPr>
                <w:p w14:paraId="79DCD34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399" w:type="pct"/>
                  <w:vMerge w:val="continue"/>
                  <w:tcBorders>
                    <w:tl2br w:val="nil"/>
                    <w:tr2bl w:val="nil"/>
                  </w:tcBorders>
                  <w:vAlign w:val="center"/>
                </w:tcPr>
                <w:p w14:paraId="1F04349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r>
            <w:tr w14:paraId="639BCF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1C62BB52">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2025.01.14</w:t>
                  </w:r>
                </w:p>
              </w:tc>
              <w:tc>
                <w:tcPr>
                  <w:tcW w:w="522" w:type="pct"/>
                  <w:vMerge w:val="restart"/>
                  <w:tcBorders>
                    <w:tl2br w:val="nil"/>
                    <w:tr2bl w:val="nil"/>
                  </w:tcBorders>
                  <w:vAlign w:val="center"/>
                </w:tcPr>
                <w:p w14:paraId="6C8A9297">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lang w:val="en-US" w:eastAsia="zh-CN"/>
                    </w:rPr>
                  </w:pPr>
                  <w:r>
                    <w:rPr>
                      <w:rFonts w:hint="eastAsia"/>
                      <w:snapToGrid w:val="0"/>
                      <w:color w:val="000000"/>
                      <w:kern w:val="0"/>
                      <w:sz w:val="21"/>
                      <w:szCs w:val="21"/>
                      <w:u w:val="none"/>
                      <w:lang w:val="en-US" w:eastAsia="zh-CN"/>
                    </w:rPr>
                    <w:t>2#机组总排口</w:t>
                  </w:r>
                </w:p>
                <w:p w14:paraId="006D2741">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DA001</w:t>
                  </w:r>
                </w:p>
              </w:tc>
              <w:tc>
                <w:tcPr>
                  <w:tcW w:w="1215" w:type="pct"/>
                  <w:gridSpan w:val="2"/>
                  <w:tcBorders>
                    <w:tl2br w:val="nil"/>
                    <w:tr2bl w:val="nil"/>
                  </w:tcBorders>
                  <w:vAlign w:val="center"/>
                </w:tcPr>
                <w:p w14:paraId="32502462">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1923E2B1">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656134</w:t>
                  </w:r>
                </w:p>
              </w:tc>
              <w:tc>
                <w:tcPr>
                  <w:tcW w:w="631" w:type="pct"/>
                  <w:tcBorders>
                    <w:tl2br w:val="nil"/>
                    <w:tr2bl w:val="nil"/>
                  </w:tcBorders>
                  <w:vAlign w:val="center"/>
                </w:tcPr>
                <w:p w14:paraId="1D9A1621">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630270</w:t>
                  </w:r>
                </w:p>
              </w:tc>
              <w:tc>
                <w:tcPr>
                  <w:tcW w:w="646" w:type="pct"/>
                  <w:tcBorders>
                    <w:tl2br w:val="nil"/>
                    <w:tr2bl w:val="nil"/>
                  </w:tcBorders>
                  <w:vAlign w:val="center"/>
                </w:tcPr>
                <w:p w14:paraId="29FCA0B0">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629041</w:t>
                  </w:r>
                </w:p>
              </w:tc>
              <w:tc>
                <w:tcPr>
                  <w:tcW w:w="652" w:type="pct"/>
                  <w:tcBorders>
                    <w:tl2br w:val="nil"/>
                    <w:tr2bl w:val="nil"/>
                  </w:tcBorders>
                  <w:vAlign w:val="center"/>
                </w:tcPr>
                <w:p w14:paraId="7891F7B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snapToGrid w:val="0"/>
                      <w:color w:val="000000"/>
                      <w:spacing w:val="2"/>
                      <w:kern w:val="0"/>
                      <w:sz w:val="21"/>
                      <w:szCs w:val="21"/>
                      <w:u w:val="none"/>
                      <w:lang w:eastAsia="en-US"/>
                    </w:rPr>
                    <w:t>/</w:t>
                  </w:r>
                </w:p>
              </w:tc>
              <w:tc>
                <w:tcPr>
                  <w:tcW w:w="399" w:type="pct"/>
                  <w:tcBorders>
                    <w:tl2br w:val="nil"/>
                    <w:tr2bl w:val="nil"/>
                  </w:tcBorders>
                  <w:vAlign w:val="center"/>
                </w:tcPr>
                <w:p w14:paraId="29CEC8E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snapToGrid w:val="0"/>
                      <w:color w:val="000000"/>
                      <w:spacing w:val="2"/>
                      <w:kern w:val="0"/>
                      <w:sz w:val="21"/>
                      <w:szCs w:val="21"/>
                      <w:u w:val="none"/>
                      <w:lang w:eastAsia="en-US"/>
                    </w:rPr>
                    <w:t>/</w:t>
                  </w:r>
                </w:p>
              </w:tc>
            </w:tr>
            <w:tr w14:paraId="081862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6682FE7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0E40D2A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38225684">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4"/>
                      <w:sz w:val="21"/>
                      <w:szCs w:val="21"/>
                      <w:u w:val="none"/>
                      <w:lang w:val="en-US" w:eastAsia="zh-CN"/>
                    </w:rPr>
                    <w:t>氧含量</w:t>
                  </w:r>
                  <w:r>
                    <w:rPr>
                      <w:rFonts w:ascii="Times New Roman" w:hAnsi="Times New Roman" w:cs="Times New Roman"/>
                      <w:spacing w:val="4"/>
                      <w:sz w:val="21"/>
                      <w:szCs w:val="21"/>
                      <w:u w:val="none"/>
                      <w:lang w:eastAsia="zh-CN"/>
                    </w:rPr>
                    <w:t>（</w:t>
                  </w:r>
                  <w:r>
                    <w:rPr>
                      <w:rFonts w:hint="eastAsia" w:ascii="Times New Roman" w:hAnsi="Times New Roman" w:cs="Times New Roman"/>
                      <w:spacing w:val="4"/>
                      <w:sz w:val="21"/>
                      <w:szCs w:val="21"/>
                      <w:u w:val="none"/>
                      <w:lang w:val="en-US" w:eastAsia="zh-CN"/>
                    </w:rPr>
                    <w:t>%</w:t>
                  </w:r>
                  <w:r>
                    <w:rPr>
                      <w:rFonts w:ascii="Times New Roman" w:hAnsi="Times New Roman" w:cs="Times New Roman"/>
                      <w:spacing w:val="4"/>
                      <w:sz w:val="21"/>
                      <w:szCs w:val="21"/>
                      <w:u w:val="none"/>
                      <w:lang w:eastAsia="zh-CN"/>
                    </w:rPr>
                    <w:t>）</w:t>
                  </w:r>
                </w:p>
              </w:tc>
              <w:tc>
                <w:tcPr>
                  <w:tcW w:w="582" w:type="pct"/>
                  <w:tcBorders>
                    <w:tl2br w:val="nil"/>
                    <w:tr2bl w:val="nil"/>
                  </w:tcBorders>
                  <w:vAlign w:val="center"/>
                </w:tcPr>
                <w:p w14:paraId="45A757BE">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8.1</w:t>
                  </w:r>
                </w:p>
              </w:tc>
              <w:tc>
                <w:tcPr>
                  <w:tcW w:w="631" w:type="pct"/>
                  <w:tcBorders>
                    <w:tl2br w:val="nil"/>
                    <w:tr2bl w:val="nil"/>
                  </w:tcBorders>
                  <w:vAlign w:val="center"/>
                </w:tcPr>
                <w:p w14:paraId="3BF8A091">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8.6</w:t>
                  </w:r>
                </w:p>
              </w:tc>
              <w:tc>
                <w:tcPr>
                  <w:tcW w:w="646" w:type="pct"/>
                  <w:tcBorders>
                    <w:tl2br w:val="nil"/>
                    <w:tr2bl w:val="nil"/>
                  </w:tcBorders>
                  <w:vAlign w:val="center"/>
                </w:tcPr>
                <w:p w14:paraId="10D5A8EA">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8.2</w:t>
                  </w:r>
                </w:p>
              </w:tc>
              <w:tc>
                <w:tcPr>
                  <w:tcW w:w="652" w:type="pct"/>
                  <w:tcBorders>
                    <w:tl2br w:val="nil"/>
                    <w:tr2bl w:val="nil"/>
                  </w:tcBorders>
                  <w:vAlign w:val="center"/>
                </w:tcPr>
                <w:p w14:paraId="69FCC37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lang w:eastAsia="en-US"/>
                    </w:rPr>
                  </w:pPr>
                  <w:r>
                    <w:rPr>
                      <w:rFonts w:hint="eastAsia"/>
                      <w:snapToGrid w:val="0"/>
                      <w:color w:val="000000"/>
                      <w:spacing w:val="2"/>
                      <w:kern w:val="0"/>
                      <w:sz w:val="21"/>
                      <w:szCs w:val="21"/>
                      <w:u w:val="none"/>
                    </w:rPr>
                    <w:t>/</w:t>
                  </w:r>
                </w:p>
              </w:tc>
              <w:tc>
                <w:tcPr>
                  <w:tcW w:w="399" w:type="pct"/>
                  <w:tcBorders>
                    <w:tl2br w:val="nil"/>
                    <w:tr2bl w:val="nil"/>
                  </w:tcBorders>
                  <w:vAlign w:val="center"/>
                </w:tcPr>
                <w:p w14:paraId="73CEC15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lang w:eastAsia="en-US"/>
                    </w:rPr>
                  </w:pPr>
                  <w:r>
                    <w:rPr>
                      <w:rFonts w:hint="eastAsia"/>
                      <w:snapToGrid w:val="0"/>
                      <w:color w:val="000000"/>
                      <w:spacing w:val="2"/>
                      <w:kern w:val="0"/>
                      <w:sz w:val="21"/>
                      <w:szCs w:val="21"/>
                      <w:u w:val="none"/>
                    </w:rPr>
                    <w:t>/</w:t>
                  </w:r>
                </w:p>
              </w:tc>
            </w:tr>
            <w:tr w14:paraId="146F3B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0D17B3C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34D3AAF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7D692EFB">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低浓度颗粒物</w:t>
                  </w:r>
                </w:p>
              </w:tc>
              <w:tc>
                <w:tcPr>
                  <w:tcW w:w="608" w:type="pct"/>
                  <w:tcBorders>
                    <w:tl2br w:val="nil"/>
                    <w:tr2bl w:val="nil"/>
                  </w:tcBorders>
                  <w:vAlign w:val="center"/>
                </w:tcPr>
                <w:p w14:paraId="2E3A394E">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75D93A94">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4.3</w:t>
                  </w:r>
                </w:p>
              </w:tc>
              <w:tc>
                <w:tcPr>
                  <w:tcW w:w="631" w:type="pct"/>
                  <w:tcBorders>
                    <w:tl2br w:val="nil"/>
                    <w:tr2bl w:val="nil"/>
                  </w:tcBorders>
                  <w:vAlign w:val="center"/>
                </w:tcPr>
                <w:p w14:paraId="4232C074">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3.4</w:t>
                  </w:r>
                </w:p>
              </w:tc>
              <w:tc>
                <w:tcPr>
                  <w:tcW w:w="646" w:type="pct"/>
                  <w:tcBorders>
                    <w:tl2br w:val="nil"/>
                    <w:tr2bl w:val="nil"/>
                  </w:tcBorders>
                  <w:vAlign w:val="center"/>
                </w:tcPr>
                <w:p w14:paraId="7856C247">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4.7</w:t>
                  </w:r>
                </w:p>
              </w:tc>
              <w:tc>
                <w:tcPr>
                  <w:tcW w:w="652" w:type="pct"/>
                  <w:tcBorders>
                    <w:tl2br w:val="nil"/>
                    <w:tr2bl w:val="nil"/>
                  </w:tcBorders>
                  <w:vAlign w:val="center"/>
                </w:tcPr>
                <w:p w14:paraId="186D2F22">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10882089">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r>
            <w:tr w14:paraId="5ADAFC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2EE172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45F0957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6B37D2D2">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p>
              </w:tc>
              <w:tc>
                <w:tcPr>
                  <w:tcW w:w="608" w:type="pct"/>
                  <w:tcBorders>
                    <w:tl2br w:val="nil"/>
                    <w:tr2bl w:val="nil"/>
                  </w:tcBorders>
                  <w:vAlign w:val="center"/>
                </w:tcPr>
                <w:p w14:paraId="3600B944">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6442015F">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5.0</w:t>
                  </w:r>
                </w:p>
              </w:tc>
              <w:tc>
                <w:tcPr>
                  <w:tcW w:w="631" w:type="pct"/>
                  <w:tcBorders>
                    <w:tl2br w:val="nil"/>
                    <w:tr2bl w:val="nil"/>
                  </w:tcBorders>
                  <w:vAlign w:val="center"/>
                </w:tcPr>
                <w:p w14:paraId="19A4EB6A">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4.1</w:t>
                  </w:r>
                </w:p>
              </w:tc>
              <w:tc>
                <w:tcPr>
                  <w:tcW w:w="646" w:type="pct"/>
                  <w:tcBorders>
                    <w:tl2br w:val="nil"/>
                    <w:tr2bl w:val="nil"/>
                  </w:tcBorders>
                  <w:vAlign w:val="center"/>
                </w:tcPr>
                <w:p w14:paraId="31162C20">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3.5</w:t>
                  </w:r>
                </w:p>
              </w:tc>
              <w:tc>
                <w:tcPr>
                  <w:tcW w:w="652" w:type="pct"/>
                  <w:tcBorders>
                    <w:tl2br w:val="nil"/>
                    <w:tr2bl w:val="nil"/>
                  </w:tcBorders>
                  <w:vAlign w:val="center"/>
                </w:tcPr>
                <w:p w14:paraId="38C209A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30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1C72EE3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655A37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C1423E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407D577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2E07E6C3">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二氧化硫</w:t>
                  </w:r>
                </w:p>
              </w:tc>
              <w:tc>
                <w:tcPr>
                  <w:tcW w:w="608" w:type="pct"/>
                  <w:tcBorders>
                    <w:tl2br w:val="nil"/>
                    <w:tr2bl w:val="nil"/>
                  </w:tcBorders>
                  <w:vAlign w:val="center"/>
                </w:tcPr>
                <w:p w14:paraId="4AB18DFC">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19A20CA6">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ND</w:t>
                  </w:r>
                </w:p>
              </w:tc>
              <w:tc>
                <w:tcPr>
                  <w:tcW w:w="631" w:type="pct"/>
                  <w:tcBorders>
                    <w:tl2br w:val="nil"/>
                    <w:tr2bl w:val="nil"/>
                  </w:tcBorders>
                  <w:vAlign w:val="center"/>
                </w:tcPr>
                <w:p w14:paraId="2C4EF97B">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ND</w:t>
                  </w:r>
                </w:p>
              </w:tc>
              <w:tc>
                <w:tcPr>
                  <w:tcW w:w="646" w:type="pct"/>
                  <w:tcBorders>
                    <w:tl2br w:val="nil"/>
                    <w:tr2bl w:val="nil"/>
                  </w:tcBorders>
                  <w:vAlign w:val="center"/>
                </w:tcPr>
                <w:p w14:paraId="66F283FF">
                  <w:pPr>
                    <w:widowControl w:val="0"/>
                    <w:autoSpaceDE w:val="0"/>
                    <w:autoSpaceDN w:val="0"/>
                    <w:spacing w:line="240" w:lineRule="auto"/>
                    <w:ind w:firstLine="0" w:firstLineChars="0"/>
                    <w:jc w:val="center"/>
                    <w:rPr>
                      <w:rFonts w:hint="eastAsia"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ND</w:t>
                  </w:r>
                </w:p>
              </w:tc>
              <w:tc>
                <w:tcPr>
                  <w:tcW w:w="652" w:type="pct"/>
                  <w:tcBorders>
                    <w:tl2br w:val="nil"/>
                    <w:tr2bl w:val="nil"/>
                  </w:tcBorders>
                  <w:vAlign w:val="center"/>
                </w:tcPr>
                <w:p w14:paraId="693DBD6B">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6F76817C">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r>
            <w:tr w14:paraId="64EF94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0EA6BD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106A057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5E3FFAFA">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08" w:type="pct"/>
                  <w:tcBorders>
                    <w:tl2br w:val="nil"/>
                    <w:tr2bl w:val="nil"/>
                  </w:tcBorders>
                  <w:vAlign w:val="center"/>
                </w:tcPr>
                <w:p w14:paraId="063EAD1F">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13B1AC2E">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ND</w:t>
                  </w:r>
                </w:p>
              </w:tc>
              <w:tc>
                <w:tcPr>
                  <w:tcW w:w="631" w:type="pct"/>
                  <w:tcBorders>
                    <w:tl2br w:val="nil"/>
                    <w:tr2bl w:val="nil"/>
                  </w:tcBorders>
                  <w:vAlign w:val="center"/>
                </w:tcPr>
                <w:p w14:paraId="03A2982F">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ND</w:t>
                  </w:r>
                </w:p>
              </w:tc>
              <w:tc>
                <w:tcPr>
                  <w:tcW w:w="646" w:type="pct"/>
                  <w:tcBorders>
                    <w:tl2br w:val="nil"/>
                    <w:tr2bl w:val="nil"/>
                  </w:tcBorders>
                  <w:vAlign w:val="center"/>
                </w:tcPr>
                <w:p w14:paraId="2A0E9273">
                  <w:pPr>
                    <w:widowControl w:val="0"/>
                    <w:autoSpaceDE w:val="0"/>
                    <w:autoSpaceDN w:val="0"/>
                    <w:spacing w:line="240" w:lineRule="auto"/>
                    <w:ind w:firstLine="0" w:firstLineChars="0"/>
                    <w:jc w:val="center"/>
                    <w:rPr>
                      <w:rFonts w:hint="eastAsia"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ND</w:t>
                  </w:r>
                </w:p>
              </w:tc>
              <w:tc>
                <w:tcPr>
                  <w:tcW w:w="652" w:type="pct"/>
                  <w:tcBorders>
                    <w:tl2br w:val="nil"/>
                    <w:tr2bl w:val="nil"/>
                  </w:tcBorders>
                  <w:vAlign w:val="center"/>
                </w:tcPr>
                <w:p w14:paraId="11FE469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20</w:t>
                  </w:r>
                  <w:r>
                    <w:rPr>
                      <w:rFonts w:hint="eastAsia"/>
                      <w:snapToGrid w:val="0"/>
                      <w:color w:val="000000"/>
                      <w:spacing w:val="2"/>
                      <w:kern w:val="0"/>
                      <w:sz w:val="21"/>
                      <w:szCs w:val="21"/>
                      <w:u w:val="none"/>
                    </w:rPr>
                    <w:t>0mg/m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2540277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52293E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1A20F7D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65908ED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026FF5F7">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r>
                    <w:rPr>
                      <w:rFonts w:hint="eastAsia" w:ascii="Times New Roman" w:hAnsi="Times New Roman" w:cs="Times New Roman"/>
                      <w:spacing w:val="3"/>
                      <w:sz w:val="21"/>
                      <w:szCs w:val="21"/>
                      <w:u w:val="none"/>
                      <w:lang w:val="en-US" w:eastAsia="zh-CN"/>
                    </w:rPr>
                    <w:t>氮氧化物</w:t>
                  </w:r>
                </w:p>
              </w:tc>
              <w:tc>
                <w:tcPr>
                  <w:tcW w:w="608" w:type="pct"/>
                  <w:tcBorders>
                    <w:tl2br w:val="nil"/>
                    <w:tr2bl w:val="nil"/>
                  </w:tcBorders>
                  <w:vAlign w:val="center"/>
                </w:tcPr>
                <w:p w14:paraId="2D84CD3A">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3271D494">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22</w:t>
                  </w:r>
                </w:p>
              </w:tc>
              <w:tc>
                <w:tcPr>
                  <w:tcW w:w="631" w:type="pct"/>
                  <w:tcBorders>
                    <w:tl2br w:val="nil"/>
                    <w:tr2bl w:val="nil"/>
                  </w:tcBorders>
                  <w:vAlign w:val="center"/>
                </w:tcPr>
                <w:p w14:paraId="6953872F">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16</w:t>
                  </w:r>
                </w:p>
              </w:tc>
              <w:tc>
                <w:tcPr>
                  <w:tcW w:w="646" w:type="pct"/>
                  <w:tcBorders>
                    <w:tl2br w:val="nil"/>
                    <w:tr2bl w:val="nil"/>
                  </w:tcBorders>
                  <w:vAlign w:val="center"/>
                </w:tcPr>
                <w:p w14:paraId="6E77CD03">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19</w:t>
                  </w:r>
                </w:p>
              </w:tc>
              <w:tc>
                <w:tcPr>
                  <w:tcW w:w="652" w:type="pct"/>
                  <w:tcBorders>
                    <w:tl2br w:val="nil"/>
                    <w:tr2bl w:val="nil"/>
                  </w:tcBorders>
                  <w:vAlign w:val="center"/>
                </w:tcPr>
                <w:p w14:paraId="07962C79">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520A0613">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r>
            <w:tr w14:paraId="0EBE77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49DA60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13166EF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7A1753EB">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rPr>
                  </w:pPr>
                </w:p>
              </w:tc>
              <w:tc>
                <w:tcPr>
                  <w:tcW w:w="608" w:type="pct"/>
                  <w:tcBorders>
                    <w:tl2br w:val="nil"/>
                    <w:tr2bl w:val="nil"/>
                  </w:tcBorders>
                  <w:vAlign w:val="center"/>
                </w:tcPr>
                <w:p w14:paraId="0E22667B">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28DF5F65">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26</w:t>
                  </w:r>
                </w:p>
              </w:tc>
              <w:tc>
                <w:tcPr>
                  <w:tcW w:w="631" w:type="pct"/>
                  <w:tcBorders>
                    <w:tl2br w:val="nil"/>
                    <w:tr2bl w:val="nil"/>
                  </w:tcBorders>
                  <w:vAlign w:val="center"/>
                </w:tcPr>
                <w:p w14:paraId="665AF340">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19</w:t>
                  </w:r>
                </w:p>
              </w:tc>
              <w:tc>
                <w:tcPr>
                  <w:tcW w:w="646" w:type="pct"/>
                  <w:tcBorders>
                    <w:tl2br w:val="nil"/>
                    <w:tr2bl w:val="nil"/>
                  </w:tcBorders>
                  <w:vAlign w:val="center"/>
                </w:tcPr>
                <w:p w14:paraId="35914E8B">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22</w:t>
                  </w:r>
                </w:p>
              </w:tc>
              <w:tc>
                <w:tcPr>
                  <w:tcW w:w="652" w:type="pct"/>
                  <w:tcBorders>
                    <w:tl2br w:val="nil"/>
                    <w:tr2bl w:val="nil"/>
                  </w:tcBorders>
                  <w:vAlign w:val="center"/>
                </w:tcPr>
                <w:p w14:paraId="39CACE2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200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95B8AF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3E60EA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13EBBF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732C1A6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1BDA18F1">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323763A7">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717463</w:t>
                  </w:r>
                </w:p>
              </w:tc>
              <w:tc>
                <w:tcPr>
                  <w:tcW w:w="631" w:type="pct"/>
                  <w:tcBorders>
                    <w:tl2br w:val="nil"/>
                    <w:tr2bl w:val="nil"/>
                  </w:tcBorders>
                  <w:vAlign w:val="center"/>
                </w:tcPr>
                <w:p w14:paraId="4B39821D">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720558</w:t>
                  </w:r>
                </w:p>
              </w:tc>
              <w:tc>
                <w:tcPr>
                  <w:tcW w:w="646" w:type="pct"/>
                  <w:tcBorders>
                    <w:tl2br w:val="nil"/>
                    <w:tr2bl w:val="nil"/>
                  </w:tcBorders>
                  <w:vAlign w:val="center"/>
                </w:tcPr>
                <w:p w14:paraId="7420BA33">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663648</w:t>
                  </w:r>
                </w:p>
              </w:tc>
              <w:tc>
                <w:tcPr>
                  <w:tcW w:w="652" w:type="pct"/>
                  <w:tcBorders>
                    <w:tl2br w:val="nil"/>
                    <w:tr2bl w:val="nil"/>
                  </w:tcBorders>
                  <w:vAlign w:val="center"/>
                </w:tcPr>
                <w:p w14:paraId="2A9A828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319E4CE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01D802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B3757B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22F75B7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5012810B">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5"/>
                      <w:sz w:val="21"/>
                      <w:szCs w:val="21"/>
                      <w:u w:val="none"/>
                      <w:lang w:val="en-US" w:eastAsia="zh-CN"/>
                    </w:rPr>
                    <w:t>氧含量</w:t>
                  </w:r>
                </w:p>
              </w:tc>
              <w:tc>
                <w:tcPr>
                  <w:tcW w:w="582" w:type="pct"/>
                  <w:tcBorders>
                    <w:tl2br w:val="nil"/>
                    <w:tr2bl w:val="nil"/>
                  </w:tcBorders>
                  <w:vAlign w:val="center"/>
                </w:tcPr>
                <w:p w14:paraId="513D5752">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8.1</w:t>
                  </w:r>
                </w:p>
              </w:tc>
              <w:tc>
                <w:tcPr>
                  <w:tcW w:w="631" w:type="pct"/>
                  <w:tcBorders>
                    <w:tl2br w:val="nil"/>
                    <w:tr2bl w:val="nil"/>
                  </w:tcBorders>
                  <w:vAlign w:val="center"/>
                </w:tcPr>
                <w:p w14:paraId="31AEF886">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8.2</w:t>
                  </w:r>
                </w:p>
              </w:tc>
              <w:tc>
                <w:tcPr>
                  <w:tcW w:w="646" w:type="pct"/>
                  <w:tcBorders>
                    <w:tl2br w:val="nil"/>
                    <w:tr2bl w:val="nil"/>
                  </w:tcBorders>
                  <w:vAlign w:val="center"/>
                </w:tcPr>
                <w:p w14:paraId="2C8933AF">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8.4</w:t>
                  </w:r>
                </w:p>
              </w:tc>
              <w:tc>
                <w:tcPr>
                  <w:tcW w:w="652" w:type="pct"/>
                  <w:tcBorders>
                    <w:tl2br w:val="nil"/>
                    <w:tr2bl w:val="nil"/>
                  </w:tcBorders>
                  <w:vAlign w:val="center"/>
                </w:tcPr>
                <w:p w14:paraId="6B7E5A8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790D04E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2C774E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7A76D6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613846E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6BA90A04">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z w:val="21"/>
                      <w:szCs w:val="21"/>
                      <w:u w:val="none"/>
                      <w:lang w:val="en-US" w:eastAsia="zh-CN"/>
                    </w:rPr>
                    <w:t>汞及其化合物</w:t>
                  </w:r>
                </w:p>
              </w:tc>
              <w:tc>
                <w:tcPr>
                  <w:tcW w:w="608" w:type="pct"/>
                  <w:tcBorders>
                    <w:tl2br w:val="nil"/>
                    <w:tr2bl w:val="nil"/>
                  </w:tcBorders>
                  <w:vAlign w:val="center"/>
                </w:tcPr>
                <w:p w14:paraId="61FC409D">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shd w:val="clear" w:color="auto" w:fill="auto"/>
                  <w:vAlign w:val="center"/>
                </w:tcPr>
                <w:p w14:paraId="7D816856">
                  <w:pPr>
                    <w:widowControl w:val="0"/>
                    <w:autoSpaceDE w:val="0"/>
                    <w:autoSpaceDN w:val="0"/>
                    <w:spacing w:line="240" w:lineRule="auto"/>
                    <w:ind w:firstLine="0" w:firstLineChars="0"/>
                    <w:jc w:val="center"/>
                    <w:rPr>
                      <w:rFonts w:hint="eastAsia" w:ascii="Times New Roman" w:hAnsi="Times New Roman" w:eastAsia="宋体" w:cs="Times New Roman"/>
                      <w:spacing w:val="-3"/>
                      <w:sz w:val="21"/>
                      <w:szCs w:val="21"/>
                      <w:u w:val="none"/>
                      <w:lang w:val="en-US" w:eastAsia="zh-CN" w:bidi="ar-SA"/>
                    </w:rPr>
                  </w:pPr>
                  <w:r>
                    <w:rPr>
                      <w:rFonts w:hint="eastAsia"/>
                      <w:spacing w:val="-3"/>
                      <w:sz w:val="21"/>
                      <w:szCs w:val="21"/>
                      <w:u w:val="none"/>
                      <w:lang w:val="en-US" w:eastAsia="zh-CN"/>
                    </w:rPr>
                    <w:t>6</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shd w:val="clear" w:color="auto" w:fill="auto"/>
                  <w:vAlign w:val="center"/>
                </w:tcPr>
                <w:p w14:paraId="43DED7E9">
                  <w:pPr>
                    <w:widowControl w:val="0"/>
                    <w:autoSpaceDE w:val="0"/>
                    <w:autoSpaceDN w:val="0"/>
                    <w:spacing w:line="240" w:lineRule="auto"/>
                    <w:ind w:firstLine="0" w:firstLineChars="0"/>
                    <w:jc w:val="center"/>
                    <w:rPr>
                      <w:rFonts w:ascii="Times New Roman" w:hAnsi="Times New Roman" w:eastAsia="宋体" w:cs="Times New Roman"/>
                      <w:spacing w:val="-3"/>
                      <w:sz w:val="21"/>
                      <w:szCs w:val="21"/>
                      <w:u w:val="none"/>
                      <w:lang w:val="en-US" w:eastAsia="zh-CN" w:bidi="ar-SA"/>
                    </w:rPr>
                  </w:pPr>
                  <w:r>
                    <w:rPr>
                      <w:rFonts w:hint="eastAsia"/>
                      <w:spacing w:val="-3"/>
                      <w:sz w:val="21"/>
                      <w:szCs w:val="21"/>
                      <w:u w:val="none"/>
                      <w:lang w:val="en-US" w:eastAsia="zh-CN"/>
                    </w:rPr>
                    <w:t>5</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shd w:val="clear" w:color="auto" w:fill="auto"/>
                  <w:vAlign w:val="center"/>
                </w:tcPr>
                <w:p w14:paraId="4FCBE06B">
                  <w:pPr>
                    <w:widowControl w:val="0"/>
                    <w:autoSpaceDE w:val="0"/>
                    <w:autoSpaceDN w:val="0"/>
                    <w:spacing w:line="240" w:lineRule="auto"/>
                    <w:ind w:firstLine="0" w:firstLineChars="0"/>
                    <w:jc w:val="center"/>
                    <w:rPr>
                      <w:rFonts w:ascii="Times New Roman" w:hAnsi="Times New Roman" w:eastAsia="宋体" w:cs="Times New Roman"/>
                      <w:spacing w:val="-3"/>
                      <w:sz w:val="21"/>
                      <w:szCs w:val="21"/>
                      <w:u w:val="none"/>
                      <w:lang w:val="en-US" w:eastAsia="zh-CN" w:bidi="ar-SA"/>
                    </w:rPr>
                  </w:pPr>
                  <w:r>
                    <w:rPr>
                      <w:rFonts w:hint="eastAsia"/>
                      <w:spacing w:val="-3"/>
                      <w:sz w:val="21"/>
                      <w:szCs w:val="21"/>
                      <w:u w:val="none"/>
                      <w:lang w:val="en-US" w:eastAsia="zh-CN"/>
                    </w:rPr>
                    <w:t>5</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585737DB">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471BFC62">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r>
            <w:tr w14:paraId="461861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929715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1A6B94A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728CABDB">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41BEF04C">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shd w:val="clear" w:color="auto" w:fill="auto"/>
                  <w:vAlign w:val="center"/>
                </w:tcPr>
                <w:p w14:paraId="5B507C82">
                  <w:pPr>
                    <w:widowControl w:val="0"/>
                    <w:autoSpaceDE w:val="0"/>
                    <w:autoSpaceDN w:val="0"/>
                    <w:spacing w:line="240" w:lineRule="auto"/>
                    <w:ind w:firstLine="0" w:firstLineChars="0"/>
                    <w:jc w:val="center"/>
                    <w:rPr>
                      <w:rFonts w:ascii="Times New Roman" w:hAnsi="Times New Roman" w:eastAsia="宋体" w:cs="Times New Roman"/>
                      <w:spacing w:val="-3"/>
                      <w:sz w:val="21"/>
                      <w:szCs w:val="21"/>
                      <w:u w:val="none"/>
                      <w:lang w:val="en-US" w:eastAsia="zh-CN" w:bidi="ar-SA"/>
                    </w:rPr>
                  </w:pPr>
                  <w:r>
                    <w:rPr>
                      <w:rFonts w:hint="eastAsia"/>
                      <w:spacing w:val="-3"/>
                      <w:sz w:val="21"/>
                      <w:szCs w:val="21"/>
                      <w:u w:val="none"/>
                      <w:lang w:val="en-US" w:eastAsia="zh-CN"/>
                    </w:rPr>
                    <w:t>7</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shd w:val="clear" w:color="auto" w:fill="auto"/>
                  <w:vAlign w:val="center"/>
                </w:tcPr>
                <w:p w14:paraId="1CA098AA">
                  <w:pPr>
                    <w:widowControl w:val="0"/>
                    <w:autoSpaceDE w:val="0"/>
                    <w:autoSpaceDN w:val="0"/>
                    <w:spacing w:line="240" w:lineRule="auto"/>
                    <w:ind w:firstLine="0" w:firstLineChars="0"/>
                    <w:jc w:val="center"/>
                    <w:rPr>
                      <w:rFonts w:ascii="Times New Roman" w:hAnsi="Times New Roman" w:eastAsia="宋体" w:cs="Times New Roman"/>
                      <w:spacing w:val="-3"/>
                      <w:sz w:val="21"/>
                      <w:szCs w:val="21"/>
                      <w:u w:val="none"/>
                      <w:lang w:val="en-US" w:eastAsia="zh-CN" w:bidi="ar-SA"/>
                    </w:rPr>
                  </w:pPr>
                  <w:r>
                    <w:rPr>
                      <w:rFonts w:hint="eastAsia"/>
                      <w:spacing w:val="-3"/>
                      <w:sz w:val="21"/>
                      <w:szCs w:val="21"/>
                      <w:u w:val="none"/>
                      <w:lang w:val="en-US" w:eastAsia="zh-CN"/>
                    </w:rPr>
                    <w:t>6</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shd w:val="clear" w:color="auto" w:fill="auto"/>
                  <w:vAlign w:val="center"/>
                </w:tcPr>
                <w:p w14:paraId="0941E6B7">
                  <w:pPr>
                    <w:widowControl w:val="0"/>
                    <w:autoSpaceDE w:val="0"/>
                    <w:autoSpaceDN w:val="0"/>
                    <w:spacing w:line="240" w:lineRule="auto"/>
                    <w:ind w:firstLine="0" w:firstLineChars="0"/>
                    <w:jc w:val="center"/>
                    <w:rPr>
                      <w:rFonts w:ascii="Times New Roman" w:hAnsi="Times New Roman" w:eastAsia="宋体" w:cs="Times New Roman"/>
                      <w:spacing w:val="-3"/>
                      <w:sz w:val="21"/>
                      <w:szCs w:val="21"/>
                      <w:u w:val="none"/>
                      <w:lang w:val="en-US" w:eastAsia="zh-CN" w:bidi="ar-SA"/>
                    </w:rPr>
                  </w:pPr>
                  <w:r>
                    <w:rPr>
                      <w:rFonts w:hint="eastAsia"/>
                      <w:spacing w:val="-3"/>
                      <w:sz w:val="21"/>
                      <w:szCs w:val="21"/>
                      <w:u w:val="none"/>
                      <w:lang w:val="en-US" w:eastAsia="zh-CN"/>
                    </w:rPr>
                    <w:t>6</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2E85670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0.03</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5CC5724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32C628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6290CFED">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2025.01.15</w:t>
                  </w:r>
                </w:p>
              </w:tc>
              <w:tc>
                <w:tcPr>
                  <w:tcW w:w="522" w:type="pct"/>
                  <w:vMerge w:val="restart"/>
                  <w:tcBorders>
                    <w:tl2br w:val="nil"/>
                    <w:tr2bl w:val="nil"/>
                  </w:tcBorders>
                  <w:vAlign w:val="center"/>
                </w:tcPr>
                <w:p w14:paraId="15717C4D">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lang w:val="en-US" w:eastAsia="zh-CN"/>
                    </w:rPr>
                  </w:pPr>
                  <w:r>
                    <w:rPr>
                      <w:rFonts w:hint="eastAsia"/>
                      <w:snapToGrid w:val="0"/>
                      <w:color w:val="000000"/>
                      <w:kern w:val="0"/>
                      <w:sz w:val="21"/>
                      <w:szCs w:val="21"/>
                      <w:u w:val="none"/>
                      <w:lang w:val="en-US" w:eastAsia="zh-CN"/>
                    </w:rPr>
                    <w:t>3#机组总排口</w:t>
                  </w:r>
                </w:p>
                <w:p w14:paraId="19390E43">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DA002</w:t>
                  </w:r>
                </w:p>
              </w:tc>
              <w:tc>
                <w:tcPr>
                  <w:tcW w:w="1215" w:type="pct"/>
                  <w:gridSpan w:val="2"/>
                  <w:tcBorders>
                    <w:tl2br w:val="nil"/>
                    <w:tr2bl w:val="nil"/>
                  </w:tcBorders>
                  <w:vAlign w:val="center"/>
                </w:tcPr>
                <w:p w14:paraId="64A50C6B">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1AEBAF3C">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862642</w:t>
                  </w:r>
                </w:p>
              </w:tc>
              <w:tc>
                <w:tcPr>
                  <w:tcW w:w="631" w:type="pct"/>
                  <w:tcBorders>
                    <w:tl2br w:val="nil"/>
                    <w:tr2bl w:val="nil"/>
                  </w:tcBorders>
                  <w:vAlign w:val="center"/>
                </w:tcPr>
                <w:p w14:paraId="299A1782">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937557</w:t>
                  </w:r>
                </w:p>
              </w:tc>
              <w:tc>
                <w:tcPr>
                  <w:tcW w:w="646" w:type="pct"/>
                  <w:tcBorders>
                    <w:tl2br w:val="nil"/>
                    <w:tr2bl w:val="nil"/>
                  </w:tcBorders>
                  <w:vAlign w:val="center"/>
                </w:tcPr>
                <w:p w14:paraId="58BC6F6E">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855174</w:t>
                  </w:r>
                </w:p>
              </w:tc>
              <w:tc>
                <w:tcPr>
                  <w:tcW w:w="652" w:type="pct"/>
                  <w:tcBorders>
                    <w:tl2br w:val="nil"/>
                    <w:tr2bl w:val="nil"/>
                  </w:tcBorders>
                  <w:vAlign w:val="center"/>
                </w:tcPr>
                <w:p w14:paraId="4851A7A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7255D81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rFonts w:hint="eastAsia"/>
                      <w:snapToGrid w:val="0"/>
                      <w:color w:val="000000"/>
                      <w:spacing w:val="2"/>
                      <w:kern w:val="0"/>
                      <w:sz w:val="21"/>
                      <w:szCs w:val="21"/>
                      <w:u w:val="none"/>
                    </w:rPr>
                    <w:t>/</w:t>
                  </w:r>
                </w:p>
              </w:tc>
            </w:tr>
            <w:tr w14:paraId="54B60C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687576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6B55EF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tcBorders>
                    <w:tl2br w:val="nil"/>
                    <w:tr2bl w:val="nil"/>
                  </w:tcBorders>
                  <w:vAlign w:val="center"/>
                </w:tcPr>
                <w:p w14:paraId="68DCBAC1">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hint="eastAsia" w:ascii="Times New Roman" w:hAnsi="Times New Roman" w:cs="Times New Roman"/>
                      <w:spacing w:val="5"/>
                      <w:sz w:val="21"/>
                      <w:szCs w:val="21"/>
                      <w:u w:val="none"/>
                      <w:lang w:eastAsia="zh-CN"/>
                    </w:rPr>
                    <w:t>烟气</w:t>
                  </w:r>
                  <w:r>
                    <w:rPr>
                      <w:rFonts w:ascii="Times New Roman" w:hAnsi="Times New Roman" w:cs="Times New Roman"/>
                      <w:spacing w:val="4"/>
                      <w:sz w:val="21"/>
                      <w:szCs w:val="21"/>
                      <w:u w:val="none"/>
                    </w:rPr>
                    <w:t>流速</w:t>
                  </w:r>
                  <w:r>
                    <w:rPr>
                      <w:rFonts w:ascii="Times New Roman" w:hAnsi="Times New Roman" w:cs="Times New Roman"/>
                      <w:spacing w:val="4"/>
                      <w:sz w:val="21"/>
                      <w:szCs w:val="21"/>
                      <w:u w:val="none"/>
                      <w:lang w:eastAsia="zh-CN"/>
                    </w:rPr>
                    <w:t>（m/s）</w:t>
                  </w:r>
                </w:p>
              </w:tc>
              <w:tc>
                <w:tcPr>
                  <w:tcW w:w="582" w:type="pct"/>
                  <w:tcBorders>
                    <w:tl2br w:val="nil"/>
                    <w:tr2bl w:val="nil"/>
                  </w:tcBorders>
                  <w:vAlign w:val="center"/>
                </w:tcPr>
                <w:p w14:paraId="17FC56E7">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10.2</w:t>
                  </w:r>
                </w:p>
              </w:tc>
              <w:tc>
                <w:tcPr>
                  <w:tcW w:w="631" w:type="pct"/>
                  <w:tcBorders>
                    <w:tl2br w:val="nil"/>
                    <w:tr2bl w:val="nil"/>
                  </w:tcBorders>
                  <w:vAlign w:val="center"/>
                </w:tcPr>
                <w:p w14:paraId="1B0FDF3B">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10.7</w:t>
                  </w:r>
                </w:p>
              </w:tc>
              <w:tc>
                <w:tcPr>
                  <w:tcW w:w="646" w:type="pct"/>
                  <w:tcBorders>
                    <w:tl2br w:val="nil"/>
                    <w:tr2bl w:val="nil"/>
                  </w:tcBorders>
                  <w:vAlign w:val="center"/>
                </w:tcPr>
                <w:p w14:paraId="60F6258F">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9.9</w:t>
                  </w:r>
                </w:p>
              </w:tc>
              <w:tc>
                <w:tcPr>
                  <w:tcW w:w="652" w:type="pct"/>
                  <w:tcBorders>
                    <w:tl2br w:val="nil"/>
                    <w:tr2bl w:val="nil"/>
                  </w:tcBorders>
                  <w:vAlign w:val="center"/>
                </w:tcPr>
                <w:p w14:paraId="7E30B5E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10325FF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r>
                    <w:rPr>
                      <w:rFonts w:hint="eastAsia"/>
                      <w:snapToGrid w:val="0"/>
                      <w:color w:val="000000"/>
                      <w:spacing w:val="2"/>
                      <w:kern w:val="0"/>
                      <w:sz w:val="21"/>
                      <w:szCs w:val="21"/>
                      <w:u w:val="none"/>
                    </w:rPr>
                    <w:t>/</w:t>
                  </w:r>
                </w:p>
              </w:tc>
            </w:tr>
            <w:tr w14:paraId="44DBD1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0F7FB93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E716DD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restart"/>
                  <w:tcBorders>
                    <w:tl2br w:val="nil"/>
                    <w:tr2bl w:val="nil"/>
                  </w:tcBorders>
                  <w:vAlign w:val="center"/>
                </w:tcPr>
                <w:p w14:paraId="61CCE93A">
                  <w:pPr>
                    <w:pStyle w:val="392"/>
                    <w:widowControl w:val="0"/>
                    <w:autoSpaceDE w:val="0"/>
                    <w:autoSpaceDN w:val="0"/>
                    <w:spacing w:line="240" w:lineRule="auto"/>
                    <w:ind w:firstLine="0" w:firstLineChars="0"/>
                    <w:jc w:val="center"/>
                    <w:rPr>
                      <w:rFonts w:hint="eastAsia" w:ascii="Times New Roman" w:hAnsi="Times New Roman" w:eastAsia="宋体" w:cs="Times New Roman"/>
                      <w:sz w:val="21"/>
                      <w:szCs w:val="21"/>
                      <w:u w:val="none"/>
                      <w:lang w:val="en-US" w:eastAsia="zh-CN"/>
                    </w:rPr>
                  </w:pPr>
                  <w:r>
                    <w:rPr>
                      <w:rFonts w:hint="eastAsia" w:ascii="Times New Roman" w:hAnsi="Times New Roman" w:cs="Times New Roman"/>
                      <w:sz w:val="21"/>
                      <w:szCs w:val="21"/>
                      <w:u w:val="none"/>
                      <w:lang w:val="en-US" w:eastAsia="zh-CN"/>
                    </w:rPr>
                    <w:t>低浓度颗粒物</w:t>
                  </w:r>
                </w:p>
              </w:tc>
              <w:tc>
                <w:tcPr>
                  <w:tcW w:w="608" w:type="pct"/>
                  <w:tcBorders>
                    <w:tl2br w:val="nil"/>
                    <w:tr2bl w:val="nil"/>
                  </w:tcBorders>
                  <w:vAlign w:val="center"/>
                </w:tcPr>
                <w:p w14:paraId="4F4A35C1">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68615AD9">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3.6</w:t>
                  </w:r>
                </w:p>
              </w:tc>
              <w:tc>
                <w:tcPr>
                  <w:tcW w:w="631" w:type="pct"/>
                  <w:tcBorders>
                    <w:tl2br w:val="nil"/>
                    <w:tr2bl w:val="nil"/>
                  </w:tcBorders>
                  <w:vAlign w:val="center"/>
                </w:tcPr>
                <w:p w14:paraId="41DBD84B">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4.5</w:t>
                  </w:r>
                </w:p>
              </w:tc>
              <w:tc>
                <w:tcPr>
                  <w:tcW w:w="646" w:type="pct"/>
                  <w:tcBorders>
                    <w:tl2br w:val="nil"/>
                    <w:tr2bl w:val="nil"/>
                  </w:tcBorders>
                  <w:vAlign w:val="center"/>
                </w:tcPr>
                <w:p w14:paraId="1238FA2E">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5.9</w:t>
                  </w:r>
                </w:p>
              </w:tc>
              <w:tc>
                <w:tcPr>
                  <w:tcW w:w="652" w:type="pct"/>
                  <w:tcBorders>
                    <w:tl2br w:val="nil"/>
                    <w:tr2bl w:val="nil"/>
                  </w:tcBorders>
                  <w:vAlign w:val="center"/>
                </w:tcPr>
                <w:p w14:paraId="1056072A">
                  <w:pPr>
                    <w:widowControl w:val="0"/>
                    <w:autoSpaceDE w:val="0"/>
                    <w:autoSpaceDN w:val="0"/>
                    <w:spacing w:line="240" w:lineRule="auto"/>
                    <w:ind w:firstLine="0" w:firstLineChars="0"/>
                    <w:jc w:val="center"/>
                    <w:rPr>
                      <w:rFonts w:hint="eastAsia" w:eastAsia="宋体"/>
                      <w:spacing w:val="2"/>
                      <w:sz w:val="21"/>
                      <w:szCs w:val="21"/>
                      <w:u w:val="none"/>
                      <w:lang w:val="en-US" w:eastAsia="zh-CN"/>
                    </w:rPr>
                  </w:pPr>
                  <w:r>
                    <w:rPr>
                      <w:rFonts w:hint="eastAsia"/>
                      <w:spacing w:val="2"/>
                      <w:sz w:val="21"/>
                      <w:szCs w:val="21"/>
                      <w:u w:val="none"/>
                      <w:lang w:val="en-US" w:eastAsia="zh-CN"/>
                    </w:rPr>
                    <w:t>-</w:t>
                  </w:r>
                </w:p>
              </w:tc>
              <w:tc>
                <w:tcPr>
                  <w:tcW w:w="399" w:type="pct"/>
                  <w:tcBorders>
                    <w:tl2br w:val="nil"/>
                    <w:tr2bl w:val="nil"/>
                  </w:tcBorders>
                  <w:vAlign w:val="center"/>
                </w:tcPr>
                <w:p w14:paraId="5AB868B4">
                  <w:pPr>
                    <w:widowControl w:val="0"/>
                    <w:autoSpaceDE w:val="0"/>
                    <w:autoSpaceDN w:val="0"/>
                    <w:spacing w:line="240" w:lineRule="auto"/>
                    <w:ind w:firstLine="0" w:firstLineChars="0"/>
                    <w:jc w:val="center"/>
                    <w:rPr>
                      <w:rFonts w:hint="eastAsia" w:eastAsia="宋体"/>
                      <w:spacing w:val="2"/>
                      <w:sz w:val="21"/>
                      <w:szCs w:val="21"/>
                      <w:u w:val="none"/>
                      <w:lang w:val="en-US" w:eastAsia="zh-CN"/>
                    </w:rPr>
                  </w:pPr>
                  <w:r>
                    <w:rPr>
                      <w:rFonts w:hint="eastAsia" w:eastAsia="宋体"/>
                      <w:spacing w:val="2"/>
                      <w:sz w:val="21"/>
                      <w:szCs w:val="21"/>
                      <w:u w:val="none"/>
                      <w:lang w:val="en-US" w:eastAsia="zh-CN"/>
                    </w:rPr>
                    <w:t>-</w:t>
                  </w:r>
                </w:p>
              </w:tc>
            </w:tr>
            <w:tr w14:paraId="020BC5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49AB29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51130D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continue"/>
                  <w:tcBorders>
                    <w:tl2br w:val="nil"/>
                    <w:tr2bl w:val="nil"/>
                  </w:tcBorders>
                  <w:vAlign w:val="center"/>
                </w:tcPr>
                <w:p w14:paraId="5F8FDE17">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p>
              </w:tc>
              <w:tc>
                <w:tcPr>
                  <w:tcW w:w="608" w:type="pct"/>
                  <w:tcBorders>
                    <w:tl2br w:val="nil"/>
                    <w:tr2bl w:val="nil"/>
                  </w:tcBorders>
                  <w:vAlign w:val="center"/>
                </w:tcPr>
                <w:p w14:paraId="68A92ED5">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5839801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5.0</w:t>
                  </w:r>
                </w:p>
              </w:tc>
              <w:tc>
                <w:tcPr>
                  <w:tcW w:w="631" w:type="pct"/>
                  <w:tcBorders>
                    <w:tl2br w:val="nil"/>
                    <w:tr2bl w:val="nil"/>
                  </w:tcBorders>
                  <w:vAlign w:val="center"/>
                </w:tcPr>
                <w:p w14:paraId="70C6CAF2">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6.6</w:t>
                  </w:r>
                </w:p>
              </w:tc>
              <w:tc>
                <w:tcPr>
                  <w:tcW w:w="646" w:type="pct"/>
                  <w:tcBorders>
                    <w:tl2br w:val="nil"/>
                    <w:tr2bl w:val="nil"/>
                  </w:tcBorders>
                  <w:vAlign w:val="center"/>
                </w:tcPr>
                <w:p w14:paraId="389B4749">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8.0</w:t>
                  </w:r>
                </w:p>
              </w:tc>
              <w:tc>
                <w:tcPr>
                  <w:tcW w:w="652" w:type="pct"/>
                  <w:tcBorders>
                    <w:tl2br w:val="nil"/>
                    <w:tr2bl w:val="nil"/>
                  </w:tcBorders>
                  <w:vAlign w:val="center"/>
                </w:tcPr>
                <w:p w14:paraId="7510DEE1">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30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69085077">
                  <w:pPr>
                    <w:widowControl w:val="0"/>
                    <w:autoSpaceDE w:val="0"/>
                    <w:autoSpaceDN w:val="0"/>
                    <w:spacing w:line="240" w:lineRule="auto"/>
                    <w:ind w:firstLine="0" w:firstLineChars="0"/>
                    <w:jc w:val="center"/>
                    <w:rPr>
                      <w:spacing w:val="2"/>
                      <w:sz w:val="21"/>
                      <w:szCs w:val="21"/>
                      <w:u w:val="none"/>
                    </w:rPr>
                  </w:pPr>
                  <w:r>
                    <w:rPr>
                      <w:rFonts w:hint="eastAsia"/>
                      <w:snapToGrid w:val="0"/>
                      <w:color w:val="000000"/>
                      <w:spacing w:val="2"/>
                      <w:kern w:val="0"/>
                      <w:sz w:val="21"/>
                      <w:szCs w:val="21"/>
                      <w:u w:val="none"/>
                    </w:rPr>
                    <w:t>达标</w:t>
                  </w:r>
                </w:p>
              </w:tc>
            </w:tr>
            <w:tr w14:paraId="722BF0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D0E576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A3599D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restart"/>
                  <w:tcBorders>
                    <w:tl2br w:val="nil"/>
                    <w:tr2bl w:val="nil"/>
                  </w:tcBorders>
                  <w:vAlign w:val="center"/>
                </w:tcPr>
                <w:p w14:paraId="43FEE9EE">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hint="eastAsia" w:ascii="Times New Roman" w:hAnsi="Times New Roman" w:cs="Times New Roman"/>
                      <w:spacing w:val="3"/>
                      <w:sz w:val="21"/>
                      <w:szCs w:val="21"/>
                      <w:u w:val="none"/>
                      <w:lang w:val="en-US" w:eastAsia="zh-CN"/>
                    </w:rPr>
                    <w:t>二氧化硫</w:t>
                  </w:r>
                </w:p>
              </w:tc>
              <w:tc>
                <w:tcPr>
                  <w:tcW w:w="608" w:type="pct"/>
                  <w:tcBorders>
                    <w:tl2br w:val="nil"/>
                    <w:tr2bl w:val="nil"/>
                  </w:tcBorders>
                  <w:vAlign w:val="center"/>
                </w:tcPr>
                <w:p w14:paraId="30460ED1">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24E34261">
                  <w:pPr>
                    <w:widowControl w:val="0"/>
                    <w:autoSpaceDE w:val="0"/>
                    <w:autoSpaceDN w:val="0"/>
                    <w:spacing w:line="240" w:lineRule="auto"/>
                    <w:ind w:firstLine="0" w:firstLineChars="0"/>
                    <w:jc w:val="center"/>
                    <w:rPr>
                      <w:rFonts w:hint="default"/>
                      <w:spacing w:val="-2"/>
                      <w:sz w:val="21"/>
                      <w:szCs w:val="21"/>
                      <w:u w:val="none"/>
                      <w:lang w:val="en-US"/>
                    </w:rPr>
                  </w:pPr>
                  <w:r>
                    <w:rPr>
                      <w:rFonts w:hint="eastAsia"/>
                      <w:snapToGrid w:val="0"/>
                      <w:color w:val="000000"/>
                      <w:spacing w:val="-3"/>
                      <w:kern w:val="0"/>
                      <w:sz w:val="21"/>
                      <w:szCs w:val="21"/>
                      <w:u w:val="none"/>
                      <w:lang w:val="en-US" w:eastAsia="zh-CN"/>
                    </w:rPr>
                    <w:t>ND</w:t>
                  </w:r>
                </w:p>
              </w:tc>
              <w:tc>
                <w:tcPr>
                  <w:tcW w:w="631" w:type="pct"/>
                  <w:tcBorders>
                    <w:tl2br w:val="nil"/>
                    <w:tr2bl w:val="nil"/>
                  </w:tcBorders>
                  <w:vAlign w:val="center"/>
                </w:tcPr>
                <w:p w14:paraId="41B91D6E">
                  <w:pPr>
                    <w:widowControl w:val="0"/>
                    <w:autoSpaceDE w:val="0"/>
                    <w:autoSpaceDN w:val="0"/>
                    <w:spacing w:line="240" w:lineRule="auto"/>
                    <w:ind w:firstLine="0" w:firstLineChars="0"/>
                    <w:jc w:val="center"/>
                    <w:rPr>
                      <w:rFonts w:hint="eastAsia"/>
                      <w:spacing w:val="-4"/>
                      <w:sz w:val="21"/>
                      <w:szCs w:val="21"/>
                      <w:u w:val="none"/>
                    </w:rPr>
                  </w:pPr>
                  <w:r>
                    <w:rPr>
                      <w:rFonts w:hint="eastAsia"/>
                      <w:spacing w:val="-4"/>
                      <w:sz w:val="21"/>
                      <w:szCs w:val="21"/>
                      <w:u w:val="none"/>
                      <w:lang w:val="en-US" w:eastAsia="zh-CN"/>
                    </w:rPr>
                    <w:t>7</w:t>
                  </w:r>
                </w:p>
              </w:tc>
              <w:tc>
                <w:tcPr>
                  <w:tcW w:w="646" w:type="pct"/>
                  <w:tcBorders>
                    <w:tl2br w:val="nil"/>
                    <w:tr2bl w:val="nil"/>
                  </w:tcBorders>
                  <w:vAlign w:val="center"/>
                </w:tcPr>
                <w:p w14:paraId="6D0CDFB4">
                  <w:pPr>
                    <w:widowControl w:val="0"/>
                    <w:autoSpaceDE w:val="0"/>
                    <w:autoSpaceDN w:val="0"/>
                    <w:spacing w:line="240" w:lineRule="auto"/>
                    <w:ind w:firstLine="0" w:firstLineChars="0"/>
                    <w:jc w:val="center"/>
                    <w:rPr>
                      <w:rFonts w:hint="default"/>
                      <w:spacing w:val="-5"/>
                      <w:sz w:val="21"/>
                      <w:szCs w:val="21"/>
                      <w:u w:val="none"/>
                      <w:lang w:val="en-US"/>
                    </w:rPr>
                  </w:pPr>
                  <w:r>
                    <w:rPr>
                      <w:rFonts w:hint="eastAsia"/>
                      <w:snapToGrid w:val="0"/>
                      <w:color w:val="000000"/>
                      <w:spacing w:val="-3"/>
                      <w:kern w:val="0"/>
                      <w:sz w:val="21"/>
                      <w:szCs w:val="21"/>
                      <w:u w:val="none"/>
                      <w:lang w:val="en-US" w:eastAsia="zh-CN"/>
                    </w:rPr>
                    <w:t>ND</w:t>
                  </w:r>
                </w:p>
              </w:tc>
              <w:tc>
                <w:tcPr>
                  <w:tcW w:w="652" w:type="pct"/>
                  <w:tcBorders>
                    <w:tl2br w:val="nil"/>
                    <w:tr2bl w:val="nil"/>
                  </w:tcBorders>
                  <w:vAlign w:val="center"/>
                </w:tcPr>
                <w:p w14:paraId="298E4F1F">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13A9014E">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3BA5BB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6446D39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866E01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continue"/>
                  <w:tcBorders>
                    <w:tl2br w:val="nil"/>
                    <w:tr2bl w:val="nil"/>
                  </w:tcBorders>
                  <w:vAlign w:val="center"/>
                </w:tcPr>
                <w:p w14:paraId="632CE6E8">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p>
              </w:tc>
              <w:tc>
                <w:tcPr>
                  <w:tcW w:w="608" w:type="pct"/>
                  <w:tcBorders>
                    <w:tl2br w:val="nil"/>
                    <w:tr2bl w:val="nil"/>
                  </w:tcBorders>
                  <w:vAlign w:val="center"/>
                </w:tcPr>
                <w:p w14:paraId="2E59068E">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7AADB827">
                  <w:pPr>
                    <w:widowControl w:val="0"/>
                    <w:autoSpaceDE w:val="0"/>
                    <w:autoSpaceDN w:val="0"/>
                    <w:spacing w:line="240" w:lineRule="auto"/>
                    <w:ind w:firstLine="0" w:firstLineChars="0"/>
                    <w:jc w:val="center"/>
                    <w:rPr>
                      <w:rFonts w:hint="default"/>
                      <w:spacing w:val="-2"/>
                      <w:sz w:val="21"/>
                      <w:szCs w:val="21"/>
                      <w:u w:val="none"/>
                      <w:lang w:val="en-US"/>
                    </w:rPr>
                  </w:pPr>
                  <w:r>
                    <w:rPr>
                      <w:rFonts w:hint="eastAsia"/>
                      <w:snapToGrid w:val="0"/>
                      <w:color w:val="000000"/>
                      <w:spacing w:val="-3"/>
                      <w:kern w:val="0"/>
                      <w:sz w:val="21"/>
                      <w:szCs w:val="21"/>
                      <w:u w:val="none"/>
                      <w:lang w:val="en-US" w:eastAsia="zh-CN"/>
                    </w:rPr>
                    <w:t>ND</w:t>
                  </w:r>
                </w:p>
              </w:tc>
              <w:tc>
                <w:tcPr>
                  <w:tcW w:w="631" w:type="pct"/>
                  <w:tcBorders>
                    <w:tl2br w:val="nil"/>
                    <w:tr2bl w:val="nil"/>
                  </w:tcBorders>
                  <w:vAlign w:val="center"/>
                </w:tcPr>
                <w:p w14:paraId="20EDEB2E">
                  <w:pPr>
                    <w:widowControl w:val="0"/>
                    <w:autoSpaceDE w:val="0"/>
                    <w:autoSpaceDN w:val="0"/>
                    <w:spacing w:line="240" w:lineRule="auto"/>
                    <w:ind w:firstLine="0" w:firstLineChars="0"/>
                    <w:jc w:val="center"/>
                    <w:rPr>
                      <w:rFonts w:hint="default"/>
                      <w:spacing w:val="-4"/>
                      <w:sz w:val="21"/>
                      <w:szCs w:val="21"/>
                      <w:u w:val="none"/>
                      <w:lang w:val="en-US"/>
                    </w:rPr>
                  </w:pPr>
                  <w:r>
                    <w:rPr>
                      <w:rFonts w:hint="eastAsia"/>
                      <w:spacing w:val="-4"/>
                      <w:sz w:val="21"/>
                      <w:szCs w:val="21"/>
                      <w:u w:val="none"/>
                      <w:lang w:val="en-US" w:eastAsia="zh-CN"/>
                    </w:rPr>
                    <w:t>10</w:t>
                  </w:r>
                </w:p>
              </w:tc>
              <w:tc>
                <w:tcPr>
                  <w:tcW w:w="646" w:type="pct"/>
                  <w:tcBorders>
                    <w:tl2br w:val="nil"/>
                    <w:tr2bl w:val="nil"/>
                  </w:tcBorders>
                  <w:vAlign w:val="center"/>
                </w:tcPr>
                <w:p w14:paraId="449E77B1">
                  <w:pPr>
                    <w:widowControl w:val="0"/>
                    <w:autoSpaceDE w:val="0"/>
                    <w:autoSpaceDN w:val="0"/>
                    <w:spacing w:line="240" w:lineRule="auto"/>
                    <w:ind w:firstLine="0" w:firstLineChars="0"/>
                    <w:jc w:val="center"/>
                    <w:rPr>
                      <w:rFonts w:hint="default"/>
                      <w:spacing w:val="-5"/>
                      <w:sz w:val="21"/>
                      <w:szCs w:val="21"/>
                      <w:u w:val="none"/>
                      <w:lang w:val="en-US"/>
                    </w:rPr>
                  </w:pPr>
                  <w:r>
                    <w:rPr>
                      <w:rFonts w:hint="eastAsia"/>
                      <w:snapToGrid w:val="0"/>
                      <w:color w:val="000000"/>
                      <w:spacing w:val="-3"/>
                      <w:kern w:val="0"/>
                      <w:sz w:val="21"/>
                      <w:szCs w:val="21"/>
                      <w:u w:val="none"/>
                      <w:lang w:val="en-US" w:eastAsia="zh-CN"/>
                    </w:rPr>
                    <w:t>ND</w:t>
                  </w:r>
                </w:p>
              </w:tc>
              <w:tc>
                <w:tcPr>
                  <w:tcW w:w="652" w:type="pct"/>
                  <w:tcBorders>
                    <w:tl2br w:val="nil"/>
                    <w:tr2bl w:val="nil"/>
                  </w:tcBorders>
                  <w:vAlign w:val="center"/>
                </w:tcPr>
                <w:p w14:paraId="7556D8B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20</w:t>
                  </w:r>
                  <w:r>
                    <w:rPr>
                      <w:rFonts w:hint="eastAsia"/>
                      <w:snapToGrid w:val="0"/>
                      <w:color w:val="000000"/>
                      <w:spacing w:val="2"/>
                      <w:kern w:val="0"/>
                      <w:sz w:val="21"/>
                      <w:szCs w:val="21"/>
                      <w:u w:val="none"/>
                    </w:rPr>
                    <w:t>0mg/m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3C88DA88">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61C8E8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9151E0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56550F7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restart"/>
                  <w:tcBorders>
                    <w:tl2br w:val="nil"/>
                    <w:tr2bl w:val="nil"/>
                  </w:tcBorders>
                  <w:vAlign w:val="center"/>
                </w:tcPr>
                <w:p w14:paraId="05573AD6">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hint="eastAsia" w:ascii="Times New Roman" w:hAnsi="Times New Roman" w:cs="Times New Roman"/>
                      <w:spacing w:val="3"/>
                      <w:sz w:val="21"/>
                      <w:szCs w:val="21"/>
                      <w:u w:val="none"/>
                      <w:lang w:val="en-US" w:eastAsia="zh-CN"/>
                    </w:rPr>
                    <w:t>氮氧化物</w:t>
                  </w:r>
                </w:p>
              </w:tc>
              <w:tc>
                <w:tcPr>
                  <w:tcW w:w="608" w:type="pct"/>
                  <w:tcBorders>
                    <w:tl2br w:val="nil"/>
                    <w:tr2bl w:val="nil"/>
                  </w:tcBorders>
                  <w:vAlign w:val="center"/>
                </w:tcPr>
                <w:p w14:paraId="61204F4D">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0F48D6F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23</w:t>
                  </w:r>
                </w:p>
              </w:tc>
              <w:tc>
                <w:tcPr>
                  <w:tcW w:w="631" w:type="pct"/>
                  <w:tcBorders>
                    <w:tl2br w:val="nil"/>
                    <w:tr2bl w:val="nil"/>
                  </w:tcBorders>
                  <w:vAlign w:val="center"/>
                </w:tcPr>
                <w:p w14:paraId="00B1CBB2">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15</w:t>
                  </w:r>
                </w:p>
              </w:tc>
              <w:tc>
                <w:tcPr>
                  <w:tcW w:w="646" w:type="pct"/>
                  <w:tcBorders>
                    <w:tl2br w:val="nil"/>
                    <w:tr2bl w:val="nil"/>
                  </w:tcBorders>
                  <w:vAlign w:val="center"/>
                </w:tcPr>
                <w:p w14:paraId="4DFB4E2F">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28</w:t>
                  </w:r>
                </w:p>
              </w:tc>
              <w:tc>
                <w:tcPr>
                  <w:tcW w:w="652" w:type="pct"/>
                  <w:tcBorders>
                    <w:tl2br w:val="nil"/>
                    <w:tr2bl w:val="nil"/>
                  </w:tcBorders>
                  <w:vAlign w:val="center"/>
                </w:tcPr>
                <w:p w14:paraId="2E906A06">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44540B1B">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73E7D6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6A9DCB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116B7BA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continue"/>
                  <w:tcBorders>
                    <w:tl2br w:val="nil"/>
                    <w:tr2bl w:val="nil"/>
                  </w:tcBorders>
                  <w:vAlign w:val="center"/>
                </w:tcPr>
                <w:p w14:paraId="1177FC7B">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p>
              </w:tc>
              <w:tc>
                <w:tcPr>
                  <w:tcW w:w="608" w:type="pct"/>
                  <w:tcBorders>
                    <w:tl2br w:val="nil"/>
                    <w:tr2bl w:val="nil"/>
                  </w:tcBorders>
                  <w:vAlign w:val="center"/>
                </w:tcPr>
                <w:p w14:paraId="11886AF6">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4E524CB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32</w:t>
                  </w:r>
                </w:p>
              </w:tc>
              <w:tc>
                <w:tcPr>
                  <w:tcW w:w="631" w:type="pct"/>
                  <w:tcBorders>
                    <w:tl2br w:val="nil"/>
                    <w:tr2bl w:val="nil"/>
                  </w:tcBorders>
                  <w:vAlign w:val="center"/>
                </w:tcPr>
                <w:p w14:paraId="372D791E">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22</w:t>
                  </w:r>
                </w:p>
              </w:tc>
              <w:tc>
                <w:tcPr>
                  <w:tcW w:w="646" w:type="pct"/>
                  <w:tcBorders>
                    <w:tl2br w:val="nil"/>
                    <w:tr2bl w:val="nil"/>
                  </w:tcBorders>
                  <w:vAlign w:val="center"/>
                </w:tcPr>
                <w:p w14:paraId="5358BE87">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38</w:t>
                  </w:r>
                </w:p>
              </w:tc>
              <w:tc>
                <w:tcPr>
                  <w:tcW w:w="652" w:type="pct"/>
                  <w:tcBorders>
                    <w:tl2br w:val="nil"/>
                    <w:tr2bl w:val="nil"/>
                  </w:tcBorders>
                  <w:vAlign w:val="center"/>
                </w:tcPr>
                <w:p w14:paraId="51B535A0">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200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129E7DC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0A1621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B02ED3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66FEBE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tcBorders>
                    <w:tl2br w:val="nil"/>
                    <w:tr2bl w:val="nil"/>
                  </w:tcBorders>
                  <w:vAlign w:val="center"/>
                </w:tcPr>
                <w:p w14:paraId="29F4EB4A">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7818268E">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924264</w:t>
                  </w:r>
                </w:p>
              </w:tc>
              <w:tc>
                <w:tcPr>
                  <w:tcW w:w="631" w:type="pct"/>
                  <w:tcBorders>
                    <w:tl2br w:val="nil"/>
                    <w:tr2bl w:val="nil"/>
                  </w:tcBorders>
                  <w:vAlign w:val="center"/>
                </w:tcPr>
                <w:p w14:paraId="74568050">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893280</w:t>
                  </w:r>
                </w:p>
              </w:tc>
              <w:tc>
                <w:tcPr>
                  <w:tcW w:w="646" w:type="pct"/>
                  <w:tcBorders>
                    <w:tl2br w:val="nil"/>
                    <w:tr2bl w:val="nil"/>
                  </w:tcBorders>
                  <w:vAlign w:val="center"/>
                </w:tcPr>
                <w:p w14:paraId="7227E09C">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970747</w:t>
                  </w:r>
                </w:p>
              </w:tc>
              <w:tc>
                <w:tcPr>
                  <w:tcW w:w="652" w:type="pct"/>
                  <w:tcBorders>
                    <w:tl2br w:val="nil"/>
                    <w:tr2bl w:val="nil"/>
                  </w:tcBorders>
                  <w:vAlign w:val="center"/>
                </w:tcPr>
                <w:p w14:paraId="5A68699F">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00824565">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14D34C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4831BB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0CC7CF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tcBorders>
                    <w:tl2br w:val="nil"/>
                    <w:tr2bl w:val="nil"/>
                  </w:tcBorders>
                  <w:vAlign w:val="center"/>
                </w:tcPr>
                <w:p w14:paraId="39C1A21F">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氧含量</w:t>
                  </w:r>
                </w:p>
              </w:tc>
              <w:tc>
                <w:tcPr>
                  <w:tcW w:w="582" w:type="pct"/>
                  <w:tcBorders>
                    <w:tl2br w:val="nil"/>
                    <w:tr2bl w:val="nil"/>
                  </w:tcBorders>
                  <w:vAlign w:val="center"/>
                </w:tcPr>
                <w:p w14:paraId="2323103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10.0</w:t>
                  </w:r>
                </w:p>
              </w:tc>
              <w:tc>
                <w:tcPr>
                  <w:tcW w:w="631" w:type="pct"/>
                  <w:tcBorders>
                    <w:tl2br w:val="nil"/>
                    <w:tr2bl w:val="nil"/>
                  </w:tcBorders>
                  <w:vAlign w:val="center"/>
                </w:tcPr>
                <w:p w14:paraId="348988C2">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9.2</w:t>
                  </w:r>
                </w:p>
              </w:tc>
              <w:tc>
                <w:tcPr>
                  <w:tcW w:w="646" w:type="pct"/>
                  <w:tcBorders>
                    <w:tl2br w:val="nil"/>
                    <w:tr2bl w:val="nil"/>
                  </w:tcBorders>
                  <w:vAlign w:val="center"/>
                </w:tcPr>
                <w:p w14:paraId="00D7DA75">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9.6</w:t>
                  </w:r>
                </w:p>
              </w:tc>
              <w:tc>
                <w:tcPr>
                  <w:tcW w:w="652" w:type="pct"/>
                  <w:tcBorders>
                    <w:tl2br w:val="nil"/>
                    <w:tr2bl w:val="nil"/>
                  </w:tcBorders>
                  <w:vAlign w:val="center"/>
                </w:tcPr>
                <w:p w14:paraId="49A5E4E6">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24D43C22">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62743D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D782E4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48FB45E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restart"/>
                  <w:tcBorders>
                    <w:tl2br w:val="nil"/>
                    <w:tr2bl w:val="nil"/>
                  </w:tcBorders>
                  <w:vAlign w:val="center"/>
                </w:tcPr>
                <w:p w14:paraId="4E696716">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hint="eastAsia" w:ascii="Times New Roman" w:hAnsi="Times New Roman" w:cs="Times New Roman"/>
                      <w:sz w:val="21"/>
                      <w:szCs w:val="21"/>
                      <w:u w:val="none"/>
                      <w:lang w:val="en-US" w:eastAsia="zh-CN"/>
                    </w:rPr>
                    <w:t>汞及其化合物</w:t>
                  </w:r>
                </w:p>
              </w:tc>
              <w:tc>
                <w:tcPr>
                  <w:tcW w:w="608" w:type="pct"/>
                  <w:tcBorders>
                    <w:tl2br w:val="nil"/>
                    <w:tr2bl w:val="nil"/>
                  </w:tcBorders>
                  <w:vAlign w:val="center"/>
                </w:tcPr>
                <w:p w14:paraId="18F6858D">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6DDAF020">
                  <w:pPr>
                    <w:widowControl w:val="0"/>
                    <w:autoSpaceDE w:val="0"/>
                    <w:autoSpaceDN w:val="0"/>
                    <w:spacing w:line="240" w:lineRule="auto"/>
                    <w:ind w:firstLine="0" w:firstLineChars="0"/>
                    <w:jc w:val="center"/>
                    <w:rPr>
                      <w:rFonts w:hint="eastAsia"/>
                      <w:spacing w:val="-2"/>
                      <w:sz w:val="21"/>
                      <w:szCs w:val="21"/>
                      <w:u w:val="none"/>
                    </w:rPr>
                  </w:pPr>
                  <w:r>
                    <w:rPr>
                      <w:rFonts w:hint="eastAsia"/>
                      <w:spacing w:val="-3"/>
                      <w:sz w:val="21"/>
                      <w:szCs w:val="21"/>
                      <w:u w:val="none"/>
                      <w:lang w:val="en-US" w:eastAsia="zh-CN"/>
                    </w:rPr>
                    <w:t>6</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07AFC4BD">
                  <w:pPr>
                    <w:widowControl w:val="0"/>
                    <w:autoSpaceDE w:val="0"/>
                    <w:autoSpaceDN w:val="0"/>
                    <w:spacing w:line="240" w:lineRule="auto"/>
                    <w:ind w:firstLine="0" w:firstLineChars="0"/>
                    <w:jc w:val="center"/>
                    <w:rPr>
                      <w:rFonts w:hint="eastAsia"/>
                      <w:spacing w:val="-4"/>
                      <w:sz w:val="21"/>
                      <w:szCs w:val="21"/>
                      <w:u w:val="none"/>
                    </w:rPr>
                  </w:pPr>
                  <w:r>
                    <w:rPr>
                      <w:rFonts w:hint="eastAsia"/>
                      <w:spacing w:val="-3"/>
                      <w:sz w:val="21"/>
                      <w:szCs w:val="21"/>
                      <w:u w:val="none"/>
                      <w:lang w:val="en-US" w:eastAsia="zh-CN"/>
                    </w:rPr>
                    <w:t>6</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56C17A9D">
                  <w:pPr>
                    <w:widowControl w:val="0"/>
                    <w:autoSpaceDE w:val="0"/>
                    <w:autoSpaceDN w:val="0"/>
                    <w:spacing w:line="240" w:lineRule="auto"/>
                    <w:ind w:firstLine="0" w:firstLineChars="0"/>
                    <w:jc w:val="center"/>
                    <w:rPr>
                      <w:rFonts w:hint="eastAsia"/>
                      <w:spacing w:val="-5"/>
                      <w:sz w:val="21"/>
                      <w:szCs w:val="21"/>
                      <w:u w:val="none"/>
                    </w:rPr>
                  </w:pPr>
                  <w:r>
                    <w:rPr>
                      <w:rFonts w:hint="eastAsia"/>
                      <w:spacing w:val="-3"/>
                      <w:sz w:val="21"/>
                      <w:szCs w:val="21"/>
                      <w:u w:val="none"/>
                      <w:lang w:val="en-US" w:eastAsia="zh-CN"/>
                    </w:rPr>
                    <w:t>5</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4E645408">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0DF92B2F">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2908BF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AF4946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E7AC39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continue"/>
                  <w:tcBorders>
                    <w:tl2br w:val="nil"/>
                    <w:tr2bl w:val="nil"/>
                  </w:tcBorders>
                  <w:vAlign w:val="center"/>
                </w:tcPr>
                <w:p w14:paraId="682643FC">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p>
              </w:tc>
              <w:tc>
                <w:tcPr>
                  <w:tcW w:w="608" w:type="pct"/>
                  <w:tcBorders>
                    <w:tl2br w:val="nil"/>
                    <w:tr2bl w:val="nil"/>
                  </w:tcBorders>
                  <w:vAlign w:val="center"/>
                </w:tcPr>
                <w:p w14:paraId="3685A9A7">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2D6ECF5E">
                  <w:pPr>
                    <w:widowControl w:val="0"/>
                    <w:autoSpaceDE w:val="0"/>
                    <w:autoSpaceDN w:val="0"/>
                    <w:spacing w:line="240" w:lineRule="auto"/>
                    <w:ind w:firstLine="0" w:firstLineChars="0"/>
                    <w:jc w:val="center"/>
                    <w:rPr>
                      <w:rFonts w:hint="eastAsia"/>
                      <w:spacing w:val="-2"/>
                      <w:sz w:val="21"/>
                      <w:szCs w:val="21"/>
                      <w:u w:val="none"/>
                    </w:rPr>
                  </w:pPr>
                  <w:r>
                    <w:rPr>
                      <w:rFonts w:hint="eastAsia"/>
                      <w:spacing w:val="-3"/>
                      <w:sz w:val="21"/>
                      <w:szCs w:val="21"/>
                      <w:u w:val="none"/>
                      <w:lang w:val="en-US" w:eastAsia="zh-CN"/>
                    </w:rPr>
                    <w:t>8</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5C2C76C0">
                  <w:pPr>
                    <w:widowControl w:val="0"/>
                    <w:autoSpaceDE w:val="0"/>
                    <w:autoSpaceDN w:val="0"/>
                    <w:spacing w:line="240" w:lineRule="auto"/>
                    <w:ind w:firstLine="0" w:firstLineChars="0"/>
                    <w:jc w:val="center"/>
                    <w:rPr>
                      <w:rFonts w:hint="eastAsia"/>
                      <w:spacing w:val="-4"/>
                      <w:sz w:val="21"/>
                      <w:szCs w:val="21"/>
                      <w:u w:val="none"/>
                    </w:rPr>
                  </w:pPr>
                  <w:r>
                    <w:rPr>
                      <w:rFonts w:hint="eastAsia"/>
                      <w:spacing w:val="-3"/>
                      <w:sz w:val="21"/>
                      <w:szCs w:val="21"/>
                      <w:u w:val="none"/>
                      <w:lang w:val="en-US" w:eastAsia="zh-CN"/>
                    </w:rPr>
                    <w:t>8</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0964A7C3">
                  <w:pPr>
                    <w:widowControl w:val="0"/>
                    <w:autoSpaceDE w:val="0"/>
                    <w:autoSpaceDN w:val="0"/>
                    <w:spacing w:line="240" w:lineRule="auto"/>
                    <w:ind w:firstLine="0" w:firstLineChars="0"/>
                    <w:jc w:val="center"/>
                    <w:rPr>
                      <w:rFonts w:hint="eastAsia"/>
                      <w:spacing w:val="-5"/>
                      <w:sz w:val="21"/>
                      <w:szCs w:val="21"/>
                      <w:u w:val="none"/>
                    </w:rPr>
                  </w:pPr>
                  <w:r>
                    <w:rPr>
                      <w:rFonts w:hint="eastAsia"/>
                      <w:spacing w:val="-3"/>
                      <w:sz w:val="21"/>
                      <w:szCs w:val="21"/>
                      <w:u w:val="none"/>
                      <w:lang w:val="en-US" w:eastAsia="zh-CN"/>
                    </w:rPr>
                    <w:t>7</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2995357A">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0.03</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3B79AD6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16F548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6705FC28">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2025.01.16</w:t>
                  </w:r>
                </w:p>
              </w:tc>
              <w:tc>
                <w:tcPr>
                  <w:tcW w:w="522" w:type="pct"/>
                  <w:vMerge w:val="restart"/>
                  <w:tcBorders>
                    <w:tl2br w:val="nil"/>
                    <w:tr2bl w:val="nil"/>
                  </w:tcBorders>
                  <w:vAlign w:val="center"/>
                </w:tcPr>
                <w:p w14:paraId="3BB8529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lang w:val="en-US" w:eastAsia="zh-CN"/>
                    </w:rPr>
                  </w:pPr>
                  <w:r>
                    <w:rPr>
                      <w:rFonts w:hint="eastAsia"/>
                      <w:snapToGrid w:val="0"/>
                      <w:color w:val="000000"/>
                      <w:kern w:val="0"/>
                      <w:sz w:val="21"/>
                      <w:szCs w:val="21"/>
                      <w:u w:val="none"/>
                      <w:lang w:val="en-US" w:eastAsia="zh-CN"/>
                    </w:rPr>
                    <w:t>5#机组总排口</w:t>
                  </w:r>
                </w:p>
                <w:p w14:paraId="13FA80F8">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DA003</w:t>
                  </w:r>
                </w:p>
              </w:tc>
              <w:tc>
                <w:tcPr>
                  <w:tcW w:w="1215" w:type="pct"/>
                  <w:gridSpan w:val="2"/>
                  <w:tcBorders>
                    <w:tl2br w:val="nil"/>
                    <w:tr2bl w:val="nil"/>
                  </w:tcBorders>
                  <w:vAlign w:val="center"/>
                </w:tcPr>
                <w:p w14:paraId="27361F62">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06711DCE">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1848424</w:t>
                  </w:r>
                </w:p>
              </w:tc>
              <w:tc>
                <w:tcPr>
                  <w:tcW w:w="631" w:type="pct"/>
                  <w:tcBorders>
                    <w:tl2br w:val="nil"/>
                    <w:tr2bl w:val="nil"/>
                  </w:tcBorders>
                  <w:vAlign w:val="center"/>
                </w:tcPr>
                <w:p w14:paraId="16C2D956">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2149865</w:t>
                  </w:r>
                </w:p>
              </w:tc>
              <w:tc>
                <w:tcPr>
                  <w:tcW w:w="646" w:type="pct"/>
                  <w:tcBorders>
                    <w:tl2br w:val="nil"/>
                    <w:tr2bl w:val="nil"/>
                  </w:tcBorders>
                  <w:vAlign w:val="center"/>
                </w:tcPr>
                <w:p w14:paraId="15DA58DD">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2132552</w:t>
                  </w:r>
                </w:p>
              </w:tc>
              <w:tc>
                <w:tcPr>
                  <w:tcW w:w="652" w:type="pct"/>
                  <w:tcBorders>
                    <w:tl2br w:val="nil"/>
                    <w:tr2bl w:val="nil"/>
                  </w:tcBorders>
                  <w:vAlign w:val="center"/>
                </w:tcPr>
                <w:p w14:paraId="26F7ADAF">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37AF0D8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2E5C63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1DF7A82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5D482B6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5B93EB64">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5"/>
                      <w:sz w:val="21"/>
                      <w:szCs w:val="21"/>
                      <w:u w:val="none"/>
                      <w:lang w:eastAsia="zh-CN"/>
                    </w:rPr>
                    <w:t>烟气</w:t>
                  </w:r>
                  <w:r>
                    <w:rPr>
                      <w:rFonts w:ascii="Times New Roman" w:hAnsi="Times New Roman" w:cs="Times New Roman"/>
                      <w:spacing w:val="4"/>
                      <w:sz w:val="21"/>
                      <w:szCs w:val="21"/>
                      <w:u w:val="none"/>
                    </w:rPr>
                    <w:t>流速</w:t>
                  </w:r>
                  <w:r>
                    <w:rPr>
                      <w:rFonts w:ascii="Times New Roman" w:hAnsi="Times New Roman" w:cs="Times New Roman"/>
                      <w:spacing w:val="4"/>
                      <w:sz w:val="21"/>
                      <w:szCs w:val="21"/>
                      <w:u w:val="none"/>
                      <w:lang w:eastAsia="zh-CN"/>
                    </w:rPr>
                    <w:t>（m/s）</w:t>
                  </w:r>
                </w:p>
              </w:tc>
              <w:tc>
                <w:tcPr>
                  <w:tcW w:w="582" w:type="pct"/>
                  <w:tcBorders>
                    <w:tl2br w:val="nil"/>
                    <w:tr2bl w:val="nil"/>
                  </w:tcBorders>
                  <w:vAlign w:val="center"/>
                </w:tcPr>
                <w:p w14:paraId="062028C0">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7.8</w:t>
                  </w:r>
                </w:p>
              </w:tc>
              <w:tc>
                <w:tcPr>
                  <w:tcW w:w="631" w:type="pct"/>
                  <w:tcBorders>
                    <w:tl2br w:val="nil"/>
                    <w:tr2bl w:val="nil"/>
                  </w:tcBorders>
                  <w:vAlign w:val="center"/>
                </w:tcPr>
                <w:p w14:paraId="18763EE5">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7.4</w:t>
                  </w:r>
                </w:p>
              </w:tc>
              <w:tc>
                <w:tcPr>
                  <w:tcW w:w="646" w:type="pct"/>
                  <w:tcBorders>
                    <w:tl2br w:val="nil"/>
                    <w:tr2bl w:val="nil"/>
                  </w:tcBorders>
                  <w:vAlign w:val="center"/>
                </w:tcPr>
                <w:p w14:paraId="365B145D">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5.7</w:t>
                  </w:r>
                </w:p>
              </w:tc>
              <w:tc>
                <w:tcPr>
                  <w:tcW w:w="652" w:type="pct"/>
                  <w:tcBorders>
                    <w:tl2br w:val="nil"/>
                    <w:tr2bl w:val="nil"/>
                  </w:tcBorders>
                  <w:vAlign w:val="center"/>
                </w:tcPr>
                <w:p w14:paraId="4FE0E46F">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6ED9850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5C9168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077F5B3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1039242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048F6199">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z w:val="21"/>
                      <w:szCs w:val="21"/>
                      <w:u w:val="none"/>
                      <w:lang w:val="en-US" w:eastAsia="zh-CN"/>
                    </w:rPr>
                    <w:t>低浓度颗粒物</w:t>
                  </w:r>
                </w:p>
              </w:tc>
              <w:tc>
                <w:tcPr>
                  <w:tcW w:w="608" w:type="pct"/>
                  <w:tcBorders>
                    <w:tl2br w:val="nil"/>
                    <w:tr2bl w:val="nil"/>
                  </w:tcBorders>
                  <w:vAlign w:val="center"/>
                </w:tcPr>
                <w:p w14:paraId="4F50604F">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27C1A51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1.6</w:t>
                  </w:r>
                </w:p>
              </w:tc>
              <w:tc>
                <w:tcPr>
                  <w:tcW w:w="631" w:type="pct"/>
                  <w:tcBorders>
                    <w:tl2br w:val="nil"/>
                    <w:tr2bl w:val="nil"/>
                  </w:tcBorders>
                  <w:vAlign w:val="center"/>
                </w:tcPr>
                <w:p w14:paraId="0814807E">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2.3</w:t>
                  </w:r>
                </w:p>
              </w:tc>
              <w:tc>
                <w:tcPr>
                  <w:tcW w:w="646" w:type="pct"/>
                  <w:tcBorders>
                    <w:tl2br w:val="nil"/>
                    <w:tr2bl w:val="nil"/>
                  </w:tcBorders>
                  <w:vAlign w:val="center"/>
                </w:tcPr>
                <w:p w14:paraId="0426EEE3">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3.3</w:t>
                  </w:r>
                </w:p>
              </w:tc>
              <w:tc>
                <w:tcPr>
                  <w:tcW w:w="652" w:type="pct"/>
                  <w:tcBorders>
                    <w:tl2br w:val="nil"/>
                    <w:tr2bl w:val="nil"/>
                  </w:tcBorders>
                  <w:vAlign w:val="center"/>
                </w:tcPr>
                <w:p w14:paraId="5E296FFF">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w:t>
                  </w:r>
                </w:p>
              </w:tc>
              <w:tc>
                <w:tcPr>
                  <w:tcW w:w="399" w:type="pct"/>
                  <w:tcBorders>
                    <w:tl2br w:val="nil"/>
                    <w:tr2bl w:val="nil"/>
                  </w:tcBorders>
                  <w:vAlign w:val="center"/>
                </w:tcPr>
                <w:p w14:paraId="263021A5">
                  <w:pPr>
                    <w:widowControl w:val="0"/>
                    <w:autoSpaceDE w:val="0"/>
                    <w:autoSpaceDN w:val="0"/>
                    <w:spacing w:line="240" w:lineRule="auto"/>
                    <w:ind w:firstLine="0" w:firstLineChars="0"/>
                    <w:jc w:val="center"/>
                    <w:rPr>
                      <w:snapToGrid w:val="0"/>
                      <w:color w:val="000000"/>
                      <w:spacing w:val="2"/>
                      <w:kern w:val="0"/>
                      <w:sz w:val="21"/>
                      <w:szCs w:val="21"/>
                      <w:u w:val="none"/>
                    </w:rPr>
                  </w:pPr>
                  <w:r>
                    <w:rPr>
                      <w:rFonts w:hint="eastAsia" w:eastAsia="宋体"/>
                      <w:spacing w:val="2"/>
                      <w:sz w:val="21"/>
                      <w:szCs w:val="21"/>
                      <w:u w:val="none"/>
                      <w:lang w:val="en-US" w:eastAsia="zh-CN"/>
                    </w:rPr>
                    <w:t>-</w:t>
                  </w:r>
                </w:p>
              </w:tc>
            </w:tr>
            <w:tr w14:paraId="6951BD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388747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545A6A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4340D3E2">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0064EA4D">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69C00C6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1.8</w:t>
                  </w:r>
                </w:p>
              </w:tc>
              <w:tc>
                <w:tcPr>
                  <w:tcW w:w="631" w:type="pct"/>
                  <w:tcBorders>
                    <w:tl2br w:val="nil"/>
                    <w:tr2bl w:val="nil"/>
                  </w:tcBorders>
                  <w:vAlign w:val="center"/>
                </w:tcPr>
                <w:p w14:paraId="1F17C2EF">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2.5</w:t>
                  </w:r>
                </w:p>
              </w:tc>
              <w:tc>
                <w:tcPr>
                  <w:tcW w:w="646" w:type="pct"/>
                  <w:tcBorders>
                    <w:tl2br w:val="nil"/>
                    <w:tr2bl w:val="nil"/>
                  </w:tcBorders>
                  <w:vAlign w:val="center"/>
                </w:tcPr>
                <w:p w14:paraId="501CF72F">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3.2</w:t>
                  </w:r>
                </w:p>
              </w:tc>
              <w:tc>
                <w:tcPr>
                  <w:tcW w:w="652" w:type="pct"/>
                  <w:tcBorders>
                    <w:tl2br w:val="nil"/>
                    <w:tr2bl w:val="nil"/>
                  </w:tcBorders>
                  <w:vAlign w:val="center"/>
                </w:tcPr>
                <w:p w14:paraId="2976C4B0">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30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1298CDD">
                  <w:pPr>
                    <w:widowControl w:val="0"/>
                    <w:autoSpaceDE w:val="0"/>
                    <w:autoSpaceDN w:val="0"/>
                    <w:spacing w:line="240" w:lineRule="auto"/>
                    <w:ind w:firstLine="0" w:firstLineChars="0"/>
                    <w:jc w:val="center"/>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23A131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8DB52D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958BB4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66FD6CA9">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3"/>
                      <w:sz w:val="21"/>
                      <w:szCs w:val="21"/>
                      <w:u w:val="none"/>
                      <w:lang w:val="en-US" w:eastAsia="zh-CN"/>
                    </w:rPr>
                    <w:t>二氧化硫</w:t>
                  </w:r>
                </w:p>
              </w:tc>
              <w:tc>
                <w:tcPr>
                  <w:tcW w:w="608" w:type="pct"/>
                  <w:tcBorders>
                    <w:tl2br w:val="nil"/>
                    <w:tr2bl w:val="nil"/>
                  </w:tcBorders>
                  <w:vAlign w:val="center"/>
                </w:tcPr>
                <w:p w14:paraId="66591A4F">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shd w:val="clear" w:color="auto" w:fill="auto"/>
                  <w:vAlign w:val="center"/>
                </w:tcPr>
                <w:p w14:paraId="0DEB9AE3">
                  <w:pPr>
                    <w:widowControl w:val="0"/>
                    <w:autoSpaceDE w:val="0"/>
                    <w:autoSpaceDN w:val="0"/>
                    <w:spacing w:line="240" w:lineRule="auto"/>
                    <w:ind w:firstLine="0" w:firstLineChars="0"/>
                    <w:jc w:val="center"/>
                    <w:rPr>
                      <w:rFonts w:hint="eastAsia" w:ascii="Times New Roman" w:hAnsi="Times New Roman" w:eastAsia="宋体" w:cs="Times New Roman"/>
                      <w:spacing w:val="-2"/>
                      <w:sz w:val="21"/>
                      <w:szCs w:val="21"/>
                      <w:u w:val="none"/>
                      <w:lang w:val="en-US" w:eastAsia="zh-CN" w:bidi="ar-SA"/>
                    </w:rPr>
                  </w:pPr>
                  <w:r>
                    <w:rPr>
                      <w:rFonts w:hint="eastAsia"/>
                      <w:snapToGrid w:val="0"/>
                      <w:color w:val="000000"/>
                      <w:spacing w:val="-3"/>
                      <w:kern w:val="0"/>
                      <w:sz w:val="21"/>
                      <w:szCs w:val="21"/>
                      <w:u w:val="none"/>
                      <w:lang w:val="en-US" w:eastAsia="zh-CN"/>
                    </w:rPr>
                    <w:t>ND</w:t>
                  </w:r>
                </w:p>
              </w:tc>
              <w:tc>
                <w:tcPr>
                  <w:tcW w:w="631" w:type="pct"/>
                  <w:tcBorders>
                    <w:tl2br w:val="nil"/>
                    <w:tr2bl w:val="nil"/>
                  </w:tcBorders>
                  <w:vAlign w:val="center"/>
                </w:tcPr>
                <w:p w14:paraId="11D36123">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10</w:t>
                  </w:r>
                </w:p>
              </w:tc>
              <w:tc>
                <w:tcPr>
                  <w:tcW w:w="646" w:type="pct"/>
                  <w:tcBorders>
                    <w:tl2br w:val="nil"/>
                    <w:tr2bl w:val="nil"/>
                  </w:tcBorders>
                  <w:vAlign w:val="center"/>
                </w:tcPr>
                <w:p w14:paraId="2C98D892">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7</w:t>
                  </w:r>
                </w:p>
              </w:tc>
              <w:tc>
                <w:tcPr>
                  <w:tcW w:w="652" w:type="pct"/>
                  <w:tcBorders>
                    <w:tl2br w:val="nil"/>
                    <w:tr2bl w:val="nil"/>
                  </w:tcBorders>
                  <w:vAlign w:val="center"/>
                </w:tcPr>
                <w:p w14:paraId="5D1F56A4">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651A288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0CBD49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034617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BEF97C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7CCC212A">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55BC6F07">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shd w:val="clear" w:color="auto" w:fill="auto"/>
                  <w:vAlign w:val="center"/>
                </w:tcPr>
                <w:p w14:paraId="7E9EC9C4">
                  <w:pPr>
                    <w:widowControl w:val="0"/>
                    <w:autoSpaceDE w:val="0"/>
                    <w:autoSpaceDN w:val="0"/>
                    <w:spacing w:line="240" w:lineRule="auto"/>
                    <w:ind w:firstLine="0" w:firstLineChars="0"/>
                    <w:jc w:val="center"/>
                    <w:rPr>
                      <w:rFonts w:hint="default" w:ascii="Times New Roman" w:hAnsi="Times New Roman" w:eastAsia="宋体" w:cs="Times New Roman"/>
                      <w:spacing w:val="-2"/>
                      <w:sz w:val="21"/>
                      <w:szCs w:val="21"/>
                      <w:u w:val="none"/>
                      <w:lang w:val="en-US" w:eastAsia="zh-CN" w:bidi="ar-SA"/>
                    </w:rPr>
                  </w:pPr>
                  <w:r>
                    <w:rPr>
                      <w:rFonts w:hint="eastAsia"/>
                      <w:snapToGrid w:val="0"/>
                      <w:color w:val="000000"/>
                      <w:spacing w:val="-3"/>
                      <w:kern w:val="0"/>
                      <w:sz w:val="21"/>
                      <w:szCs w:val="21"/>
                      <w:u w:val="none"/>
                      <w:lang w:val="en-US" w:eastAsia="zh-CN"/>
                    </w:rPr>
                    <w:t>ND</w:t>
                  </w:r>
                </w:p>
              </w:tc>
              <w:tc>
                <w:tcPr>
                  <w:tcW w:w="631" w:type="pct"/>
                  <w:tcBorders>
                    <w:tl2br w:val="nil"/>
                    <w:tr2bl w:val="nil"/>
                  </w:tcBorders>
                  <w:vAlign w:val="center"/>
                </w:tcPr>
                <w:p w14:paraId="1794727A">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11</w:t>
                  </w:r>
                </w:p>
              </w:tc>
              <w:tc>
                <w:tcPr>
                  <w:tcW w:w="646" w:type="pct"/>
                  <w:tcBorders>
                    <w:tl2br w:val="nil"/>
                    <w:tr2bl w:val="nil"/>
                  </w:tcBorders>
                  <w:vAlign w:val="center"/>
                </w:tcPr>
                <w:p w14:paraId="21B4FF5B">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7</w:t>
                  </w:r>
                </w:p>
              </w:tc>
              <w:tc>
                <w:tcPr>
                  <w:tcW w:w="652" w:type="pct"/>
                  <w:tcBorders>
                    <w:tl2br w:val="nil"/>
                    <w:tr2bl w:val="nil"/>
                  </w:tcBorders>
                  <w:vAlign w:val="center"/>
                </w:tcPr>
                <w:p w14:paraId="610DB06C">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lang w:val="en-US" w:eastAsia="zh-CN"/>
                    </w:rPr>
                    <w:t>20</w:t>
                  </w:r>
                  <w:r>
                    <w:rPr>
                      <w:rFonts w:hint="eastAsia"/>
                      <w:snapToGrid w:val="0"/>
                      <w:color w:val="000000"/>
                      <w:spacing w:val="2"/>
                      <w:kern w:val="0"/>
                      <w:sz w:val="21"/>
                      <w:szCs w:val="21"/>
                      <w:u w:val="none"/>
                    </w:rPr>
                    <w:t>0mg/m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4063321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291CC1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44A911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144F28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329E25BE">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3"/>
                      <w:sz w:val="21"/>
                      <w:szCs w:val="21"/>
                      <w:u w:val="none"/>
                      <w:lang w:val="en-US" w:eastAsia="zh-CN"/>
                    </w:rPr>
                    <w:t>氮氧化物</w:t>
                  </w:r>
                </w:p>
              </w:tc>
              <w:tc>
                <w:tcPr>
                  <w:tcW w:w="608" w:type="pct"/>
                  <w:tcBorders>
                    <w:tl2br w:val="nil"/>
                    <w:tr2bl w:val="nil"/>
                  </w:tcBorders>
                  <w:vAlign w:val="center"/>
                </w:tcPr>
                <w:p w14:paraId="5460B29C">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2F16B1F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29</w:t>
                  </w:r>
                </w:p>
              </w:tc>
              <w:tc>
                <w:tcPr>
                  <w:tcW w:w="631" w:type="pct"/>
                  <w:tcBorders>
                    <w:tl2br w:val="nil"/>
                    <w:tr2bl w:val="nil"/>
                  </w:tcBorders>
                  <w:vAlign w:val="center"/>
                </w:tcPr>
                <w:p w14:paraId="1FF2FCA6">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40</w:t>
                  </w:r>
                </w:p>
              </w:tc>
              <w:tc>
                <w:tcPr>
                  <w:tcW w:w="646" w:type="pct"/>
                  <w:tcBorders>
                    <w:tl2br w:val="nil"/>
                    <w:tr2bl w:val="nil"/>
                  </w:tcBorders>
                  <w:vAlign w:val="center"/>
                </w:tcPr>
                <w:p w14:paraId="57CB4014">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33</w:t>
                  </w:r>
                </w:p>
              </w:tc>
              <w:tc>
                <w:tcPr>
                  <w:tcW w:w="652" w:type="pct"/>
                  <w:tcBorders>
                    <w:tl2br w:val="nil"/>
                    <w:tr2bl w:val="nil"/>
                  </w:tcBorders>
                  <w:vAlign w:val="center"/>
                </w:tcPr>
                <w:p w14:paraId="247BECC0">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48E24CF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18658F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00110A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713F0E6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412663D1">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0CCD304F">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2224D4D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33</w:t>
                  </w:r>
                </w:p>
              </w:tc>
              <w:tc>
                <w:tcPr>
                  <w:tcW w:w="631" w:type="pct"/>
                  <w:tcBorders>
                    <w:tl2br w:val="nil"/>
                    <w:tr2bl w:val="nil"/>
                  </w:tcBorders>
                  <w:vAlign w:val="center"/>
                </w:tcPr>
                <w:p w14:paraId="35A47F72">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44</w:t>
                  </w:r>
                </w:p>
              </w:tc>
              <w:tc>
                <w:tcPr>
                  <w:tcW w:w="646" w:type="pct"/>
                  <w:tcBorders>
                    <w:tl2br w:val="nil"/>
                    <w:tr2bl w:val="nil"/>
                  </w:tcBorders>
                  <w:vAlign w:val="center"/>
                </w:tcPr>
                <w:p w14:paraId="49790E98">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32</w:t>
                  </w:r>
                </w:p>
              </w:tc>
              <w:tc>
                <w:tcPr>
                  <w:tcW w:w="652" w:type="pct"/>
                  <w:tcBorders>
                    <w:tl2br w:val="nil"/>
                    <w:tr2bl w:val="nil"/>
                  </w:tcBorders>
                  <w:vAlign w:val="center"/>
                </w:tcPr>
                <w:p w14:paraId="75AC3CC9">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lang w:val="en-US" w:eastAsia="zh-CN"/>
                    </w:rPr>
                    <w:t>200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42E713A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08EEEA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562476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1FD7A36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751E89CA">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287C50A0">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2016125</w:t>
                  </w:r>
                </w:p>
              </w:tc>
              <w:tc>
                <w:tcPr>
                  <w:tcW w:w="631" w:type="pct"/>
                  <w:tcBorders>
                    <w:tl2br w:val="nil"/>
                    <w:tr2bl w:val="nil"/>
                  </w:tcBorders>
                  <w:vAlign w:val="center"/>
                </w:tcPr>
                <w:p w14:paraId="62992CDA">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1959544</w:t>
                  </w:r>
                </w:p>
              </w:tc>
              <w:tc>
                <w:tcPr>
                  <w:tcW w:w="646" w:type="pct"/>
                  <w:tcBorders>
                    <w:tl2br w:val="nil"/>
                    <w:tr2bl w:val="nil"/>
                  </w:tcBorders>
                  <w:vAlign w:val="center"/>
                </w:tcPr>
                <w:p w14:paraId="6822D023">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2152034</w:t>
                  </w:r>
                </w:p>
              </w:tc>
              <w:tc>
                <w:tcPr>
                  <w:tcW w:w="652" w:type="pct"/>
                  <w:tcBorders>
                    <w:tl2br w:val="nil"/>
                    <w:tr2bl w:val="nil"/>
                  </w:tcBorders>
                  <w:vAlign w:val="center"/>
                </w:tcPr>
                <w:p w14:paraId="23639274">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66177F9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525703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6D92DA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783E744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45F2B14E">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氧含量</w:t>
                  </w:r>
                </w:p>
              </w:tc>
              <w:tc>
                <w:tcPr>
                  <w:tcW w:w="582" w:type="pct"/>
                  <w:tcBorders>
                    <w:tl2br w:val="nil"/>
                    <w:tr2bl w:val="nil"/>
                  </w:tcBorders>
                  <w:vAlign w:val="center"/>
                </w:tcPr>
                <w:p w14:paraId="18F8EC0C">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8.7</w:t>
                  </w:r>
                </w:p>
              </w:tc>
              <w:tc>
                <w:tcPr>
                  <w:tcW w:w="631" w:type="pct"/>
                  <w:tcBorders>
                    <w:tl2br w:val="nil"/>
                    <w:tr2bl w:val="nil"/>
                  </w:tcBorders>
                  <w:vAlign w:val="center"/>
                </w:tcPr>
                <w:p w14:paraId="300DFDA8">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8.0</w:t>
                  </w:r>
                </w:p>
              </w:tc>
              <w:tc>
                <w:tcPr>
                  <w:tcW w:w="646" w:type="pct"/>
                  <w:tcBorders>
                    <w:tl2br w:val="nil"/>
                    <w:tr2bl w:val="nil"/>
                  </w:tcBorders>
                  <w:vAlign w:val="center"/>
                </w:tcPr>
                <w:p w14:paraId="61CF498B">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7.6</w:t>
                  </w:r>
                </w:p>
              </w:tc>
              <w:tc>
                <w:tcPr>
                  <w:tcW w:w="652" w:type="pct"/>
                  <w:tcBorders>
                    <w:tl2br w:val="nil"/>
                    <w:tr2bl w:val="nil"/>
                  </w:tcBorders>
                  <w:vAlign w:val="center"/>
                </w:tcPr>
                <w:p w14:paraId="4552C1D3">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10B051F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166B14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BDD4CD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FC4E03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70022889">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z w:val="21"/>
                      <w:szCs w:val="21"/>
                      <w:u w:val="none"/>
                      <w:lang w:val="en-US" w:eastAsia="zh-CN"/>
                    </w:rPr>
                    <w:t>汞及其化合物</w:t>
                  </w:r>
                </w:p>
              </w:tc>
              <w:tc>
                <w:tcPr>
                  <w:tcW w:w="608" w:type="pct"/>
                  <w:tcBorders>
                    <w:tl2br w:val="nil"/>
                    <w:tr2bl w:val="nil"/>
                  </w:tcBorders>
                  <w:vAlign w:val="center"/>
                </w:tcPr>
                <w:p w14:paraId="74D51DAC">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195D584C">
                  <w:pPr>
                    <w:widowControl w:val="0"/>
                    <w:autoSpaceDE w:val="0"/>
                    <w:autoSpaceDN w:val="0"/>
                    <w:spacing w:line="240" w:lineRule="auto"/>
                    <w:ind w:firstLine="0" w:firstLineChars="0"/>
                    <w:jc w:val="center"/>
                    <w:rPr>
                      <w:rFonts w:hint="eastAsia"/>
                      <w:spacing w:val="-2"/>
                      <w:sz w:val="21"/>
                      <w:szCs w:val="21"/>
                      <w:u w:val="none"/>
                    </w:rPr>
                  </w:pPr>
                  <w:r>
                    <w:rPr>
                      <w:rFonts w:hint="eastAsia"/>
                      <w:spacing w:val="-3"/>
                      <w:sz w:val="21"/>
                      <w:szCs w:val="21"/>
                      <w:u w:val="none"/>
                      <w:lang w:val="en-US" w:eastAsia="zh-CN"/>
                    </w:rPr>
                    <w:t>9</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1186185C">
                  <w:pPr>
                    <w:widowControl w:val="0"/>
                    <w:autoSpaceDE w:val="0"/>
                    <w:autoSpaceDN w:val="0"/>
                    <w:spacing w:line="240" w:lineRule="auto"/>
                    <w:ind w:firstLine="0" w:firstLineChars="0"/>
                    <w:jc w:val="center"/>
                    <w:rPr>
                      <w:rFonts w:hint="eastAsia"/>
                      <w:spacing w:val="-4"/>
                      <w:sz w:val="21"/>
                      <w:szCs w:val="21"/>
                      <w:u w:val="none"/>
                    </w:rPr>
                  </w:pPr>
                  <w:r>
                    <w:rPr>
                      <w:rFonts w:hint="eastAsia"/>
                      <w:spacing w:val="-3"/>
                      <w:sz w:val="21"/>
                      <w:szCs w:val="21"/>
                      <w:u w:val="none"/>
                      <w:lang w:val="en-US" w:eastAsia="zh-CN"/>
                    </w:rPr>
                    <w:t>9</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623EC822">
                  <w:pPr>
                    <w:widowControl w:val="0"/>
                    <w:autoSpaceDE w:val="0"/>
                    <w:autoSpaceDN w:val="0"/>
                    <w:spacing w:line="240" w:lineRule="auto"/>
                    <w:ind w:firstLine="0" w:firstLineChars="0"/>
                    <w:jc w:val="center"/>
                    <w:rPr>
                      <w:rFonts w:hint="eastAsia"/>
                      <w:spacing w:val="-5"/>
                      <w:sz w:val="21"/>
                      <w:szCs w:val="21"/>
                      <w:u w:val="none"/>
                    </w:rPr>
                  </w:pPr>
                  <w:r>
                    <w:rPr>
                      <w:rFonts w:hint="eastAsia"/>
                      <w:spacing w:val="-3"/>
                      <w:sz w:val="21"/>
                      <w:szCs w:val="21"/>
                      <w:u w:val="none"/>
                      <w:lang w:val="en-US" w:eastAsia="zh-CN"/>
                    </w:rPr>
                    <w:t>9</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10A53A4D">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3E0E553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24E17B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84F413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8B2BEA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506FF297">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0E7BCA93">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0DE65DCA">
                  <w:pPr>
                    <w:widowControl w:val="0"/>
                    <w:autoSpaceDE w:val="0"/>
                    <w:autoSpaceDN w:val="0"/>
                    <w:spacing w:line="240" w:lineRule="auto"/>
                    <w:ind w:firstLine="0" w:firstLineChars="0"/>
                    <w:jc w:val="center"/>
                    <w:rPr>
                      <w:rFonts w:hint="eastAsia" w:eastAsia="宋体"/>
                      <w:spacing w:val="-2"/>
                      <w:sz w:val="21"/>
                      <w:szCs w:val="21"/>
                      <w:u w:val="none"/>
                      <w:lang w:val="en-US" w:eastAsia="zh-CN"/>
                    </w:rPr>
                  </w:pPr>
                  <w:r>
                    <w:rPr>
                      <w:rFonts w:hint="eastAsia"/>
                      <w:spacing w:val="-3"/>
                      <w:sz w:val="21"/>
                      <w:szCs w:val="21"/>
                      <w:u w:val="none"/>
                      <w:lang w:val="en-US" w:eastAsia="zh-CN"/>
                    </w:rPr>
                    <w:t>1.1</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w:t>
                  </w:r>
                  <w:r>
                    <w:rPr>
                      <w:rFonts w:hint="eastAsia"/>
                      <w:snapToGrid w:val="0"/>
                      <w:color w:val="000000"/>
                      <w:spacing w:val="-3"/>
                      <w:kern w:val="0"/>
                      <w:sz w:val="21"/>
                      <w:szCs w:val="21"/>
                      <w:u w:val="none"/>
                      <w:vertAlign w:val="superscript"/>
                      <w:lang w:val="en-US" w:eastAsia="zh-CN"/>
                    </w:rPr>
                    <w:t>4</w:t>
                  </w:r>
                </w:p>
              </w:tc>
              <w:tc>
                <w:tcPr>
                  <w:tcW w:w="631" w:type="pct"/>
                  <w:tcBorders>
                    <w:tl2br w:val="nil"/>
                    <w:tr2bl w:val="nil"/>
                  </w:tcBorders>
                  <w:vAlign w:val="center"/>
                </w:tcPr>
                <w:p w14:paraId="4961DBC7">
                  <w:pPr>
                    <w:widowControl w:val="0"/>
                    <w:autoSpaceDE w:val="0"/>
                    <w:autoSpaceDN w:val="0"/>
                    <w:spacing w:line="240" w:lineRule="auto"/>
                    <w:ind w:firstLine="0" w:firstLineChars="0"/>
                    <w:jc w:val="center"/>
                    <w:rPr>
                      <w:rFonts w:hint="eastAsia" w:eastAsia="宋体"/>
                      <w:spacing w:val="-4"/>
                      <w:sz w:val="21"/>
                      <w:szCs w:val="21"/>
                      <w:u w:val="none"/>
                      <w:lang w:val="en-US" w:eastAsia="zh-CN"/>
                    </w:rPr>
                  </w:pPr>
                  <w:r>
                    <w:rPr>
                      <w:rFonts w:hint="eastAsia"/>
                      <w:spacing w:val="-3"/>
                      <w:sz w:val="21"/>
                      <w:szCs w:val="21"/>
                      <w:u w:val="none"/>
                      <w:lang w:val="en-US" w:eastAsia="zh-CN"/>
                    </w:rPr>
                    <w:t>1.0</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w:t>
                  </w:r>
                  <w:r>
                    <w:rPr>
                      <w:rFonts w:hint="eastAsia"/>
                      <w:snapToGrid w:val="0"/>
                      <w:color w:val="000000"/>
                      <w:spacing w:val="-3"/>
                      <w:kern w:val="0"/>
                      <w:sz w:val="21"/>
                      <w:szCs w:val="21"/>
                      <w:u w:val="none"/>
                      <w:vertAlign w:val="superscript"/>
                      <w:lang w:val="en-US" w:eastAsia="zh-CN"/>
                    </w:rPr>
                    <w:t>4</w:t>
                  </w:r>
                </w:p>
              </w:tc>
              <w:tc>
                <w:tcPr>
                  <w:tcW w:w="646" w:type="pct"/>
                  <w:tcBorders>
                    <w:tl2br w:val="nil"/>
                    <w:tr2bl w:val="nil"/>
                  </w:tcBorders>
                  <w:vAlign w:val="center"/>
                </w:tcPr>
                <w:p w14:paraId="3F754BCF">
                  <w:pPr>
                    <w:widowControl w:val="0"/>
                    <w:autoSpaceDE w:val="0"/>
                    <w:autoSpaceDN w:val="0"/>
                    <w:spacing w:line="240" w:lineRule="auto"/>
                    <w:ind w:firstLine="0" w:firstLineChars="0"/>
                    <w:jc w:val="center"/>
                    <w:rPr>
                      <w:rFonts w:hint="eastAsia" w:eastAsia="宋体"/>
                      <w:spacing w:val="-5"/>
                      <w:sz w:val="21"/>
                      <w:szCs w:val="21"/>
                      <w:u w:val="none"/>
                      <w:lang w:val="en-US" w:eastAsia="zh-CN"/>
                    </w:rPr>
                  </w:pPr>
                  <w:r>
                    <w:rPr>
                      <w:rFonts w:hint="eastAsia"/>
                      <w:spacing w:val="-3"/>
                      <w:sz w:val="21"/>
                      <w:szCs w:val="21"/>
                      <w:u w:val="none"/>
                      <w:lang w:val="en-US" w:eastAsia="zh-CN"/>
                    </w:rPr>
                    <w:t>1.0</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w:t>
                  </w:r>
                  <w:r>
                    <w:rPr>
                      <w:rFonts w:hint="eastAsia"/>
                      <w:snapToGrid w:val="0"/>
                      <w:color w:val="000000"/>
                      <w:spacing w:val="-3"/>
                      <w:kern w:val="0"/>
                      <w:sz w:val="21"/>
                      <w:szCs w:val="21"/>
                      <w:u w:val="none"/>
                      <w:vertAlign w:val="superscript"/>
                      <w:lang w:val="en-US" w:eastAsia="zh-CN"/>
                    </w:rPr>
                    <w:t>4</w:t>
                  </w:r>
                </w:p>
              </w:tc>
              <w:tc>
                <w:tcPr>
                  <w:tcW w:w="652" w:type="pct"/>
                  <w:tcBorders>
                    <w:tl2br w:val="nil"/>
                    <w:tr2bl w:val="nil"/>
                  </w:tcBorders>
                  <w:vAlign w:val="center"/>
                </w:tcPr>
                <w:p w14:paraId="062A977B">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0.03</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382BC3AE">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3D3BB2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2D1148BA">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2025.01.17</w:t>
                  </w:r>
                </w:p>
              </w:tc>
              <w:tc>
                <w:tcPr>
                  <w:tcW w:w="522" w:type="pct"/>
                  <w:vMerge w:val="restart"/>
                  <w:tcBorders>
                    <w:tl2br w:val="nil"/>
                    <w:tr2bl w:val="nil"/>
                  </w:tcBorders>
                  <w:vAlign w:val="center"/>
                </w:tcPr>
                <w:p w14:paraId="3C3A983E">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lang w:val="en-US" w:eastAsia="zh-CN"/>
                    </w:rPr>
                  </w:pPr>
                  <w:r>
                    <w:rPr>
                      <w:rFonts w:hint="eastAsia"/>
                      <w:snapToGrid w:val="0"/>
                      <w:color w:val="000000"/>
                      <w:kern w:val="0"/>
                      <w:sz w:val="21"/>
                      <w:szCs w:val="21"/>
                      <w:u w:val="none"/>
                      <w:lang w:val="en-US" w:eastAsia="zh-CN"/>
                    </w:rPr>
                    <w:t>6#机组总排口</w:t>
                  </w:r>
                </w:p>
                <w:p w14:paraId="1C5FCB4E">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DA003</w:t>
                  </w:r>
                </w:p>
              </w:tc>
              <w:tc>
                <w:tcPr>
                  <w:tcW w:w="1215" w:type="pct"/>
                  <w:gridSpan w:val="2"/>
                  <w:tcBorders>
                    <w:tl2br w:val="nil"/>
                    <w:tr2bl w:val="nil"/>
                  </w:tcBorders>
                  <w:vAlign w:val="center"/>
                </w:tcPr>
                <w:p w14:paraId="1EFCE33B">
                  <w:pPr>
                    <w:pStyle w:val="392"/>
                    <w:keepNext w:val="0"/>
                    <w:keepLines w:val="0"/>
                    <w:pageBreakBefore w:val="0"/>
                    <w:widowControl/>
                    <w:kinsoku/>
                    <w:wordWrap/>
                    <w:overflowPunct/>
                    <w:topLinePunct w:val="0"/>
                    <w:autoSpaceDE/>
                    <w:autoSpaceDN/>
                    <w:bidi w:val="0"/>
                    <w:adjustRightInd/>
                    <w:snapToGrid/>
                    <w:spacing w:before="164" w:beforeLines="50" w:line="240" w:lineRule="auto"/>
                    <w:ind w:firstLine="0" w:firstLineChars="0"/>
                    <w:jc w:val="center"/>
                    <w:textAlignment w:val="auto"/>
                    <w:rPr>
                      <w:rFonts w:ascii="Times New Roman" w:hAnsi="Times New Roman" w:cs="Times New Roman"/>
                      <w:spacing w:val="5"/>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64E0BA4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1720239</w:t>
                  </w:r>
                </w:p>
              </w:tc>
              <w:tc>
                <w:tcPr>
                  <w:tcW w:w="631" w:type="pct"/>
                  <w:tcBorders>
                    <w:tl2br w:val="nil"/>
                    <w:tr2bl w:val="nil"/>
                  </w:tcBorders>
                  <w:vAlign w:val="center"/>
                </w:tcPr>
                <w:p w14:paraId="65E285F8">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2030107</w:t>
                  </w:r>
                </w:p>
              </w:tc>
              <w:tc>
                <w:tcPr>
                  <w:tcW w:w="646" w:type="pct"/>
                  <w:tcBorders>
                    <w:tl2br w:val="nil"/>
                    <w:tr2bl w:val="nil"/>
                  </w:tcBorders>
                  <w:vAlign w:val="center"/>
                </w:tcPr>
                <w:p w14:paraId="66E52B30">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1871826</w:t>
                  </w:r>
                </w:p>
              </w:tc>
              <w:tc>
                <w:tcPr>
                  <w:tcW w:w="652" w:type="pct"/>
                  <w:tcBorders>
                    <w:tl2br w:val="nil"/>
                    <w:tr2bl w:val="nil"/>
                  </w:tcBorders>
                  <w:vAlign w:val="center"/>
                </w:tcPr>
                <w:p w14:paraId="1894DD78">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6FFBAF75">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3D3992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61FD20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4B5D85D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5602FEDD">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烟气</w:t>
                  </w:r>
                  <w:r>
                    <w:rPr>
                      <w:rFonts w:ascii="Times New Roman" w:hAnsi="Times New Roman" w:cs="Times New Roman"/>
                      <w:spacing w:val="4"/>
                      <w:sz w:val="21"/>
                      <w:szCs w:val="21"/>
                      <w:u w:val="none"/>
                    </w:rPr>
                    <w:t>流速</w:t>
                  </w:r>
                  <w:r>
                    <w:rPr>
                      <w:rFonts w:ascii="Times New Roman" w:hAnsi="Times New Roman" w:cs="Times New Roman"/>
                      <w:spacing w:val="4"/>
                      <w:sz w:val="21"/>
                      <w:szCs w:val="21"/>
                      <w:u w:val="none"/>
                      <w:lang w:eastAsia="zh-CN"/>
                    </w:rPr>
                    <w:t>（m/s）</w:t>
                  </w:r>
                </w:p>
              </w:tc>
              <w:tc>
                <w:tcPr>
                  <w:tcW w:w="582" w:type="pct"/>
                  <w:tcBorders>
                    <w:tl2br w:val="nil"/>
                    <w:tr2bl w:val="nil"/>
                  </w:tcBorders>
                  <w:vAlign w:val="center"/>
                </w:tcPr>
                <w:p w14:paraId="56C9915D">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8.2</w:t>
                  </w:r>
                </w:p>
              </w:tc>
              <w:tc>
                <w:tcPr>
                  <w:tcW w:w="631" w:type="pct"/>
                  <w:tcBorders>
                    <w:tl2br w:val="nil"/>
                    <w:tr2bl w:val="nil"/>
                  </w:tcBorders>
                  <w:vAlign w:val="center"/>
                </w:tcPr>
                <w:p w14:paraId="48FBCD06">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8.5</w:t>
                  </w:r>
                </w:p>
              </w:tc>
              <w:tc>
                <w:tcPr>
                  <w:tcW w:w="646" w:type="pct"/>
                  <w:tcBorders>
                    <w:tl2br w:val="nil"/>
                    <w:tr2bl w:val="nil"/>
                  </w:tcBorders>
                  <w:vAlign w:val="center"/>
                </w:tcPr>
                <w:p w14:paraId="3CBE926A">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9.0</w:t>
                  </w:r>
                </w:p>
              </w:tc>
              <w:tc>
                <w:tcPr>
                  <w:tcW w:w="652" w:type="pct"/>
                  <w:tcBorders>
                    <w:tl2br w:val="nil"/>
                    <w:tr2bl w:val="nil"/>
                  </w:tcBorders>
                  <w:vAlign w:val="center"/>
                </w:tcPr>
                <w:p w14:paraId="64EE1E3A">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4A1721F1">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2E6C6A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6588459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EC7F0D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748A0FB8">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z w:val="21"/>
                      <w:szCs w:val="21"/>
                      <w:u w:val="none"/>
                      <w:lang w:val="en-US" w:eastAsia="zh-CN"/>
                    </w:rPr>
                    <w:t>低浓度颗粒物</w:t>
                  </w:r>
                </w:p>
              </w:tc>
              <w:tc>
                <w:tcPr>
                  <w:tcW w:w="608" w:type="pct"/>
                  <w:tcBorders>
                    <w:tl2br w:val="nil"/>
                    <w:tr2bl w:val="nil"/>
                  </w:tcBorders>
                  <w:vAlign w:val="center"/>
                </w:tcPr>
                <w:p w14:paraId="43DD33B5">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6AFE488A">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6.5</w:t>
                  </w:r>
                </w:p>
              </w:tc>
              <w:tc>
                <w:tcPr>
                  <w:tcW w:w="631" w:type="pct"/>
                  <w:tcBorders>
                    <w:tl2br w:val="nil"/>
                    <w:tr2bl w:val="nil"/>
                  </w:tcBorders>
                  <w:vAlign w:val="center"/>
                </w:tcPr>
                <w:p w14:paraId="478675A1">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5.9</w:t>
                  </w:r>
                </w:p>
              </w:tc>
              <w:tc>
                <w:tcPr>
                  <w:tcW w:w="646" w:type="pct"/>
                  <w:tcBorders>
                    <w:tl2br w:val="nil"/>
                    <w:tr2bl w:val="nil"/>
                  </w:tcBorders>
                  <w:vAlign w:val="center"/>
                </w:tcPr>
                <w:p w14:paraId="6AA3A3DD">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7.1</w:t>
                  </w:r>
                </w:p>
              </w:tc>
              <w:tc>
                <w:tcPr>
                  <w:tcW w:w="652" w:type="pct"/>
                  <w:tcBorders>
                    <w:tl2br w:val="nil"/>
                    <w:tr2bl w:val="nil"/>
                  </w:tcBorders>
                  <w:vAlign w:val="center"/>
                </w:tcPr>
                <w:p w14:paraId="57C23635">
                  <w:pPr>
                    <w:widowControl w:val="0"/>
                    <w:autoSpaceDE w:val="0"/>
                    <w:autoSpaceDN w:val="0"/>
                    <w:spacing w:line="240" w:lineRule="auto"/>
                    <w:ind w:firstLine="0" w:firstLineChars="0"/>
                    <w:jc w:val="center"/>
                    <w:rPr>
                      <w:rFonts w:hint="eastAsia"/>
                      <w:snapToGrid w:val="0"/>
                      <w:color w:val="000000"/>
                      <w:kern w:val="0"/>
                      <w:sz w:val="21"/>
                      <w:szCs w:val="21"/>
                      <w:u w:val="none"/>
                    </w:rPr>
                  </w:pPr>
                  <w:r>
                    <w:rPr>
                      <w:rFonts w:hint="eastAsia"/>
                      <w:spacing w:val="2"/>
                      <w:sz w:val="21"/>
                      <w:szCs w:val="21"/>
                      <w:u w:val="none"/>
                      <w:lang w:val="en-US" w:eastAsia="zh-CN"/>
                    </w:rPr>
                    <w:t>-</w:t>
                  </w:r>
                </w:p>
              </w:tc>
              <w:tc>
                <w:tcPr>
                  <w:tcW w:w="399" w:type="pct"/>
                  <w:tcBorders>
                    <w:tl2br w:val="nil"/>
                    <w:tr2bl w:val="nil"/>
                  </w:tcBorders>
                  <w:vAlign w:val="center"/>
                </w:tcPr>
                <w:p w14:paraId="575858DA">
                  <w:pPr>
                    <w:widowControl w:val="0"/>
                    <w:autoSpaceDE w:val="0"/>
                    <w:autoSpaceDN w:val="0"/>
                    <w:spacing w:line="240" w:lineRule="auto"/>
                    <w:ind w:firstLine="0" w:firstLineChars="0"/>
                    <w:jc w:val="center"/>
                    <w:rPr>
                      <w:rFonts w:hint="eastAsia"/>
                      <w:snapToGrid w:val="0"/>
                      <w:color w:val="000000"/>
                      <w:spacing w:val="2"/>
                      <w:kern w:val="0"/>
                      <w:sz w:val="21"/>
                      <w:szCs w:val="21"/>
                      <w:u w:val="none"/>
                    </w:rPr>
                  </w:pPr>
                  <w:r>
                    <w:rPr>
                      <w:rFonts w:hint="eastAsia" w:eastAsia="宋体"/>
                      <w:spacing w:val="2"/>
                      <w:sz w:val="21"/>
                      <w:szCs w:val="21"/>
                      <w:u w:val="none"/>
                      <w:lang w:val="en-US" w:eastAsia="zh-CN"/>
                    </w:rPr>
                    <w:t>-</w:t>
                  </w:r>
                </w:p>
              </w:tc>
            </w:tr>
            <w:tr w14:paraId="1A4B3E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0FC410D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85A7FD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5A31E50A">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p>
              </w:tc>
              <w:tc>
                <w:tcPr>
                  <w:tcW w:w="608" w:type="pct"/>
                  <w:tcBorders>
                    <w:tl2br w:val="nil"/>
                    <w:tr2bl w:val="nil"/>
                  </w:tcBorders>
                  <w:vAlign w:val="center"/>
                </w:tcPr>
                <w:p w14:paraId="00F18C03">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3ED6E0D6">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7.6</w:t>
                  </w:r>
                </w:p>
              </w:tc>
              <w:tc>
                <w:tcPr>
                  <w:tcW w:w="631" w:type="pct"/>
                  <w:tcBorders>
                    <w:tl2br w:val="nil"/>
                    <w:tr2bl w:val="nil"/>
                  </w:tcBorders>
                  <w:vAlign w:val="center"/>
                </w:tcPr>
                <w:p w14:paraId="63318701">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7.1</w:t>
                  </w:r>
                </w:p>
              </w:tc>
              <w:tc>
                <w:tcPr>
                  <w:tcW w:w="646" w:type="pct"/>
                  <w:tcBorders>
                    <w:tl2br w:val="nil"/>
                    <w:tr2bl w:val="nil"/>
                  </w:tcBorders>
                  <w:vAlign w:val="center"/>
                </w:tcPr>
                <w:p w14:paraId="42BBBD6B">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8.9</w:t>
                  </w:r>
                </w:p>
              </w:tc>
              <w:tc>
                <w:tcPr>
                  <w:tcW w:w="652" w:type="pct"/>
                  <w:tcBorders>
                    <w:tl2br w:val="nil"/>
                    <w:tr2bl w:val="nil"/>
                  </w:tcBorders>
                  <w:vAlign w:val="center"/>
                </w:tcPr>
                <w:p w14:paraId="6DAAAACE">
                  <w:pPr>
                    <w:widowControl w:val="0"/>
                    <w:autoSpaceDE w:val="0"/>
                    <w:autoSpaceDN w:val="0"/>
                    <w:spacing w:line="240" w:lineRule="auto"/>
                    <w:ind w:firstLine="0" w:firstLineChars="0"/>
                    <w:jc w:val="center"/>
                    <w:rPr>
                      <w:rFonts w:hint="eastAsia"/>
                      <w:snapToGrid w:val="0"/>
                      <w:color w:val="000000"/>
                      <w:kern w:val="0"/>
                      <w:sz w:val="21"/>
                      <w:szCs w:val="21"/>
                      <w:u w:val="none"/>
                    </w:rPr>
                  </w:pPr>
                  <w:r>
                    <w:rPr>
                      <w:rFonts w:hint="eastAsia"/>
                      <w:spacing w:val="2"/>
                      <w:sz w:val="21"/>
                      <w:szCs w:val="21"/>
                      <w:u w:val="none"/>
                      <w:lang w:val="en-US" w:eastAsia="zh-CN"/>
                    </w:rPr>
                    <w:t>30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6FF6613">
                  <w:pPr>
                    <w:widowControl w:val="0"/>
                    <w:autoSpaceDE w:val="0"/>
                    <w:autoSpaceDN w:val="0"/>
                    <w:spacing w:line="240" w:lineRule="auto"/>
                    <w:ind w:firstLine="0" w:firstLineChars="0"/>
                    <w:jc w:val="center"/>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29111C2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138DD47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BAF16F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5C359BBF">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3"/>
                      <w:sz w:val="21"/>
                      <w:szCs w:val="21"/>
                      <w:u w:val="none"/>
                      <w:lang w:val="en-US" w:eastAsia="zh-CN"/>
                    </w:rPr>
                    <w:t>二氧化硫</w:t>
                  </w:r>
                </w:p>
              </w:tc>
              <w:tc>
                <w:tcPr>
                  <w:tcW w:w="608" w:type="pct"/>
                  <w:tcBorders>
                    <w:tl2br w:val="nil"/>
                    <w:tr2bl w:val="nil"/>
                  </w:tcBorders>
                  <w:vAlign w:val="center"/>
                </w:tcPr>
                <w:p w14:paraId="48AF7825">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12245B16">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20</w:t>
                  </w:r>
                </w:p>
              </w:tc>
              <w:tc>
                <w:tcPr>
                  <w:tcW w:w="631" w:type="pct"/>
                  <w:tcBorders>
                    <w:tl2br w:val="nil"/>
                    <w:tr2bl w:val="nil"/>
                  </w:tcBorders>
                  <w:vAlign w:val="center"/>
                </w:tcPr>
                <w:p w14:paraId="21E7457E">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ND</w:t>
                  </w:r>
                </w:p>
              </w:tc>
              <w:tc>
                <w:tcPr>
                  <w:tcW w:w="646" w:type="pct"/>
                  <w:tcBorders>
                    <w:tl2br w:val="nil"/>
                    <w:tr2bl w:val="nil"/>
                  </w:tcBorders>
                  <w:shd w:val="clear" w:color="auto" w:fill="auto"/>
                  <w:vAlign w:val="center"/>
                </w:tcPr>
                <w:p w14:paraId="15616BFC">
                  <w:pPr>
                    <w:widowControl w:val="0"/>
                    <w:autoSpaceDE w:val="0"/>
                    <w:autoSpaceDN w:val="0"/>
                    <w:spacing w:line="240" w:lineRule="auto"/>
                    <w:ind w:firstLine="0" w:firstLineChars="0"/>
                    <w:jc w:val="center"/>
                    <w:rPr>
                      <w:rFonts w:hint="default" w:ascii="Times New Roman" w:hAnsi="Times New Roman" w:eastAsia="宋体" w:cs="Times New Roman"/>
                      <w:snapToGrid w:val="0"/>
                      <w:color w:val="000000"/>
                      <w:kern w:val="0"/>
                      <w:sz w:val="21"/>
                      <w:szCs w:val="21"/>
                      <w:u w:val="none"/>
                      <w:lang w:val="en-US" w:eastAsia="zh-CN" w:bidi="ar-SA"/>
                    </w:rPr>
                  </w:pPr>
                  <w:r>
                    <w:rPr>
                      <w:rFonts w:hint="eastAsia"/>
                      <w:snapToGrid w:val="0"/>
                      <w:color w:val="000000"/>
                      <w:kern w:val="0"/>
                      <w:sz w:val="21"/>
                      <w:szCs w:val="21"/>
                      <w:u w:val="none"/>
                      <w:lang w:val="en-US" w:eastAsia="zh-CN"/>
                    </w:rPr>
                    <w:t>ND</w:t>
                  </w:r>
                </w:p>
              </w:tc>
              <w:tc>
                <w:tcPr>
                  <w:tcW w:w="652" w:type="pct"/>
                  <w:tcBorders>
                    <w:tl2br w:val="nil"/>
                    <w:tr2bl w:val="nil"/>
                  </w:tcBorders>
                  <w:vAlign w:val="center"/>
                </w:tcPr>
                <w:p w14:paraId="45B8367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1C4C24E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6393E9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15546B2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6F1E3AB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1CA3E799">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p>
              </w:tc>
              <w:tc>
                <w:tcPr>
                  <w:tcW w:w="608" w:type="pct"/>
                  <w:tcBorders>
                    <w:tl2br w:val="nil"/>
                    <w:tr2bl w:val="nil"/>
                  </w:tcBorders>
                  <w:vAlign w:val="center"/>
                </w:tcPr>
                <w:p w14:paraId="3FBB3258">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6A10CC66">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23</w:t>
                  </w:r>
                </w:p>
              </w:tc>
              <w:tc>
                <w:tcPr>
                  <w:tcW w:w="631" w:type="pct"/>
                  <w:tcBorders>
                    <w:tl2br w:val="nil"/>
                    <w:tr2bl w:val="nil"/>
                  </w:tcBorders>
                  <w:vAlign w:val="center"/>
                </w:tcPr>
                <w:p w14:paraId="52CDB9B2">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ND</w:t>
                  </w:r>
                </w:p>
              </w:tc>
              <w:tc>
                <w:tcPr>
                  <w:tcW w:w="646" w:type="pct"/>
                  <w:tcBorders>
                    <w:tl2br w:val="nil"/>
                    <w:tr2bl w:val="nil"/>
                  </w:tcBorders>
                  <w:shd w:val="clear" w:color="auto" w:fill="auto"/>
                  <w:vAlign w:val="center"/>
                </w:tcPr>
                <w:p w14:paraId="01B468B2">
                  <w:pPr>
                    <w:widowControl w:val="0"/>
                    <w:autoSpaceDE w:val="0"/>
                    <w:autoSpaceDN w:val="0"/>
                    <w:spacing w:line="240" w:lineRule="auto"/>
                    <w:ind w:firstLine="0" w:firstLineChars="0"/>
                    <w:jc w:val="center"/>
                    <w:rPr>
                      <w:rFonts w:hint="default" w:ascii="Times New Roman" w:hAnsi="Times New Roman" w:eastAsia="宋体" w:cs="Times New Roman"/>
                      <w:snapToGrid w:val="0"/>
                      <w:color w:val="000000"/>
                      <w:kern w:val="0"/>
                      <w:sz w:val="21"/>
                      <w:szCs w:val="21"/>
                      <w:u w:val="none"/>
                      <w:lang w:val="en-US" w:eastAsia="zh-CN" w:bidi="ar-SA"/>
                    </w:rPr>
                  </w:pPr>
                  <w:r>
                    <w:rPr>
                      <w:rFonts w:hint="eastAsia"/>
                      <w:snapToGrid w:val="0"/>
                      <w:color w:val="000000"/>
                      <w:kern w:val="0"/>
                      <w:sz w:val="21"/>
                      <w:szCs w:val="21"/>
                      <w:u w:val="none"/>
                      <w:lang w:val="en-US" w:eastAsia="zh-CN"/>
                    </w:rPr>
                    <w:t>ND</w:t>
                  </w:r>
                </w:p>
              </w:tc>
              <w:tc>
                <w:tcPr>
                  <w:tcW w:w="652" w:type="pct"/>
                  <w:tcBorders>
                    <w:tl2br w:val="nil"/>
                    <w:tr2bl w:val="nil"/>
                  </w:tcBorders>
                  <w:vAlign w:val="center"/>
                </w:tcPr>
                <w:p w14:paraId="3B575EE6">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20</w:t>
                  </w:r>
                  <w:r>
                    <w:rPr>
                      <w:rFonts w:hint="eastAsia"/>
                      <w:snapToGrid w:val="0"/>
                      <w:color w:val="000000"/>
                      <w:spacing w:val="2"/>
                      <w:kern w:val="0"/>
                      <w:sz w:val="21"/>
                      <w:szCs w:val="21"/>
                      <w:u w:val="none"/>
                    </w:rPr>
                    <w:t>0mg/m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189F89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223371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2D65B1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CF6C3C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5E0B353A">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3"/>
                      <w:sz w:val="21"/>
                      <w:szCs w:val="21"/>
                      <w:u w:val="none"/>
                      <w:lang w:val="en-US" w:eastAsia="zh-CN"/>
                    </w:rPr>
                    <w:t>氮氧化物</w:t>
                  </w:r>
                </w:p>
              </w:tc>
              <w:tc>
                <w:tcPr>
                  <w:tcW w:w="608" w:type="pct"/>
                  <w:tcBorders>
                    <w:tl2br w:val="nil"/>
                    <w:tr2bl w:val="nil"/>
                  </w:tcBorders>
                  <w:vAlign w:val="center"/>
                </w:tcPr>
                <w:p w14:paraId="7C691B1F">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3831BBB4">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41</w:t>
                  </w:r>
                </w:p>
              </w:tc>
              <w:tc>
                <w:tcPr>
                  <w:tcW w:w="631" w:type="pct"/>
                  <w:tcBorders>
                    <w:tl2br w:val="nil"/>
                    <w:tr2bl w:val="nil"/>
                  </w:tcBorders>
                  <w:vAlign w:val="center"/>
                </w:tcPr>
                <w:p w14:paraId="732ADC26">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43</w:t>
                  </w:r>
                </w:p>
              </w:tc>
              <w:tc>
                <w:tcPr>
                  <w:tcW w:w="646" w:type="pct"/>
                  <w:tcBorders>
                    <w:tl2br w:val="nil"/>
                    <w:tr2bl w:val="nil"/>
                  </w:tcBorders>
                  <w:vAlign w:val="center"/>
                </w:tcPr>
                <w:p w14:paraId="563D3493">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41</w:t>
                  </w:r>
                </w:p>
              </w:tc>
              <w:tc>
                <w:tcPr>
                  <w:tcW w:w="652" w:type="pct"/>
                  <w:tcBorders>
                    <w:tl2br w:val="nil"/>
                    <w:tr2bl w:val="nil"/>
                  </w:tcBorders>
                  <w:vAlign w:val="center"/>
                </w:tcPr>
                <w:p w14:paraId="26DC184B">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50913903">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7A6721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C955E6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3D7175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6DA3D79D">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p>
              </w:tc>
              <w:tc>
                <w:tcPr>
                  <w:tcW w:w="608" w:type="pct"/>
                  <w:tcBorders>
                    <w:tl2br w:val="nil"/>
                    <w:tr2bl w:val="nil"/>
                  </w:tcBorders>
                  <w:vAlign w:val="center"/>
                </w:tcPr>
                <w:p w14:paraId="765A5CE5">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3BEE00BA">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48</w:t>
                  </w:r>
                </w:p>
              </w:tc>
              <w:tc>
                <w:tcPr>
                  <w:tcW w:w="631" w:type="pct"/>
                  <w:tcBorders>
                    <w:tl2br w:val="nil"/>
                    <w:tr2bl w:val="nil"/>
                  </w:tcBorders>
                  <w:vAlign w:val="center"/>
                </w:tcPr>
                <w:p w14:paraId="76C2CADF">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52</w:t>
                  </w:r>
                </w:p>
              </w:tc>
              <w:tc>
                <w:tcPr>
                  <w:tcW w:w="646" w:type="pct"/>
                  <w:tcBorders>
                    <w:tl2br w:val="nil"/>
                    <w:tr2bl w:val="nil"/>
                  </w:tcBorders>
                  <w:vAlign w:val="center"/>
                </w:tcPr>
                <w:p w14:paraId="156595E1">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51</w:t>
                  </w:r>
                </w:p>
              </w:tc>
              <w:tc>
                <w:tcPr>
                  <w:tcW w:w="652" w:type="pct"/>
                  <w:tcBorders>
                    <w:tl2br w:val="nil"/>
                    <w:tr2bl w:val="nil"/>
                  </w:tcBorders>
                  <w:vAlign w:val="center"/>
                </w:tcPr>
                <w:p w14:paraId="7058297F">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200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06BB0CFF">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0D2224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5E3130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73038C9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2F66008D">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20164E05">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1965486</w:t>
                  </w:r>
                </w:p>
              </w:tc>
              <w:tc>
                <w:tcPr>
                  <w:tcW w:w="631" w:type="pct"/>
                  <w:tcBorders>
                    <w:tl2br w:val="nil"/>
                    <w:tr2bl w:val="nil"/>
                  </w:tcBorders>
                  <w:vAlign w:val="center"/>
                </w:tcPr>
                <w:p w14:paraId="75113693">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2023688</w:t>
                  </w:r>
                </w:p>
              </w:tc>
              <w:tc>
                <w:tcPr>
                  <w:tcW w:w="646" w:type="pct"/>
                  <w:tcBorders>
                    <w:tl2br w:val="nil"/>
                    <w:tr2bl w:val="nil"/>
                  </w:tcBorders>
                  <w:vAlign w:val="center"/>
                </w:tcPr>
                <w:p w14:paraId="7BA0AB1C">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2068483</w:t>
                  </w:r>
                </w:p>
              </w:tc>
              <w:tc>
                <w:tcPr>
                  <w:tcW w:w="652" w:type="pct"/>
                  <w:tcBorders>
                    <w:tl2br w:val="nil"/>
                    <w:tr2bl w:val="nil"/>
                  </w:tcBorders>
                  <w:vAlign w:val="center"/>
                </w:tcPr>
                <w:p w14:paraId="4A6C88F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68B2307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36E56C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FD001D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6A113C4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0EA50274">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氧含量</w:t>
                  </w:r>
                </w:p>
              </w:tc>
              <w:tc>
                <w:tcPr>
                  <w:tcW w:w="582" w:type="pct"/>
                  <w:tcBorders>
                    <w:tl2br w:val="nil"/>
                    <w:tr2bl w:val="nil"/>
                  </w:tcBorders>
                  <w:vAlign w:val="center"/>
                </w:tcPr>
                <w:p w14:paraId="573FAEFD">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8.7</w:t>
                  </w:r>
                </w:p>
              </w:tc>
              <w:tc>
                <w:tcPr>
                  <w:tcW w:w="631" w:type="pct"/>
                  <w:tcBorders>
                    <w:tl2br w:val="nil"/>
                    <w:tr2bl w:val="nil"/>
                  </w:tcBorders>
                  <w:vAlign w:val="center"/>
                </w:tcPr>
                <w:p w14:paraId="236DB6BA">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6.8</w:t>
                  </w:r>
                </w:p>
              </w:tc>
              <w:tc>
                <w:tcPr>
                  <w:tcW w:w="646" w:type="pct"/>
                  <w:tcBorders>
                    <w:tl2br w:val="nil"/>
                    <w:tr2bl w:val="nil"/>
                  </w:tcBorders>
                  <w:vAlign w:val="center"/>
                </w:tcPr>
                <w:p w14:paraId="1AC8E2DF">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6.7</w:t>
                  </w:r>
                </w:p>
              </w:tc>
              <w:tc>
                <w:tcPr>
                  <w:tcW w:w="652" w:type="pct"/>
                  <w:tcBorders>
                    <w:tl2br w:val="nil"/>
                    <w:tr2bl w:val="nil"/>
                  </w:tcBorders>
                  <w:vAlign w:val="center"/>
                </w:tcPr>
                <w:p w14:paraId="359CB6D3">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303A0DE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169CE4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C730AC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44B9860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6E48C129">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z w:val="21"/>
                      <w:szCs w:val="21"/>
                      <w:u w:val="none"/>
                      <w:lang w:val="en-US" w:eastAsia="zh-CN"/>
                    </w:rPr>
                    <w:t>汞及其化合物</w:t>
                  </w:r>
                </w:p>
              </w:tc>
              <w:tc>
                <w:tcPr>
                  <w:tcW w:w="608" w:type="pct"/>
                  <w:tcBorders>
                    <w:tl2br w:val="nil"/>
                    <w:tr2bl w:val="nil"/>
                  </w:tcBorders>
                  <w:vAlign w:val="center"/>
                </w:tcPr>
                <w:p w14:paraId="3717A164">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shd w:val="clear" w:color="auto" w:fill="auto"/>
                  <w:vAlign w:val="center"/>
                </w:tcPr>
                <w:p w14:paraId="0616C52B">
                  <w:pPr>
                    <w:widowControl w:val="0"/>
                    <w:autoSpaceDE w:val="0"/>
                    <w:autoSpaceDN w:val="0"/>
                    <w:spacing w:line="240" w:lineRule="auto"/>
                    <w:ind w:firstLine="0" w:firstLineChars="0"/>
                    <w:jc w:val="center"/>
                    <w:rPr>
                      <w:rFonts w:hint="eastAsia" w:ascii="Times New Roman" w:hAnsi="Times New Roman" w:eastAsia="宋体" w:cs="Times New Roman"/>
                      <w:spacing w:val="-2"/>
                      <w:sz w:val="21"/>
                      <w:szCs w:val="21"/>
                      <w:u w:val="none"/>
                      <w:lang w:val="en-US" w:eastAsia="zh-CN" w:bidi="ar-SA"/>
                    </w:rPr>
                  </w:pPr>
                  <w:r>
                    <w:rPr>
                      <w:rFonts w:hint="eastAsia"/>
                      <w:spacing w:val="-3"/>
                      <w:sz w:val="21"/>
                      <w:szCs w:val="21"/>
                      <w:u w:val="none"/>
                      <w:lang w:val="en-US" w:eastAsia="zh-CN"/>
                    </w:rPr>
                    <w:t>5</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shd w:val="clear" w:color="auto" w:fill="auto"/>
                  <w:vAlign w:val="center"/>
                </w:tcPr>
                <w:p w14:paraId="6C82F731">
                  <w:pPr>
                    <w:widowControl w:val="0"/>
                    <w:autoSpaceDE w:val="0"/>
                    <w:autoSpaceDN w:val="0"/>
                    <w:spacing w:line="240" w:lineRule="auto"/>
                    <w:ind w:firstLine="0" w:firstLineChars="0"/>
                    <w:jc w:val="center"/>
                    <w:rPr>
                      <w:rFonts w:hint="eastAsia" w:ascii="Times New Roman" w:hAnsi="Times New Roman" w:eastAsia="宋体" w:cs="Times New Roman"/>
                      <w:spacing w:val="-4"/>
                      <w:sz w:val="21"/>
                      <w:szCs w:val="21"/>
                      <w:u w:val="none"/>
                      <w:lang w:val="en-US" w:eastAsia="zh-CN" w:bidi="ar-SA"/>
                    </w:rPr>
                  </w:pPr>
                  <w:r>
                    <w:rPr>
                      <w:rFonts w:hint="eastAsia"/>
                      <w:spacing w:val="-3"/>
                      <w:sz w:val="21"/>
                      <w:szCs w:val="21"/>
                      <w:u w:val="none"/>
                      <w:lang w:val="en-US" w:eastAsia="zh-CN"/>
                    </w:rPr>
                    <w:t>5</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shd w:val="clear" w:color="auto" w:fill="auto"/>
                  <w:vAlign w:val="center"/>
                </w:tcPr>
                <w:p w14:paraId="5C999815">
                  <w:pPr>
                    <w:widowControl w:val="0"/>
                    <w:autoSpaceDE w:val="0"/>
                    <w:autoSpaceDN w:val="0"/>
                    <w:spacing w:line="240" w:lineRule="auto"/>
                    <w:ind w:firstLine="0" w:firstLineChars="0"/>
                    <w:jc w:val="center"/>
                    <w:rPr>
                      <w:rFonts w:hint="eastAsia" w:ascii="Times New Roman" w:hAnsi="Times New Roman" w:eastAsia="宋体" w:cs="Times New Roman"/>
                      <w:spacing w:val="-5"/>
                      <w:sz w:val="21"/>
                      <w:szCs w:val="21"/>
                      <w:u w:val="none"/>
                      <w:lang w:val="en-US" w:eastAsia="zh-CN" w:bidi="ar-SA"/>
                    </w:rPr>
                  </w:pPr>
                  <w:r>
                    <w:rPr>
                      <w:rFonts w:hint="eastAsia"/>
                      <w:spacing w:val="-3"/>
                      <w:sz w:val="21"/>
                      <w:szCs w:val="21"/>
                      <w:u w:val="none"/>
                      <w:lang w:val="en-US" w:eastAsia="zh-CN"/>
                    </w:rPr>
                    <w:t>5</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538570A3">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17430E37">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5C7D30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153B5E0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6D4C7E6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2EB33213">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p>
              </w:tc>
              <w:tc>
                <w:tcPr>
                  <w:tcW w:w="608" w:type="pct"/>
                  <w:tcBorders>
                    <w:tl2br w:val="nil"/>
                    <w:tr2bl w:val="nil"/>
                  </w:tcBorders>
                  <w:vAlign w:val="center"/>
                </w:tcPr>
                <w:p w14:paraId="6F60F2DA">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shd w:val="clear" w:color="auto" w:fill="auto"/>
                  <w:vAlign w:val="center"/>
                </w:tcPr>
                <w:p w14:paraId="19DE9E2E">
                  <w:pPr>
                    <w:widowControl w:val="0"/>
                    <w:autoSpaceDE w:val="0"/>
                    <w:autoSpaceDN w:val="0"/>
                    <w:spacing w:line="240" w:lineRule="auto"/>
                    <w:ind w:firstLine="0" w:firstLineChars="0"/>
                    <w:jc w:val="center"/>
                    <w:rPr>
                      <w:rFonts w:hint="eastAsia" w:ascii="Times New Roman" w:hAnsi="Times New Roman" w:eastAsia="宋体" w:cs="Times New Roman"/>
                      <w:spacing w:val="-2"/>
                      <w:sz w:val="21"/>
                      <w:szCs w:val="21"/>
                      <w:u w:val="none"/>
                      <w:lang w:val="en-US" w:eastAsia="zh-CN" w:bidi="ar-SA"/>
                    </w:rPr>
                  </w:pPr>
                  <w:r>
                    <w:rPr>
                      <w:rFonts w:hint="eastAsia"/>
                      <w:spacing w:val="-3"/>
                      <w:sz w:val="21"/>
                      <w:szCs w:val="21"/>
                      <w:u w:val="none"/>
                      <w:lang w:val="en-US" w:eastAsia="zh-CN"/>
                    </w:rPr>
                    <w:t>6</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shd w:val="clear" w:color="auto" w:fill="auto"/>
                  <w:vAlign w:val="center"/>
                </w:tcPr>
                <w:p w14:paraId="3FBBF583">
                  <w:pPr>
                    <w:widowControl w:val="0"/>
                    <w:autoSpaceDE w:val="0"/>
                    <w:autoSpaceDN w:val="0"/>
                    <w:spacing w:line="240" w:lineRule="auto"/>
                    <w:ind w:firstLine="0" w:firstLineChars="0"/>
                    <w:jc w:val="center"/>
                    <w:rPr>
                      <w:rFonts w:hint="eastAsia" w:ascii="Times New Roman" w:hAnsi="Times New Roman" w:eastAsia="宋体" w:cs="Times New Roman"/>
                      <w:spacing w:val="-4"/>
                      <w:sz w:val="21"/>
                      <w:szCs w:val="21"/>
                      <w:u w:val="none"/>
                      <w:lang w:val="en-US" w:eastAsia="zh-CN" w:bidi="ar-SA"/>
                    </w:rPr>
                  </w:pPr>
                  <w:r>
                    <w:rPr>
                      <w:rFonts w:hint="eastAsia"/>
                      <w:spacing w:val="-3"/>
                      <w:sz w:val="21"/>
                      <w:szCs w:val="21"/>
                      <w:u w:val="none"/>
                      <w:lang w:val="en-US" w:eastAsia="zh-CN"/>
                    </w:rPr>
                    <w:t>5</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shd w:val="clear" w:color="auto" w:fill="auto"/>
                  <w:vAlign w:val="center"/>
                </w:tcPr>
                <w:p w14:paraId="1C1FBDE1">
                  <w:pPr>
                    <w:widowControl w:val="0"/>
                    <w:autoSpaceDE w:val="0"/>
                    <w:autoSpaceDN w:val="0"/>
                    <w:spacing w:line="240" w:lineRule="auto"/>
                    <w:ind w:firstLine="0" w:firstLineChars="0"/>
                    <w:jc w:val="center"/>
                    <w:rPr>
                      <w:rFonts w:hint="eastAsia" w:ascii="Times New Roman" w:hAnsi="Times New Roman" w:eastAsia="宋体" w:cs="Times New Roman"/>
                      <w:spacing w:val="-5"/>
                      <w:sz w:val="21"/>
                      <w:szCs w:val="21"/>
                      <w:u w:val="none"/>
                      <w:lang w:val="en-US" w:eastAsia="zh-CN" w:bidi="ar-SA"/>
                    </w:rPr>
                  </w:pPr>
                  <w:r>
                    <w:rPr>
                      <w:rFonts w:hint="eastAsia"/>
                      <w:spacing w:val="-3"/>
                      <w:sz w:val="21"/>
                      <w:szCs w:val="21"/>
                      <w:u w:val="none"/>
                      <w:lang w:val="en-US" w:eastAsia="zh-CN"/>
                    </w:rPr>
                    <w:t>5</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71E70B1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0.03</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684DEADA">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0F3B22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tcBorders>
                    <w:tl2br w:val="nil"/>
                    <w:tr2bl w:val="nil"/>
                  </w:tcBorders>
                  <w:vAlign w:val="center"/>
                </w:tcPr>
                <w:p w14:paraId="7F557B59">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eastAsia="zh-CN"/>
                    </w:rPr>
                    <w:t>2</w:t>
                  </w:r>
                  <w:r>
                    <w:rPr>
                      <w:rFonts w:hint="eastAsia"/>
                      <w:snapToGrid w:val="0"/>
                      <w:color w:val="000000"/>
                      <w:kern w:val="0"/>
                      <w:sz w:val="21"/>
                      <w:szCs w:val="21"/>
                      <w:u w:val="none"/>
                      <w:lang w:val="en-US" w:eastAsia="zh-CN"/>
                    </w:rPr>
                    <w:t>025.01.14</w:t>
                  </w:r>
                </w:p>
              </w:tc>
              <w:tc>
                <w:tcPr>
                  <w:tcW w:w="522" w:type="pct"/>
                  <w:tcBorders>
                    <w:tl2br w:val="nil"/>
                    <w:tr2bl w:val="nil"/>
                  </w:tcBorders>
                  <w:vAlign w:val="center"/>
                </w:tcPr>
                <w:p w14:paraId="34607E46">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DA001废气排放口</w:t>
                  </w:r>
                </w:p>
              </w:tc>
              <w:tc>
                <w:tcPr>
                  <w:tcW w:w="1215" w:type="pct"/>
                  <w:gridSpan w:val="2"/>
                  <w:tcBorders>
                    <w:tl2br w:val="nil"/>
                    <w:tr2bl w:val="nil"/>
                  </w:tcBorders>
                  <w:vAlign w:val="center"/>
                </w:tcPr>
                <w:p w14:paraId="527B83BE">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烟气黑度（级）</w:t>
                  </w:r>
                </w:p>
              </w:tc>
              <w:tc>
                <w:tcPr>
                  <w:tcW w:w="1859" w:type="pct"/>
                  <w:gridSpan w:val="3"/>
                  <w:tcBorders>
                    <w:tl2br w:val="nil"/>
                    <w:tr2bl w:val="nil"/>
                  </w:tcBorders>
                  <w:vAlign w:val="center"/>
                </w:tcPr>
                <w:p w14:paraId="19F0E86B">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52" w:type="pct"/>
                  <w:vMerge w:val="restart"/>
                  <w:tcBorders>
                    <w:tl2br w:val="nil"/>
                    <w:tr2bl w:val="nil"/>
                  </w:tcBorders>
                  <w:vAlign w:val="center"/>
                </w:tcPr>
                <w:p w14:paraId="76C58F86">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1</w:t>
                  </w:r>
                </w:p>
              </w:tc>
              <w:tc>
                <w:tcPr>
                  <w:tcW w:w="399" w:type="pct"/>
                  <w:tcBorders>
                    <w:tl2br w:val="nil"/>
                    <w:tr2bl w:val="nil"/>
                  </w:tcBorders>
                  <w:vAlign w:val="center"/>
                </w:tcPr>
                <w:p w14:paraId="7E7CA352">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39BEDB0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tcBorders>
                    <w:tl2br w:val="nil"/>
                    <w:tr2bl w:val="nil"/>
                  </w:tcBorders>
                  <w:vAlign w:val="center"/>
                </w:tcPr>
                <w:p w14:paraId="58C18E19">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2025.01.15</w:t>
                  </w:r>
                </w:p>
              </w:tc>
              <w:tc>
                <w:tcPr>
                  <w:tcW w:w="522" w:type="pct"/>
                  <w:tcBorders>
                    <w:tl2br w:val="nil"/>
                    <w:tr2bl w:val="nil"/>
                  </w:tcBorders>
                  <w:vAlign w:val="center"/>
                </w:tcPr>
                <w:p w14:paraId="0EF34CC3">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DA002废气排放口</w:t>
                  </w:r>
                </w:p>
              </w:tc>
              <w:tc>
                <w:tcPr>
                  <w:tcW w:w="1215" w:type="pct"/>
                  <w:gridSpan w:val="2"/>
                  <w:tcBorders>
                    <w:tl2br w:val="nil"/>
                    <w:tr2bl w:val="nil"/>
                  </w:tcBorders>
                  <w:vAlign w:val="center"/>
                </w:tcPr>
                <w:p w14:paraId="0D0D8191">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烟气黑度（级）</w:t>
                  </w:r>
                </w:p>
              </w:tc>
              <w:tc>
                <w:tcPr>
                  <w:tcW w:w="1859" w:type="pct"/>
                  <w:gridSpan w:val="3"/>
                  <w:tcBorders>
                    <w:tl2br w:val="nil"/>
                    <w:tr2bl w:val="nil"/>
                  </w:tcBorders>
                  <w:vAlign w:val="center"/>
                </w:tcPr>
                <w:p w14:paraId="2D783147">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52" w:type="pct"/>
                  <w:vMerge w:val="continue"/>
                  <w:tcBorders>
                    <w:tl2br w:val="nil"/>
                    <w:tr2bl w:val="nil"/>
                  </w:tcBorders>
                  <w:vAlign w:val="center"/>
                </w:tcPr>
                <w:p w14:paraId="1F8363B7">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lang w:val="en-US" w:eastAsia="zh-CN"/>
                    </w:rPr>
                  </w:pPr>
                </w:p>
              </w:tc>
              <w:tc>
                <w:tcPr>
                  <w:tcW w:w="399" w:type="pct"/>
                  <w:tcBorders>
                    <w:tl2br w:val="nil"/>
                    <w:tr2bl w:val="nil"/>
                  </w:tcBorders>
                  <w:vAlign w:val="center"/>
                </w:tcPr>
                <w:p w14:paraId="148D3F96">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5109AB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tcBorders>
                    <w:tl2br w:val="nil"/>
                    <w:tr2bl w:val="nil"/>
                  </w:tcBorders>
                  <w:vAlign w:val="center"/>
                </w:tcPr>
                <w:p w14:paraId="36B50AA8">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2025.01.16</w:t>
                  </w:r>
                </w:p>
              </w:tc>
              <w:tc>
                <w:tcPr>
                  <w:tcW w:w="522" w:type="pct"/>
                  <w:tcBorders>
                    <w:tl2br w:val="nil"/>
                    <w:tr2bl w:val="nil"/>
                  </w:tcBorders>
                  <w:vAlign w:val="center"/>
                </w:tcPr>
                <w:p w14:paraId="154B1BC0">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DA003废气排放口</w:t>
                  </w:r>
                </w:p>
              </w:tc>
              <w:tc>
                <w:tcPr>
                  <w:tcW w:w="1215" w:type="pct"/>
                  <w:gridSpan w:val="2"/>
                  <w:tcBorders>
                    <w:tl2br w:val="nil"/>
                    <w:tr2bl w:val="nil"/>
                  </w:tcBorders>
                  <w:vAlign w:val="center"/>
                </w:tcPr>
                <w:p w14:paraId="4D754488">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烟气黑度（级）</w:t>
                  </w:r>
                </w:p>
              </w:tc>
              <w:tc>
                <w:tcPr>
                  <w:tcW w:w="1859" w:type="pct"/>
                  <w:gridSpan w:val="3"/>
                  <w:tcBorders>
                    <w:tl2br w:val="nil"/>
                    <w:tr2bl w:val="nil"/>
                  </w:tcBorders>
                  <w:vAlign w:val="center"/>
                </w:tcPr>
                <w:p w14:paraId="1B62C49F">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52" w:type="pct"/>
                  <w:vMerge w:val="continue"/>
                  <w:tcBorders>
                    <w:tl2br w:val="nil"/>
                    <w:tr2bl w:val="nil"/>
                  </w:tcBorders>
                  <w:vAlign w:val="center"/>
                </w:tcPr>
                <w:p w14:paraId="1D4ED31F">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lang w:val="en-US" w:eastAsia="zh-CN"/>
                    </w:rPr>
                  </w:pPr>
                </w:p>
              </w:tc>
              <w:tc>
                <w:tcPr>
                  <w:tcW w:w="399" w:type="pct"/>
                  <w:tcBorders>
                    <w:tl2br w:val="nil"/>
                    <w:tr2bl w:val="nil"/>
                  </w:tcBorders>
                  <w:vAlign w:val="center"/>
                </w:tcPr>
                <w:p w14:paraId="7D3BB557">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3EAFA4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284CFFA9">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b/>
                      <w:bCs/>
                      <w:snapToGrid w:val="0"/>
                      <w:color w:val="000000"/>
                      <w:spacing w:val="6"/>
                      <w:kern w:val="0"/>
                      <w:sz w:val="21"/>
                      <w:szCs w:val="21"/>
                      <w:u w:val="none"/>
                      <w:lang w:val="en-US" w:eastAsia="zh-CN"/>
                    </w:rPr>
                  </w:pPr>
                  <w:r>
                    <w:rPr>
                      <w:rFonts w:hint="eastAsia"/>
                      <w:b/>
                      <w:bCs/>
                      <w:snapToGrid w:val="0"/>
                      <w:color w:val="000000"/>
                      <w:spacing w:val="6"/>
                      <w:kern w:val="0"/>
                      <w:sz w:val="21"/>
                      <w:szCs w:val="21"/>
                      <w:u w:val="none"/>
                      <w:lang w:val="en-US" w:eastAsia="zh-CN"/>
                    </w:rPr>
                    <w:t>采样时间</w:t>
                  </w:r>
                </w:p>
              </w:tc>
              <w:tc>
                <w:tcPr>
                  <w:tcW w:w="522" w:type="pct"/>
                  <w:vMerge w:val="restart"/>
                  <w:tcBorders>
                    <w:tl2br w:val="nil"/>
                    <w:tr2bl w:val="nil"/>
                  </w:tcBorders>
                  <w:vAlign w:val="center"/>
                </w:tcPr>
                <w:p w14:paraId="5550007E">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6"/>
                      <w:kern w:val="0"/>
                      <w:sz w:val="21"/>
                      <w:szCs w:val="21"/>
                      <w:u w:val="none"/>
                      <w:lang w:eastAsia="en-US"/>
                    </w:rPr>
                  </w:pPr>
                  <w:r>
                    <w:rPr>
                      <w:b/>
                      <w:bCs/>
                      <w:snapToGrid w:val="0"/>
                      <w:color w:val="000000"/>
                      <w:spacing w:val="6"/>
                      <w:kern w:val="0"/>
                      <w:sz w:val="21"/>
                      <w:szCs w:val="21"/>
                      <w:u w:val="none"/>
                      <w:lang w:eastAsia="en-US"/>
                    </w:rPr>
                    <w:t>采样点位</w:t>
                  </w:r>
                </w:p>
              </w:tc>
              <w:tc>
                <w:tcPr>
                  <w:tcW w:w="1215" w:type="pct"/>
                  <w:gridSpan w:val="2"/>
                  <w:vMerge w:val="restart"/>
                  <w:tcBorders>
                    <w:tl2br w:val="nil"/>
                    <w:tr2bl w:val="nil"/>
                  </w:tcBorders>
                  <w:vAlign w:val="center"/>
                </w:tcPr>
                <w:p w14:paraId="792FD0B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6"/>
                      <w:kern w:val="0"/>
                      <w:sz w:val="21"/>
                      <w:szCs w:val="21"/>
                      <w:u w:val="none"/>
                      <w:lang w:eastAsia="en-US"/>
                    </w:rPr>
                    <w:t>检测项目</w:t>
                  </w:r>
                </w:p>
              </w:tc>
              <w:tc>
                <w:tcPr>
                  <w:tcW w:w="1859" w:type="pct"/>
                  <w:gridSpan w:val="3"/>
                  <w:tcBorders>
                    <w:tl2br w:val="nil"/>
                    <w:tr2bl w:val="nil"/>
                  </w:tcBorders>
                  <w:vAlign w:val="center"/>
                </w:tcPr>
                <w:p w14:paraId="3A67E33D">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b/>
                      <w:bCs/>
                      <w:snapToGrid w:val="0"/>
                      <w:color w:val="000000"/>
                      <w:spacing w:val="7"/>
                      <w:kern w:val="0"/>
                      <w:sz w:val="21"/>
                      <w:szCs w:val="21"/>
                      <w:u w:val="none"/>
                      <w:lang w:eastAsia="en-US"/>
                    </w:rPr>
                    <w:t>检测结果</w:t>
                  </w:r>
                  <w:r>
                    <w:rPr>
                      <w:b/>
                      <w:bCs/>
                      <w:snapToGrid w:val="0"/>
                      <w:color w:val="000000"/>
                      <w:spacing w:val="3"/>
                      <w:kern w:val="0"/>
                      <w:sz w:val="21"/>
                      <w:szCs w:val="21"/>
                      <w:u w:val="none"/>
                      <w:lang w:eastAsia="en-US"/>
                    </w:rPr>
                    <w:t>（</w:t>
                  </w:r>
                  <w:r>
                    <w:rPr>
                      <w:b/>
                      <w:bCs/>
                      <w:snapToGrid w:val="0"/>
                      <w:color w:val="000000"/>
                      <w:kern w:val="0"/>
                      <w:sz w:val="21"/>
                      <w:szCs w:val="21"/>
                      <w:u w:val="none"/>
                      <w:lang w:eastAsia="en-US"/>
                    </w:rPr>
                    <w:t>mg</w:t>
                  </w:r>
                  <w:r>
                    <w:rPr>
                      <w:b/>
                      <w:bCs/>
                      <w:snapToGrid w:val="0"/>
                      <w:color w:val="000000"/>
                      <w:spacing w:val="3"/>
                      <w:kern w:val="0"/>
                      <w:sz w:val="21"/>
                      <w:szCs w:val="21"/>
                      <w:u w:val="none"/>
                      <w:lang w:eastAsia="en-US"/>
                    </w:rPr>
                    <w:t>/m³</w:t>
                  </w:r>
                  <w:r>
                    <w:rPr>
                      <w:b/>
                      <w:bCs/>
                      <w:snapToGrid w:val="0"/>
                      <w:color w:val="000000"/>
                      <w:spacing w:val="3"/>
                      <w:kern w:val="0"/>
                      <w:sz w:val="21"/>
                      <w:szCs w:val="21"/>
                      <w:u w:val="none"/>
                    </w:rPr>
                    <w:t>）</w:t>
                  </w:r>
                </w:p>
              </w:tc>
              <w:tc>
                <w:tcPr>
                  <w:tcW w:w="652" w:type="pct"/>
                  <w:vMerge w:val="restart"/>
                  <w:tcBorders>
                    <w:tl2br w:val="nil"/>
                    <w:tr2bl w:val="nil"/>
                  </w:tcBorders>
                  <w:vAlign w:val="center"/>
                </w:tcPr>
                <w:p w14:paraId="3E85695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r>
                    <w:rPr>
                      <w:b/>
                      <w:bCs/>
                      <w:snapToGrid w:val="0"/>
                      <w:color w:val="000000"/>
                      <w:spacing w:val="6"/>
                      <w:kern w:val="0"/>
                      <w:sz w:val="21"/>
                      <w:szCs w:val="21"/>
                      <w:u w:val="none"/>
                    </w:rPr>
                    <w:t>标准限值</w:t>
                  </w:r>
                </w:p>
              </w:tc>
              <w:tc>
                <w:tcPr>
                  <w:tcW w:w="399" w:type="pct"/>
                  <w:vMerge w:val="restart"/>
                  <w:tcBorders>
                    <w:tl2br w:val="nil"/>
                    <w:tr2bl w:val="nil"/>
                  </w:tcBorders>
                  <w:vAlign w:val="center"/>
                </w:tcPr>
                <w:p w14:paraId="1F25E6D9">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4"/>
                      <w:kern w:val="0"/>
                      <w:sz w:val="21"/>
                      <w:szCs w:val="21"/>
                      <w:u w:val="none"/>
                      <w:lang w:eastAsia="en-US"/>
                    </w:rPr>
                  </w:pPr>
                  <w:r>
                    <w:rPr>
                      <w:b/>
                      <w:bCs/>
                      <w:snapToGrid w:val="0"/>
                      <w:color w:val="000000"/>
                      <w:spacing w:val="4"/>
                      <w:kern w:val="0"/>
                      <w:sz w:val="21"/>
                      <w:szCs w:val="21"/>
                      <w:u w:val="none"/>
                      <w:lang w:eastAsia="en-US"/>
                    </w:rPr>
                    <w:t>达标</w:t>
                  </w:r>
                </w:p>
                <w:p w14:paraId="0C15E2E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3"/>
                      <w:kern w:val="0"/>
                      <w:sz w:val="21"/>
                      <w:szCs w:val="21"/>
                      <w:u w:val="none"/>
                      <w:lang w:eastAsia="en-US"/>
                    </w:rPr>
                    <w:t>判定</w:t>
                  </w:r>
                </w:p>
              </w:tc>
            </w:tr>
            <w:tr w14:paraId="3A0CED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358962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884809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vMerge w:val="continue"/>
                  <w:tcBorders>
                    <w:tl2br w:val="nil"/>
                    <w:tr2bl w:val="nil"/>
                  </w:tcBorders>
                  <w:vAlign w:val="center"/>
                </w:tcPr>
                <w:p w14:paraId="7E465D4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82" w:type="pct"/>
                  <w:tcBorders>
                    <w:tl2br w:val="nil"/>
                    <w:tr2bl w:val="nil"/>
                  </w:tcBorders>
                  <w:vAlign w:val="center"/>
                </w:tcPr>
                <w:p w14:paraId="6C76262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5"/>
                      <w:kern w:val="0"/>
                      <w:sz w:val="21"/>
                      <w:szCs w:val="21"/>
                      <w:u w:val="none"/>
                      <w:lang w:eastAsia="en-US"/>
                    </w:rPr>
                    <w:t>第一次</w:t>
                  </w:r>
                </w:p>
              </w:tc>
              <w:tc>
                <w:tcPr>
                  <w:tcW w:w="631" w:type="pct"/>
                  <w:tcBorders>
                    <w:tl2br w:val="nil"/>
                    <w:tr2bl w:val="nil"/>
                  </w:tcBorders>
                  <w:vAlign w:val="center"/>
                </w:tcPr>
                <w:p w14:paraId="0BA224E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5"/>
                      <w:kern w:val="0"/>
                      <w:sz w:val="21"/>
                      <w:szCs w:val="21"/>
                      <w:u w:val="none"/>
                      <w:lang w:eastAsia="en-US"/>
                    </w:rPr>
                    <w:t>第二次</w:t>
                  </w:r>
                </w:p>
              </w:tc>
              <w:tc>
                <w:tcPr>
                  <w:tcW w:w="646" w:type="pct"/>
                  <w:tcBorders>
                    <w:tl2br w:val="nil"/>
                    <w:tr2bl w:val="nil"/>
                  </w:tcBorders>
                  <w:vAlign w:val="center"/>
                </w:tcPr>
                <w:p w14:paraId="666E3BB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5"/>
                      <w:kern w:val="0"/>
                      <w:sz w:val="21"/>
                      <w:szCs w:val="21"/>
                      <w:u w:val="none"/>
                      <w:lang w:eastAsia="en-US"/>
                    </w:rPr>
                    <w:t>第三次</w:t>
                  </w:r>
                </w:p>
              </w:tc>
              <w:tc>
                <w:tcPr>
                  <w:tcW w:w="652" w:type="pct"/>
                  <w:vMerge w:val="continue"/>
                  <w:tcBorders>
                    <w:tl2br w:val="nil"/>
                    <w:tr2bl w:val="nil"/>
                  </w:tcBorders>
                  <w:vAlign w:val="center"/>
                </w:tcPr>
                <w:p w14:paraId="2DF66D4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399" w:type="pct"/>
                  <w:vMerge w:val="continue"/>
                  <w:tcBorders>
                    <w:tl2br w:val="nil"/>
                    <w:tr2bl w:val="nil"/>
                  </w:tcBorders>
                  <w:vAlign w:val="center"/>
                </w:tcPr>
                <w:p w14:paraId="61CABEF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r>
            <w:tr w14:paraId="54EE90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1D0CF7FF">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2025.04.15</w:t>
                  </w:r>
                </w:p>
              </w:tc>
              <w:tc>
                <w:tcPr>
                  <w:tcW w:w="522" w:type="pct"/>
                  <w:vMerge w:val="restart"/>
                  <w:tcBorders>
                    <w:tl2br w:val="nil"/>
                    <w:tr2bl w:val="nil"/>
                  </w:tcBorders>
                  <w:vAlign w:val="center"/>
                </w:tcPr>
                <w:p w14:paraId="1592AF88">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lang w:val="en-US" w:eastAsia="zh-CN"/>
                    </w:rPr>
                  </w:pPr>
                  <w:r>
                    <w:rPr>
                      <w:rFonts w:hint="eastAsia"/>
                      <w:snapToGrid w:val="0"/>
                      <w:color w:val="000000"/>
                      <w:kern w:val="0"/>
                      <w:sz w:val="21"/>
                      <w:szCs w:val="21"/>
                      <w:u w:val="none"/>
                      <w:lang w:val="en-US" w:eastAsia="zh-CN"/>
                    </w:rPr>
                    <w:t>1#机组总排口</w:t>
                  </w:r>
                </w:p>
                <w:p w14:paraId="190C4D7B">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DA001</w:t>
                  </w:r>
                </w:p>
              </w:tc>
              <w:tc>
                <w:tcPr>
                  <w:tcW w:w="1215" w:type="pct"/>
                  <w:gridSpan w:val="2"/>
                  <w:tcBorders>
                    <w:tl2br w:val="nil"/>
                    <w:tr2bl w:val="nil"/>
                  </w:tcBorders>
                  <w:vAlign w:val="center"/>
                </w:tcPr>
                <w:p w14:paraId="3764A93B">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2BBD1872">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784972</w:t>
                  </w:r>
                </w:p>
              </w:tc>
              <w:tc>
                <w:tcPr>
                  <w:tcW w:w="631" w:type="pct"/>
                  <w:tcBorders>
                    <w:tl2br w:val="nil"/>
                    <w:tr2bl w:val="nil"/>
                  </w:tcBorders>
                  <w:vAlign w:val="center"/>
                </w:tcPr>
                <w:p w14:paraId="105FA95B">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840776</w:t>
                  </w:r>
                </w:p>
              </w:tc>
              <w:tc>
                <w:tcPr>
                  <w:tcW w:w="646" w:type="pct"/>
                  <w:tcBorders>
                    <w:tl2br w:val="nil"/>
                    <w:tr2bl w:val="nil"/>
                  </w:tcBorders>
                  <w:vAlign w:val="center"/>
                </w:tcPr>
                <w:p w14:paraId="40F0B6AA">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800129</w:t>
                  </w:r>
                </w:p>
              </w:tc>
              <w:tc>
                <w:tcPr>
                  <w:tcW w:w="652" w:type="pct"/>
                  <w:tcBorders>
                    <w:tl2br w:val="nil"/>
                    <w:tr2bl w:val="nil"/>
                  </w:tcBorders>
                  <w:vAlign w:val="center"/>
                </w:tcPr>
                <w:p w14:paraId="6D9C70D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snapToGrid w:val="0"/>
                      <w:color w:val="000000"/>
                      <w:spacing w:val="2"/>
                      <w:kern w:val="0"/>
                      <w:sz w:val="21"/>
                      <w:szCs w:val="21"/>
                      <w:u w:val="none"/>
                      <w:lang w:eastAsia="en-US"/>
                    </w:rPr>
                    <w:t>/</w:t>
                  </w:r>
                </w:p>
              </w:tc>
              <w:tc>
                <w:tcPr>
                  <w:tcW w:w="399" w:type="pct"/>
                  <w:tcBorders>
                    <w:tl2br w:val="nil"/>
                    <w:tr2bl w:val="nil"/>
                  </w:tcBorders>
                  <w:vAlign w:val="center"/>
                </w:tcPr>
                <w:p w14:paraId="25A20D8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snapToGrid w:val="0"/>
                      <w:color w:val="000000"/>
                      <w:spacing w:val="2"/>
                      <w:kern w:val="0"/>
                      <w:sz w:val="21"/>
                      <w:szCs w:val="21"/>
                      <w:u w:val="none"/>
                      <w:lang w:eastAsia="en-US"/>
                    </w:rPr>
                    <w:t>/</w:t>
                  </w:r>
                </w:p>
              </w:tc>
            </w:tr>
            <w:tr w14:paraId="6156E7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F1AD98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241931E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759CDE95">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4"/>
                      <w:sz w:val="21"/>
                      <w:szCs w:val="21"/>
                      <w:u w:val="none"/>
                      <w:lang w:val="en-US" w:eastAsia="zh-CN"/>
                    </w:rPr>
                    <w:t>氧含量</w:t>
                  </w:r>
                  <w:r>
                    <w:rPr>
                      <w:rFonts w:ascii="Times New Roman" w:hAnsi="Times New Roman" w:cs="Times New Roman"/>
                      <w:spacing w:val="4"/>
                      <w:sz w:val="21"/>
                      <w:szCs w:val="21"/>
                      <w:u w:val="none"/>
                      <w:lang w:eastAsia="zh-CN"/>
                    </w:rPr>
                    <w:t>（</w:t>
                  </w:r>
                  <w:r>
                    <w:rPr>
                      <w:rFonts w:hint="eastAsia" w:ascii="Times New Roman" w:hAnsi="Times New Roman" w:cs="Times New Roman"/>
                      <w:spacing w:val="4"/>
                      <w:sz w:val="21"/>
                      <w:szCs w:val="21"/>
                      <w:u w:val="none"/>
                      <w:lang w:val="en-US" w:eastAsia="zh-CN"/>
                    </w:rPr>
                    <w:t>%</w:t>
                  </w:r>
                  <w:r>
                    <w:rPr>
                      <w:rFonts w:ascii="Times New Roman" w:hAnsi="Times New Roman" w:cs="Times New Roman"/>
                      <w:spacing w:val="4"/>
                      <w:sz w:val="21"/>
                      <w:szCs w:val="21"/>
                      <w:u w:val="none"/>
                      <w:lang w:eastAsia="zh-CN"/>
                    </w:rPr>
                    <w:t>）</w:t>
                  </w:r>
                </w:p>
              </w:tc>
              <w:tc>
                <w:tcPr>
                  <w:tcW w:w="582" w:type="pct"/>
                  <w:tcBorders>
                    <w:tl2br w:val="nil"/>
                    <w:tr2bl w:val="nil"/>
                  </w:tcBorders>
                  <w:vAlign w:val="center"/>
                </w:tcPr>
                <w:p w14:paraId="1E13EEA5">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8.5</w:t>
                  </w:r>
                </w:p>
              </w:tc>
              <w:tc>
                <w:tcPr>
                  <w:tcW w:w="631" w:type="pct"/>
                  <w:tcBorders>
                    <w:tl2br w:val="nil"/>
                    <w:tr2bl w:val="nil"/>
                  </w:tcBorders>
                  <w:vAlign w:val="center"/>
                </w:tcPr>
                <w:p w14:paraId="7DB6F4CC">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6.2</w:t>
                  </w:r>
                </w:p>
              </w:tc>
              <w:tc>
                <w:tcPr>
                  <w:tcW w:w="646" w:type="pct"/>
                  <w:tcBorders>
                    <w:tl2br w:val="nil"/>
                    <w:tr2bl w:val="nil"/>
                  </w:tcBorders>
                  <w:vAlign w:val="center"/>
                </w:tcPr>
                <w:p w14:paraId="6EDA3389">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6.1</w:t>
                  </w:r>
                </w:p>
              </w:tc>
              <w:tc>
                <w:tcPr>
                  <w:tcW w:w="652" w:type="pct"/>
                  <w:tcBorders>
                    <w:tl2br w:val="nil"/>
                    <w:tr2bl w:val="nil"/>
                  </w:tcBorders>
                  <w:vAlign w:val="center"/>
                </w:tcPr>
                <w:p w14:paraId="43F811A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lang w:eastAsia="en-US"/>
                    </w:rPr>
                  </w:pPr>
                  <w:r>
                    <w:rPr>
                      <w:rFonts w:hint="eastAsia"/>
                      <w:snapToGrid w:val="0"/>
                      <w:color w:val="000000"/>
                      <w:spacing w:val="2"/>
                      <w:kern w:val="0"/>
                      <w:sz w:val="21"/>
                      <w:szCs w:val="21"/>
                      <w:u w:val="none"/>
                    </w:rPr>
                    <w:t>/</w:t>
                  </w:r>
                </w:p>
              </w:tc>
              <w:tc>
                <w:tcPr>
                  <w:tcW w:w="399" w:type="pct"/>
                  <w:tcBorders>
                    <w:tl2br w:val="nil"/>
                    <w:tr2bl w:val="nil"/>
                  </w:tcBorders>
                  <w:vAlign w:val="center"/>
                </w:tcPr>
                <w:p w14:paraId="1ECAB38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lang w:eastAsia="en-US"/>
                    </w:rPr>
                  </w:pPr>
                  <w:r>
                    <w:rPr>
                      <w:rFonts w:hint="eastAsia"/>
                      <w:snapToGrid w:val="0"/>
                      <w:color w:val="000000"/>
                      <w:spacing w:val="2"/>
                      <w:kern w:val="0"/>
                      <w:sz w:val="21"/>
                      <w:szCs w:val="21"/>
                      <w:u w:val="none"/>
                    </w:rPr>
                    <w:t>/</w:t>
                  </w:r>
                </w:p>
              </w:tc>
            </w:tr>
            <w:tr w14:paraId="0BDD96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F2D343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6438A96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6CC78738">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低浓度颗粒物</w:t>
                  </w:r>
                </w:p>
              </w:tc>
              <w:tc>
                <w:tcPr>
                  <w:tcW w:w="608" w:type="pct"/>
                  <w:tcBorders>
                    <w:tl2br w:val="nil"/>
                    <w:tr2bl w:val="nil"/>
                  </w:tcBorders>
                  <w:vAlign w:val="center"/>
                </w:tcPr>
                <w:p w14:paraId="3D9B4F07">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0A3397BD">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4.3</w:t>
                  </w:r>
                </w:p>
              </w:tc>
              <w:tc>
                <w:tcPr>
                  <w:tcW w:w="631" w:type="pct"/>
                  <w:tcBorders>
                    <w:tl2br w:val="nil"/>
                    <w:tr2bl w:val="nil"/>
                  </w:tcBorders>
                  <w:vAlign w:val="center"/>
                </w:tcPr>
                <w:p w14:paraId="7850D91E">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4.8</w:t>
                  </w:r>
                </w:p>
              </w:tc>
              <w:tc>
                <w:tcPr>
                  <w:tcW w:w="646" w:type="pct"/>
                  <w:tcBorders>
                    <w:tl2br w:val="nil"/>
                    <w:tr2bl w:val="nil"/>
                  </w:tcBorders>
                  <w:vAlign w:val="center"/>
                </w:tcPr>
                <w:p w14:paraId="50A63B39">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5.7</w:t>
                  </w:r>
                </w:p>
              </w:tc>
              <w:tc>
                <w:tcPr>
                  <w:tcW w:w="652" w:type="pct"/>
                  <w:tcBorders>
                    <w:tl2br w:val="nil"/>
                    <w:tr2bl w:val="nil"/>
                  </w:tcBorders>
                  <w:vAlign w:val="center"/>
                </w:tcPr>
                <w:p w14:paraId="143AE622">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329B5376">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r>
            <w:tr w14:paraId="39D30B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EEA6F9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12C8FB8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43656E69">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p>
              </w:tc>
              <w:tc>
                <w:tcPr>
                  <w:tcW w:w="608" w:type="pct"/>
                  <w:tcBorders>
                    <w:tl2br w:val="nil"/>
                    <w:tr2bl w:val="nil"/>
                  </w:tcBorders>
                  <w:vAlign w:val="center"/>
                </w:tcPr>
                <w:p w14:paraId="2549973A">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133B40D3">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5.2</w:t>
                  </w:r>
                </w:p>
              </w:tc>
              <w:tc>
                <w:tcPr>
                  <w:tcW w:w="631" w:type="pct"/>
                  <w:tcBorders>
                    <w:tl2br w:val="nil"/>
                    <w:tr2bl w:val="nil"/>
                  </w:tcBorders>
                  <w:vAlign w:val="center"/>
                </w:tcPr>
                <w:p w14:paraId="63328D55">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4.9</w:t>
                  </w:r>
                </w:p>
              </w:tc>
              <w:tc>
                <w:tcPr>
                  <w:tcW w:w="646" w:type="pct"/>
                  <w:tcBorders>
                    <w:tl2br w:val="nil"/>
                    <w:tr2bl w:val="nil"/>
                  </w:tcBorders>
                  <w:vAlign w:val="center"/>
                </w:tcPr>
                <w:p w14:paraId="2564D5F0">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5.7</w:t>
                  </w:r>
                </w:p>
              </w:tc>
              <w:tc>
                <w:tcPr>
                  <w:tcW w:w="652" w:type="pct"/>
                  <w:tcBorders>
                    <w:tl2br w:val="nil"/>
                    <w:tr2bl w:val="nil"/>
                  </w:tcBorders>
                  <w:vAlign w:val="center"/>
                </w:tcPr>
                <w:p w14:paraId="28702CC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30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272D14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59A30F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0AD62DE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55ABB87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37D11E0D">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6C7AAA9E">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763090</w:t>
                  </w:r>
                </w:p>
              </w:tc>
              <w:tc>
                <w:tcPr>
                  <w:tcW w:w="631" w:type="pct"/>
                  <w:tcBorders>
                    <w:tl2br w:val="nil"/>
                    <w:tr2bl w:val="nil"/>
                  </w:tcBorders>
                  <w:vAlign w:val="center"/>
                </w:tcPr>
                <w:p w14:paraId="38F05DB2">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840776</w:t>
                  </w:r>
                </w:p>
              </w:tc>
              <w:tc>
                <w:tcPr>
                  <w:tcW w:w="646" w:type="pct"/>
                  <w:tcBorders>
                    <w:tl2br w:val="nil"/>
                    <w:tr2bl w:val="nil"/>
                  </w:tcBorders>
                  <w:vAlign w:val="center"/>
                </w:tcPr>
                <w:p w14:paraId="78473786">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800129</w:t>
                  </w:r>
                </w:p>
              </w:tc>
              <w:tc>
                <w:tcPr>
                  <w:tcW w:w="652" w:type="pct"/>
                  <w:tcBorders>
                    <w:tl2br w:val="nil"/>
                    <w:tr2bl w:val="nil"/>
                  </w:tcBorders>
                  <w:vAlign w:val="center"/>
                </w:tcPr>
                <w:p w14:paraId="5F2A02E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69BED94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6600BB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FA8BBB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673649C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28B91928">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5"/>
                      <w:sz w:val="21"/>
                      <w:szCs w:val="21"/>
                      <w:u w:val="none"/>
                      <w:lang w:val="en-US" w:eastAsia="zh-CN"/>
                    </w:rPr>
                    <w:t>氧含量</w:t>
                  </w:r>
                  <w:r>
                    <w:rPr>
                      <w:rFonts w:ascii="Times New Roman" w:hAnsi="Times New Roman" w:cs="Times New Roman"/>
                      <w:spacing w:val="4"/>
                      <w:sz w:val="21"/>
                      <w:szCs w:val="21"/>
                      <w:u w:val="none"/>
                      <w:lang w:eastAsia="zh-CN"/>
                    </w:rPr>
                    <w:t>（</w:t>
                  </w:r>
                  <w:r>
                    <w:rPr>
                      <w:rFonts w:hint="eastAsia" w:ascii="Times New Roman" w:hAnsi="Times New Roman" w:cs="Times New Roman"/>
                      <w:spacing w:val="4"/>
                      <w:sz w:val="21"/>
                      <w:szCs w:val="21"/>
                      <w:u w:val="none"/>
                      <w:lang w:val="en-US" w:eastAsia="zh-CN"/>
                    </w:rPr>
                    <w:t>%</w:t>
                  </w:r>
                  <w:r>
                    <w:rPr>
                      <w:rFonts w:ascii="Times New Roman" w:hAnsi="Times New Roman" w:cs="Times New Roman"/>
                      <w:spacing w:val="4"/>
                      <w:sz w:val="21"/>
                      <w:szCs w:val="21"/>
                      <w:u w:val="none"/>
                      <w:lang w:eastAsia="zh-CN"/>
                    </w:rPr>
                    <w:t>）</w:t>
                  </w:r>
                </w:p>
              </w:tc>
              <w:tc>
                <w:tcPr>
                  <w:tcW w:w="582" w:type="pct"/>
                  <w:tcBorders>
                    <w:tl2br w:val="nil"/>
                    <w:tr2bl w:val="nil"/>
                  </w:tcBorders>
                  <w:vAlign w:val="center"/>
                </w:tcPr>
                <w:p w14:paraId="6006E068">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8.5</w:t>
                  </w:r>
                </w:p>
              </w:tc>
              <w:tc>
                <w:tcPr>
                  <w:tcW w:w="631" w:type="pct"/>
                  <w:tcBorders>
                    <w:tl2br w:val="nil"/>
                    <w:tr2bl w:val="nil"/>
                  </w:tcBorders>
                  <w:vAlign w:val="center"/>
                </w:tcPr>
                <w:p w14:paraId="02DBDD90">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6.2</w:t>
                  </w:r>
                </w:p>
              </w:tc>
              <w:tc>
                <w:tcPr>
                  <w:tcW w:w="646" w:type="pct"/>
                  <w:tcBorders>
                    <w:tl2br w:val="nil"/>
                    <w:tr2bl w:val="nil"/>
                  </w:tcBorders>
                  <w:vAlign w:val="center"/>
                </w:tcPr>
                <w:p w14:paraId="47CF8061">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6.1</w:t>
                  </w:r>
                </w:p>
              </w:tc>
              <w:tc>
                <w:tcPr>
                  <w:tcW w:w="652" w:type="pct"/>
                  <w:tcBorders>
                    <w:tl2br w:val="nil"/>
                    <w:tr2bl w:val="nil"/>
                  </w:tcBorders>
                  <w:vAlign w:val="center"/>
                </w:tcPr>
                <w:p w14:paraId="7E7CE36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182BDE6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12F897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2D759F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5AA2EE9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37A8B203">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二氧化硫</w:t>
                  </w:r>
                </w:p>
              </w:tc>
              <w:tc>
                <w:tcPr>
                  <w:tcW w:w="608" w:type="pct"/>
                  <w:tcBorders>
                    <w:tl2br w:val="nil"/>
                    <w:tr2bl w:val="nil"/>
                  </w:tcBorders>
                  <w:vAlign w:val="center"/>
                </w:tcPr>
                <w:p w14:paraId="5DC1E0AC">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71D5208A">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28</w:t>
                  </w:r>
                </w:p>
              </w:tc>
              <w:tc>
                <w:tcPr>
                  <w:tcW w:w="631" w:type="pct"/>
                  <w:tcBorders>
                    <w:tl2br w:val="nil"/>
                    <w:tr2bl w:val="nil"/>
                  </w:tcBorders>
                  <w:vAlign w:val="center"/>
                </w:tcPr>
                <w:p w14:paraId="184E4A38">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12</w:t>
                  </w:r>
                </w:p>
              </w:tc>
              <w:tc>
                <w:tcPr>
                  <w:tcW w:w="646" w:type="pct"/>
                  <w:tcBorders>
                    <w:tl2br w:val="nil"/>
                    <w:tr2bl w:val="nil"/>
                  </w:tcBorders>
                  <w:vAlign w:val="center"/>
                </w:tcPr>
                <w:p w14:paraId="0E81F208">
                  <w:pPr>
                    <w:widowControl w:val="0"/>
                    <w:autoSpaceDE w:val="0"/>
                    <w:autoSpaceDN w:val="0"/>
                    <w:spacing w:line="240" w:lineRule="auto"/>
                    <w:ind w:firstLine="0" w:firstLineChars="0"/>
                    <w:jc w:val="center"/>
                    <w:rPr>
                      <w:rFonts w:hint="eastAsia"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7</w:t>
                  </w:r>
                </w:p>
              </w:tc>
              <w:tc>
                <w:tcPr>
                  <w:tcW w:w="652" w:type="pct"/>
                  <w:tcBorders>
                    <w:tl2br w:val="nil"/>
                    <w:tr2bl w:val="nil"/>
                  </w:tcBorders>
                  <w:vAlign w:val="center"/>
                </w:tcPr>
                <w:p w14:paraId="2A2ECC6A">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6064B820">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r>
            <w:tr w14:paraId="7F63CC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65DD42C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7457462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532AFDB0">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08" w:type="pct"/>
                  <w:tcBorders>
                    <w:tl2br w:val="nil"/>
                    <w:tr2bl w:val="nil"/>
                  </w:tcBorders>
                  <w:vAlign w:val="center"/>
                </w:tcPr>
                <w:p w14:paraId="335339B5">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1AD99665">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34</w:t>
                  </w:r>
                </w:p>
              </w:tc>
              <w:tc>
                <w:tcPr>
                  <w:tcW w:w="631" w:type="pct"/>
                  <w:tcBorders>
                    <w:tl2br w:val="nil"/>
                    <w:tr2bl w:val="nil"/>
                  </w:tcBorders>
                  <w:vAlign w:val="center"/>
                </w:tcPr>
                <w:p w14:paraId="286B58AA">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12</w:t>
                  </w:r>
                </w:p>
              </w:tc>
              <w:tc>
                <w:tcPr>
                  <w:tcW w:w="646" w:type="pct"/>
                  <w:tcBorders>
                    <w:tl2br w:val="nil"/>
                    <w:tr2bl w:val="nil"/>
                  </w:tcBorders>
                  <w:vAlign w:val="center"/>
                </w:tcPr>
                <w:p w14:paraId="39353F89">
                  <w:pPr>
                    <w:widowControl w:val="0"/>
                    <w:autoSpaceDE w:val="0"/>
                    <w:autoSpaceDN w:val="0"/>
                    <w:spacing w:line="240" w:lineRule="auto"/>
                    <w:ind w:firstLine="0" w:firstLineChars="0"/>
                    <w:jc w:val="center"/>
                    <w:rPr>
                      <w:rFonts w:hint="eastAsia"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7</w:t>
                  </w:r>
                </w:p>
              </w:tc>
              <w:tc>
                <w:tcPr>
                  <w:tcW w:w="652" w:type="pct"/>
                  <w:tcBorders>
                    <w:tl2br w:val="nil"/>
                    <w:tr2bl w:val="nil"/>
                  </w:tcBorders>
                  <w:vAlign w:val="center"/>
                </w:tcPr>
                <w:p w14:paraId="4AD3331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20</w:t>
                  </w:r>
                  <w:r>
                    <w:rPr>
                      <w:rFonts w:hint="eastAsia"/>
                      <w:snapToGrid w:val="0"/>
                      <w:color w:val="000000"/>
                      <w:spacing w:val="2"/>
                      <w:kern w:val="0"/>
                      <w:sz w:val="21"/>
                      <w:szCs w:val="21"/>
                      <w:u w:val="none"/>
                    </w:rPr>
                    <w:t>0mg/m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235B449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51AC80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2BA233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29E539D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59E9A10F">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r>
                    <w:rPr>
                      <w:rFonts w:hint="eastAsia" w:ascii="Times New Roman" w:hAnsi="Times New Roman" w:cs="Times New Roman"/>
                      <w:spacing w:val="3"/>
                      <w:sz w:val="21"/>
                      <w:szCs w:val="21"/>
                      <w:u w:val="none"/>
                      <w:lang w:val="en-US" w:eastAsia="zh-CN"/>
                    </w:rPr>
                    <w:t>氮氧化物</w:t>
                  </w:r>
                </w:p>
              </w:tc>
              <w:tc>
                <w:tcPr>
                  <w:tcW w:w="608" w:type="pct"/>
                  <w:tcBorders>
                    <w:tl2br w:val="nil"/>
                    <w:tr2bl w:val="nil"/>
                  </w:tcBorders>
                  <w:vAlign w:val="center"/>
                </w:tcPr>
                <w:p w14:paraId="72D4AB1E">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63B5829A">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23</w:t>
                  </w:r>
                </w:p>
              </w:tc>
              <w:tc>
                <w:tcPr>
                  <w:tcW w:w="631" w:type="pct"/>
                  <w:tcBorders>
                    <w:tl2br w:val="nil"/>
                    <w:tr2bl w:val="nil"/>
                  </w:tcBorders>
                  <w:vAlign w:val="center"/>
                </w:tcPr>
                <w:p w14:paraId="45602C94">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32</w:t>
                  </w:r>
                </w:p>
              </w:tc>
              <w:tc>
                <w:tcPr>
                  <w:tcW w:w="646" w:type="pct"/>
                  <w:tcBorders>
                    <w:tl2br w:val="nil"/>
                    <w:tr2bl w:val="nil"/>
                  </w:tcBorders>
                  <w:vAlign w:val="center"/>
                </w:tcPr>
                <w:p w14:paraId="159B136B">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47</w:t>
                  </w:r>
                </w:p>
              </w:tc>
              <w:tc>
                <w:tcPr>
                  <w:tcW w:w="652" w:type="pct"/>
                  <w:tcBorders>
                    <w:tl2br w:val="nil"/>
                    <w:tr2bl w:val="nil"/>
                  </w:tcBorders>
                  <w:vAlign w:val="center"/>
                </w:tcPr>
                <w:p w14:paraId="7944A7B1">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59E21780">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r>
            <w:tr w14:paraId="226033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61C7201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2F2744C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1085B2FA">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rPr>
                  </w:pPr>
                </w:p>
              </w:tc>
              <w:tc>
                <w:tcPr>
                  <w:tcW w:w="608" w:type="pct"/>
                  <w:tcBorders>
                    <w:tl2br w:val="nil"/>
                    <w:tr2bl w:val="nil"/>
                  </w:tcBorders>
                  <w:vAlign w:val="center"/>
                </w:tcPr>
                <w:p w14:paraId="742FD4E5">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6A07383F">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28</w:t>
                  </w:r>
                </w:p>
              </w:tc>
              <w:tc>
                <w:tcPr>
                  <w:tcW w:w="631" w:type="pct"/>
                  <w:tcBorders>
                    <w:tl2br w:val="nil"/>
                    <w:tr2bl w:val="nil"/>
                  </w:tcBorders>
                  <w:vAlign w:val="center"/>
                </w:tcPr>
                <w:p w14:paraId="3205A7D2">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32</w:t>
                  </w:r>
                </w:p>
              </w:tc>
              <w:tc>
                <w:tcPr>
                  <w:tcW w:w="646" w:type="pct"/>
                  <w:tcBorders>
                    <w:tl2br w:val="nil"/>
                    <w:tr2bl w:val="nil"/>
                  </w:tcBorders>
                  <w:vAlign w:val="center"/>
                </w:tcPr>
                <w:p w14:paraId="1E040273">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47</w:t>
                  </w:r>
                </w:p>
              </w:tc>
              <w:tc>
                <w:tcPr>
                  <w:tcW w:w="652" w:type="pct"/>
                  <w:tcBorders>
                    <w:tl2br w:val="nil"/>
                    <w:tr2bl w:val="nil"/>
                  </w:tcBorders>
                  <w:vAlign w:val="center"/>
                </w:tcPr>
                <w:p w14:paraId="1ADEC37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200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6EFE070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1DE38D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1F3D7F3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15466B7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4994E807">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709638CB">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834551</w:t>
                  </w:r>
                </w:p>
              </w:tc>
              <w:tc>
                <w:tcPr>
                  <w:tcW w:w="631" w:type="pct"/>
                  <w:tcBorders>
                    <w:tl2br w:val="nil"/>
                    <w:tr2bl w:val="nil"/>
                  </w:tcBorders>
                  <w:vAlign w:val="center"/>
                </w:tcPr>
                <w:p w14:paraId="4E0DC54C">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845459</w:t>
                  </w:r>
                </w:p>
              </w:tc>
              <w:tc>
                <w:tcPr>
                  <w:tcW w:w="646" w:type="pct"/>
                  <w:tcBorders>
                    <w:tl2br w:val="nil"/>
                    <w:tr2bl w:val="nil"/>
                  </w:tcBorders>
                  <w:vAlign w:val="center"/>
                </w:tcPr>
                <w:p w14:paraId="0156D0B3">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763092</w:t>
                  </w:r>
                </w:p>
              </w:tc>
              <w:tc>
                <w:tcPr>
                  <w:tcW w:w="652" w:type="pct"/>
                  <w:tcBorders>
                    <w:tl2br w:val="nil"/>
                    <w:tr2bl w:val="nil"/>
                  </w:tcBorders>
                  <w:vAlign w:val="center"/>
                </w:tcPr>
                <w:p w14:paraId="7A911F9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2C74F4E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103714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DB9E89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201D7DB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266CB58A">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5"/>
                      <w:sz w:val="21"/>
                      <w:szCs w:val="21"/>
                      <w:u w:val="none"/>
                      <w:lang w:val="en-US" w:eastAsia="zh-CN"/>
                    </w:rPr>
                    <w:t>氧含量</w:t>
                  </w:r>
                </w:p>
              </w:tc>
              <w:tc>
                <w:tcPr>
                  <w:tcW w:w="582" w:type="pct"/>
                  <w:tcBorders>
                    <w:tl2br w:val="nil"/>
                    <w:tr2bl w:val="nil"/>
                  </w:tcBorders>
                  <w:vAlign w:val="center"/>
                </w:tcPr>
                <w:p w14:paraId="337D43BA">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9.1</w:t>
                  </w:r>
                </w:p>
              </w:tc>
              <w:tc>
                <w:tcPr>
                  <w:tcW w:w="631" w:type="pct"/>
                  <w:tcBorders>
                    <w:tl2br w:val="nil"/>
                    <w:tr2bl w:val="nil"/>
                  </w:tcBorders>
                  <w:vAlign w:val="center"/>
                </w:tcPr>
                <w:p w14:paraId="679C132E">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9.4</w:t>
                  </w:r>
                </w:p>
              </w:tc>
              <w:tc>
                <w:tcPr>
                  <w:tcW w:w="646" w:type="pct"/>
                  <w:tcBorders>
                    <w:tl2br w:val="nil"/>
                    <w:tr2bl w:val="nil"/>
                  </w:tcBorders>
                  <w:vAlign w:val="center"/>
                </w:tcPr>
                <w:p w14:paraId="6998B907">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9.2</w:t>
                  </w:r>
                </w:p>
              </w:tc>
              <w:tc>
                <w:tcPr>
                  <w:tcW w:w="652" w:type="pct"/>
                  <w:tcBorders>
                    <w:tl2br w:val="nil"/>
                    <w:tr2bl w:val="nil"/>
                  </w:tcBorders>
                  <w:vAlign w:val="center"/>
                </w:tcPr>
                <w:p w14:paraId="22FF424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359E2D2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31A739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F92A2B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3778B82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2D3E2F4D">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z w:val="21"/>
                      <w:szCs w:val="21"/>
                      <w:u w:val="none"/>
                      <w:lang w:val="en-US" w:eastAsia="zh-CN"/>
                    </w:rPr>
                    <w:t>汞及其化合物</w:t>
                  </w:r>
                </w:p>
              </w:tc>
              <w:tc>
                <w:tcPr>
                  <w:tcW w:w="608" w:type="pct"/>
                  <w:tcBorders>
                    <w:tl2br w:val="nil"/>
                    <w:tr2bl w:val="nil"/>
                  </w:tcBorders>
                  <w:vAlign w:val="center"/>
                </w:tcPr>
                <w:p w14:paraId="45A9631B">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0E4BDD40">
                  <w:pPr>
                    <w:widowControl w:val="0"/>
                    <w:autoSpaceDE w:val="0"/>
                    <w:autoSpaceDN w:val="0"/>
                    <w:spacing w:line="240" w:lineRule="auto"/>
                    <w:ind w:firstLine="0" w:firstLineChars="0"/>
                    <w:jc w:val="center"/>
                    <w:rPr>
                      <w:rFonts w:hint="eastAsia" w:eastAsia="宋体"/>
                      <w:spacing w:val="-3"/>
                      <w:sz w:val="21"/>
                      <w:szCs w:val="21"/>
                      <w:u w:val="none"/>
                      <w:lang w:val="en-US" w:eastAsia="zh-CN"/>
                    </w:rPr>
                  </w:pPr>
                  <w:r>
                    <w:rPr>
                      <w:rFonts w:hint="eastAsia"/>
                      <w:spacing w:val="-3"/>
                      <w:sz w:val="21"/>
                      <w:szCs w:val="21"/>
                      <w:u w:val="none"/>
                      <w:lang w:val="en-US" w:eastAsia="zh-CN"/>
                    </w:rPr>
                    <w:t>3</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0F739CF2">
                  <w:pPr>
                    <w:widowControl w:val="0"/>
                    <w:autoSpaceDE w:val="0"/>
                    <w:autoSpaceDN w:val="0"/>
                    <w:spacing w:line="240" w:lineRule="auto"/>
                    <w:ind w:firstLine="0" w:firstLineChars="0"/>
                    <w:jc w:val="center"/>
                    <w:rPr>
                      <w:spacing w:val="-3"/>
                      <w:sz w:val="21"/>
                      <w:szCs w:val="21"/>
                      <w:u w:val="none"/>
                    </w:rPr>
                  </w:pPr>
                  <w:r>
                    <w:rPr>
                      <w:rFonts w:hint="eastAsia"/>
                      <w:spacing w:val="-3"/>
                      <w:sz w:val="21"/>
                      <w:szCs w:val="21"/>
                      <w:u w:val="none"/>
                      <w:lang w:val="en-US" w:eastAsia="zh-CN"/>
                    </w:rPr>
                    <w:t>3</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6158A855">
                  <w:pPr>
                    <w:widowControl w:val="0"/>
                    <w:autoSpaceDE w:val="0"/>
                    <w:autoSpaceDN w:val="0"/>
                    <w:spacing w:line="240" w:lineRule="auto"/>
                    <w:ind w:firstLine="0" w:firstLineChars="0"/>
                    <w:jc w:val="center"/>
                    <w:rPr>
                      <w:spacing w:val="-3"/>
                      <w:sz w:val="21"/>
                      <w:szCs w:val="21"/>
                      <w:u w:val="none"/>
                    </w:rPr>
                  </w:pPr>
                  <w:r>
                    <w:rPr>
                      <w:rFonts w:hint="eastAsia"/>
                      <w:spacing w:val="-3"/>
                      <w:sz w:val="21"/>
                      <w:szCs w:val="21"/>
                      <w:u w:val="none"/>
                      <w:lang w:val="en-US" w:eastAsia="zh-CN"/>
                    </w:rPr>
                    <w:t>3</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213EBC77">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7ED0F72B">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r>
            <w:tr w14:paraId="096BDD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76675D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30C3A82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5D169B23">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474A65AE">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0C2BA77F">
                  <w:pPr>
                    <w:widowControl w:val="0"/>
                    <w:autoSpaceDE w:val="0"/>
                    <w:autoSpaceDN w:val="0"/>
                    <w:spacing w:line="240" w:lineRule="auto"/>
                    <w:ind w:firstLine="0" w:firstLineChars="0"/>
                    <w:jc w:val="center"/>
                    <w:rPr>
                      <w:spacing w:val="-3"/>
                      <w:sz w:val="21"/>
                      <w:szCs w:val="21"/>
                      <w:u w:val="none"/>
                    </w:rPr>
                  </w:pPr>
                  <w:r>
                    <w:rPr>
                      <w:rFonts w:hint="eastAsia"/>
                      <w:spacing w:val="-3"/>
                      <w:sz w:val="21"/>
                      <w:szCs w:val="21"/>
                      <w:u w:val="none"/>
                      <w:lang w:val="en-US" w:eastAsia="zh-CN"/>
                    </w:rPr>
                    <w:t>4</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01C55A1B">
                  <w:pPr>
                    <w:widowControl w:val="0"/>
                    <w:autoSpaceDE w:val="0"/>
                    <w:autoSpaceDN w:val="0"/>
                    <w:spacing w:line="240" w:lineRule="auto"/>
                    <w:ind w:firstLine="0" w:firstLineChars="0"/>
                    <w:jc w:val="center"/>
                    <w:rPr>
                      <w:spacing w:val="-3"/>
                      <w:sz w:val="21"/>
                      <w:szCs w:val="21"/>
                      <w:u w:val="none"/>
                    </w:rPr>
                  </w:pPr>
                  <w:r>
                    <w:rPr>
                      <w:rFonts w:hint="eastAsia"/>
                      <w:spacing w:val="-3"/>
                      <w:sz w:val="21"/>
                      <w:szCs w:val="21"/>
                      <w:u w:val="none"/>
                      <w:lang w:val="en-US" w:eastAsia="zh-CN"/>
                    </w:rPr>
                    <w:t>4</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0B1E5C4F">
                  <w:pPr>
                    <w:widowControl w:val="0"/>
                    <w:autoSpaceDE w:val="0"/>
                    <w:autoSpaceDN w:val="0"/>
                    <w:spacing w:line="240" w:lineRule="auto"/>
                    <w:ind w:firstLine="0" w:firstLineChars="0"/>
                    <w:jc w:val="center"/>
                    <w:rPr>
                      <w:spacing w:val="-3"/>
                      <w:sz w:val="21"/>
                      <w:szCs w:val="21"/>
                      <w:u w:val="none"/>
                    </w:rPr>
                  </w:pPr>
                  <w:r>
                    <w:rPr>
                      <w:rFonts w:hint="eastAsia"/>
                      <w:spacing w:val="-3"/>
                      <w:sz w:val="21"/>
                      <w:szCs w:val="21"/>
                      <w:u w:val="none"/>
                      <w:lang w:val="en-US" w:eastAsia="zh-CN"/>
                    </w:rPr>
                    <w:t>4</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26C7F36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0.03</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5FD1A9C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1C9194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6138C5CE">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2025.04.16</w:t>
                  </w:r>
                </w:p>
              </w:tc>
              <w:tc>
                <w:tcPr>
                  <w:tcW w:w="522" w:type="pct"/>
                  <w:vMerge w:val="restart"/>
                  <w:tcBorders>
                    <w:tl2br w:val="nil"/>
                    <w:tr2bl w:val="nil"/>
                  </w:tcBorders>
                  <w:vAlign w:val="center"/>
                </w:tcPr>
                <w:p w14:paraId="36920783">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lang w:val="en-US" w:eastAsia="zh-CN"/>
                    </w:rPr>
                  </w:pPr>
                  <w:r>
                    <w:rPr>
                      <w:rFonts w:hint="eastAsia"/>
                      <w:snapToGrid w:val="0"/>
                      <w:color w:val="000000"/>
                      <w:kern w:val="0"/>
                      <w:sz w:val="21"/>
                      <w:szCs w:val="21"/>
                      <w:u w:val="none"/>
                      <w:lang w:val="en-US" w:eastAsia="zh-CN"/>
                    </w:rPr>
                    <w:t>3#机组总排口</w:t>
                  </w:r>
                </w:p>
                <w:p w14:paraId="791AB699">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DA002</w:t>
                  </w:r>
                </w:p>
              </w:tc>
              <w:tc>
                <w:tcPr>
                  <w:tcW w:w="1215" w:type="pct"/>
                  <w:gridSpan w:val="2"/>
                  <w:tcBorders>
                    <w:tl2br w:val="nil"/>
                    <w:tr2bl w:val="nil"/>
                  </w:tcBorders>
                  <w:vAlign w:val="center"/>
                </w:tcPr>
                <w:p w14:paraId="1B370BFA">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29D33210">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911063</w:t>
                  </w:r>
                </w:p>
              </w:tc>
              <w:tc>
                <w:tcPr>
                  <w:tcW w:w="631" w:type="pct"/>
                  <w:tcBorders>
                    <w:tl2br w:val="nil"/>
                    <w:tr2bl w:val="nil"/>
                  </w:tcBorders>
                  <w:vAlign w:val="center"/>
                </w:tcPr>
                <w:p w14:paraId="26346B27">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886338</w:t>
                  </w:r>
                </w:p>
              </w:tc>
              <w:tc>
                <w:tcPr>
                  <w:tcW w:w="646" w:type="pct"/>
                  <w:tcBorders>
                    <w:tl2br w:val="nil"/>
                    <w:tr2bl w:val="nil"/>
                  </w:tcBorders>
                  <w:vAlign w:val="center"/>
                </w:tcPr>
                <w:p w14:paraId="43FF7AC1">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844640</w:t>
                  </w:r>
                </w:p>
              </w:tc>
              <w:tc>
                <w:tcPr>
                  <w:tcW w:w="652" w:type="pct"/>
                  <w:tcBorders>
                    <w:tl2br w:val="nil"/>
                    <w:tr2bl w:val="nil"/>
                  </w:tcBorders>
                  <w:vAlign w:val="center"/>
                </w:tcPr>
                <w:p w14:paraId="3B1511C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325907E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rFonts w:hint="eastAsia"/>
                      <w:snapToGrid w:val="0"/>
                      <w:color w:val="000000"/>
                      <w:spacing w:val="2"/>
                      <w:kern w:val="0"/>
                      <w:sz w:val="21"/>
                      <w:szCs w:val="21"/>
                      <w:u w:val="none"/>
                    </w:rPr>
                    <w:t>/</w:t>
                  </w:r>
                </w:p>
              </w:tc>
            </w:tr>
            <w:tr w14:paraId="697E99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17F7A2B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122B0CA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tcBorders>
                    <w:tl2br w:val="nil"/>
                    <w:tr2bl w:val="nil"/>
                  </w:tcBorders>
                  <w:vAlign w:val="center"/>
                </w:tcPr>
                <w:p w14:paraId="1890E392">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hint="eastAsia" w:ascii="Times New Roman" w:hAnsi="Times New Roman" w:cs="Times New Roman"/>
                      <w:spacing w:val="5"/>
                      <w:sz w:val="21"/>
                      <w:szCs w:val="21"/>
                      <w:u w:val="none"/>
                      <w:lang w:eastAsia="zh-CN"/>
                    </w:rPr>
                    <w:t>烟气</w:t>
                  </w:r>
                  <w:r>
                    <w:rPr>
                      <w:rFonts w:ascii="Times New Roman" w:hAnsi="Times New Roman" w:cs="Times New Roman"/>
                      <w:spacing w:val="4"/>
                      <w:sz w:val="21"/>
                      <w:szCs w:val="21"/>
                      <w:u w:val="none"/>
                    </w:rPr>
                    <w:t>流速</w:t>
                  </w:r>
                  <w:r>
                    <w:rPr>
                      <w:rFonts w:ascii="Times New Roman" w:hAnsi="Times New Roman" w:cs="Times New Roman"/>
                      <w:spacing w:val="4"/>
                      <w:sz w:val="21"/>
                      <w:szCs w:val="21"/>
                      <w:u w:val="none"/>
                      <w:lang w:eastAsia="zh-CN"/>
                    </w:rPr>
                    <w:t>（m/s）</w:t>
                  </w:r>
                </w:p>
              </w:tc>
              <w:tc>
                <w:tcPr>
                  <w:tcW w:w="582" w:type="pct"/>
                  <w:tcBorders>
                    <w:tl2br w:val="nil"/>
                    <w:tr2bl w:val="nil"/>
                  </w:tcBorders>
                  <w:vAlign w:val="center"/>
                </w:tcPr>
                <w:p w14:paraId="09771269">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8.1</w:t>
                  </w:r>
                </w:p>
              </w:tc>
              <w:tc>
                <w:tcPr>
                  <w:tcW w:w="631" w:type="pct"/>
                  <w:tcBorders>
                    <w:tl2br w:val="nil"/>
                    <w:tr2bl w:val="nil"/>
                  </w:tcBorders>
                  <w:vAlign w:val="center"/>
                </w:tcPr>
                <w:p w14:paraId="380A0CBA">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8.9</w:t>
                  </w:r>
                </w:p>
              </w:tc>
              <w:tc>
                <w:tcPr>
                  <w:tcW w:w="646" w:type="pct"/>
                  <w:tcBorders>
                    <w:tl2br w:val="nil"/>
                    <w:tr2bl w:val="nil"/>
                  </w:tcBorders>
                  <w:vAlign w:val="center"/>
                </w:tcPr>
                <w:p w14:paraId="74971974">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8.5</w:t>
                  </w:r>
                </w:p>
              </w:tc>
              <w:tc>
                <w:tcPr>
                  <w:tcW w:w="652" w:type="pct"/>
                  <w:tcBorders>
                    <w:tl2br w:val="nil"/>
                    <w:tr2bl w:val="nil"/>
                  </w:tcBorders>
                  <w:vAlign w:val="center"/>
                </w:tcPr>
                <w:p w14:paraId="63B867D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3474376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r>
                    <w:rPr>
                      <w:rFonts w:hint="eastAsia"/>
                      <w:snapToGrid w:val="0"/>
                      <w:color w:val="000000"/>
                      <w:spacing w:val="2"/>
                      <w:kern w:val="0"/>
                      <w:sz w:val="21"/>
                      <w:szCs w:val="21"/>
                      <w:u w:val="none"/>
                    </w:rPr>
                    <w:t>/</w:t>
                  </w:r>
                </w:p>
              </w:tc>
            </w:tr>
            <w:tr w14:paraId="6D12F7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05B712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7F1165F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restart"/>
                  <w:tcBorders>
                    <w:tl2br w:val="nil"/>
                    <w:tr2bl w:val="nil"/>
                  </w:tcBorders>
                  <w:vAlign w:val="center"/>
                </w:tcPr>
                <w:p w14:paraId="5980E156">
                  <w:pPr>
                    <w:pStyle w:val="392"/>
                    <w:widowControl w:val="0"/>
                    <w:autoSpaceDE w:val="0"/>
                    <w:autoSpaceDN w:val="0"/>
                    <w:spacing w:line="240" w:lineRule="auto"/>
                    <w:ind w:firstLine="0" w:firstLineChars="0"/>
                    <w:jc w:val="center"/>
                    <w:rPr>
                      <w:rFonts w:hint="eastAsia" w:ascii="Times New Roman" w:hAnsi="Times New Roman" w:eastAsia="宋体" w:cs="Times New Roman"/>
                      <w:sz w:val="21"/>
                      <w:szCs w:val="21"/>
                      <w:u w:val="none"/>
                      <w:lang w:val="en-US" w:eastAsia="zh-CN"/>
                    </w:rPr>
                  </w:pPr>
                  <w:r>
                    <w:rPr>
                      <w:rFonts w:hint="eastAsia" w:ascii="Times New Roman" w:hAnsi="Times New Roman" w:cs="Times New Roman"/>
                      <w:sz w:val="21"/>
                      <w:szCs w:val="21"/>
                      <w:u w:val="none"/>
                      <w:lang w:val="en-US" w:eastAsia="zh-CN"/>
                    </w:rPr>
                    <w:t>低浓度颗粒物</w:t>
                  </w:r>
                </w:p>
              </w:tc>
              <w:tc>
                <w:tcPr>
                  <w:tcW w:w="608" w:type="pct"/>
                  <w:tcBorders>
                    <w:tl2br w:val="nil"/>
                    <w:tr2bl w:val="nil"/>
                  </w:tcBorders>
                  <w:vAlign w:val="center"/>
                </w:tcPr>
                <w:p w14:paraId="405173CA">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0FD3D42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4.6</w:t>
                  </w:r>
                </w:p>
              </w:tc>
              <w:tc>
                <w:tcPr>
                  <w:tcW w:w="631" w:type="pct"/>
                  <w:tcBorders>
                    <w:tl2br w:val="nil"/>
                    <w:tr2bl w:val="nil"/>
                  </w:tcBorders>
                  <w:vAlign w:val="center"/>
                </w:tcPr>
                <w:p w14:paraId="4C7F298C">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4.3</w:t>
                  </w:r>
                </w:p>
              </w:tc>
              <w:tc>
                <w:tcPr>
                  <w:tcW w:w="646" w:type="pct"/>
                  <w:tcBorders>
                    <w:tl2br w:val="nil"/>
                    <w:tr2bl w:val="nil"/>
                  </w:tcBorders>
                  <w:vAlign w:val="center"/>
                </w:tcPr>
                <w:p w14:paraId="4569B4FA">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4.8</w:t>
                  </w:r>
                </w:p>
              </w:tc>
              <w:tc>
                <w:tcPr>
                  <w:tcW w:w="652" w:type="pct"/>
                  <w:tcBorders>
                    <w:tl2br w:val="nil"/>
                    <w:tr2bl w:val="nil"/>
                  </w:tcBorders>
                  <w:vAlign w:val="center"/>
                </w:tcPr>
                <w:p w14:paraId="0350C1DA">
                  <w:pPr>
                    <w:widowControl w:val="0"/>
                    <w:autoSpaceDE w:val="0"/>
                    <w:autoSpaceDN w:val="0"/>
                    <w:spacing w:line="240" w:lineRule="auto"/>
                    <w:ind w:firstLine="0" w:firstLineChars="0"/>
                    <w:jc w:val="center"/>
                    <w:rPr>
                      <w:rFonts w:hint="eastAsia" w:eastAsia="宋体"/>
                      <w:spacing w:val="2"/>
                      <w:sz w:val="21"/>
                      <w:szCs w:val="21"/>
                      <w:u w:val="none"/>
                      <w:lang w:val="en-US" w:eastAsia="zh-CN"/>
                    </w:rPr>
                  </w:pPr>
                  <w:r>
                    <w:rPr>
                      <w:rFonts w:hint="eastAsia"/>
                      <w:spacing w:val="2"/>
                      <w:sz w:val="21"/>
                      <w:szCs w:val="21"/>
                      <w:u w:val="none"/>
                      <w:lang w:val="en-US" w:eastAsia="zh-CN"/>
                    </w:rPr>
                    <w:t>-</w:t>
                  </w:r>
                </w:p>
              </w:tc>
              <w:tc>
                <w:tcPr>
                  <w:tcW w:w="399" w:type="pct"/>
                  <w:tcBorders>
                    <w:tl2br w:val="nil"/>
                    <w:tr2bl w:val="nil"/>
                  </w:tcBorders>
                  <w:vAlign w:val="center"/>
                </w:tcPr>
                <w:p w14:paraId="4C29724E">
                  <w:pPr>
                    <w:widowControl w:val="0"/>
                    <w:autoSpaceDE w:val="0"/>
                    <w:autoSpaceDN w:val="0"/>
                    <w:spacing w:line="240" w:lineRule="auto"/>
                    <w:ind w:firstLine="0" w:firstLineChars="0"/>
                    <w:jc w:val="center"/>
                    <w:rPr>
                      <w:rFonts w:hint="eastAsia" w:eastAsia="宋体"/>
                      <w:spacing w:val="2"/>
                      <w:sz w:val="21"/>
                      <w:szCs w:val="21"/>
                      <w:u w:val="none"/>
                      <w:lang w:val="en-US" w:eastAsia="zh-CN"/>
                    </w:rPr>
                  </w:pPr>
                  <w:r>
                    <w:rPr>
                      <w:rFonts w:hint="eastAsia" w:eastAsia="宋体"/>
                      <w:spacing w:val="2"/>
                      <w:sz w:val="21"/>
                      <w:szCs w:val="21"/>
                      <w:u w:val="none"/>
                      <w:lang w:val="en-US" w:eastAsia="zh-CN"/>
                    </w:rPr>
                    <w:t>-</w:t>
                  </w:r>
                </w:p>
              </w:tc>
            </w:tr>
            <w:tr w14:paraId="7AF48B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0BA7059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18E54F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continue"/>
                  <w:tcBorders>
                    <w:tl2br w:val="nil"/>
                    <w:tr2bl w:val="nil"/>
                  </w:tcBorders>
                  <w:vAlign w:val="center"/>
                </w:tcPr>
                <w:p w14:paraId="6C5F2D4C">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p>
              </w:tc>
              <w:tc>
                <w:tcPr>
                  <w:tcW w:w="608" w:type="pct"/>
                  <w:tcBorders>
                    <w:tl2br w:val="nil"/>
                    <w:tr2bl w:val="nil"/>
                  </w:tcBorders>
                  <w:vAlign w:val="center"/>
                </w:tcPr>
                <w:p w14:paraId="1A59B014">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7DC49F4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5.3</w:t>
                  </w:r>
                </w:p>
              </w:tc>
              <w:tc>
                <w:tcPr>
                  <w:tcW w:w="631" w:type="pct"/>
                  <w:tcBorders>
                    <w:tl2br w:val="nil"/>
                    <w:tr2bl w:val="nil"/>
                  </w:tcBorders>
                  <w:vAlign w:val="center"/>
                </w:tcPr>
                <w:p w14:paraId="7B1FEAA4">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5.3</w:t>
                  </w:r>
                </w:p>
              </w:tc>
              <w:tc>
                <w:tcPr>
                  <w:tcW w:w="646" w:type="pct"/>
                  <w:tcBorders>
                    <w:tl2br w:val="nil"/>
                    <w:tr2bl w:val="nil"/>
                  </w:tcBorders>
                  <w:vAlign w:val="center"/>
                </w:tcPr>
                <w:p w14:paraId="12799316">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5.8</w:t>
                  </w:r>
                </w:p>
              </w:tc>
              <w:tc>
                <w:tcPr>
                  <w:tcW w:w="652" w:type="pct"/>
                  <w:tcBorders>
                    <w:tl2br w:val="nil"/>
                    <w:tr2bl w:val="nil"/>
                  </w:tcBorders>
                  <w:vAlign w:val="center"/>
                </w:tcPr>
                <w:p w14:paraId="5D0C700F">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30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4133CAB6">
                  <w:pPr>
                    <w:widowControl w:val="0"/>
                    <w:autoSpaceDE w:val="0"/>
                    <w:autoSpaceDN w:val="0"/>
                    <w:spacing w:line="240" w:lineRule="auto"/>
                    <w:ind w:firstLine="0" w:firstLineChars="0"/>
                    <w:jc w:val="center"/>
                    <w:rPr>
                      <w:spacing w:val="2"/>
                      <w:sz w:val="21"/>
                      <w:szCs w:val="21"/>
                      <w:u w:val="none"/>
                    </w:rPr>
                  </w:pPr>
                  <w:r>
                    <w:rPr>
                      <w:rFonts w:hint="eastAsia"/>
                      <w:snapToGrid w:val="0"/>
                      <w:color w:val="000000"/>
                      <w:spacing w:val="2"/>
                      <w:kern w:val="0"/>
                      <w:sz w:val="21"/>
                      <w:szCs w:val="21"/>
                      <w:u w:val="none"/>
                    </w:rPr>
                    <w:t>达标</w:t>
                  </w:r>
                </w:p>
              </w:tc>
            </w:tr>
            <w:tr w14:paraId="24982D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B0EF07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50D810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tcBorders>
                    <w:tl2br w:val="nil"/>
                    <w:tr2bl w:val="nil"/>
                  </w:tcBorders>
                  <w:vAlign w:val="center"/>
                </w:tcPr>
                <w:p w14:paraId="2D703672">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4958257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911063</w:t>
                  </w:r>
                </w:p>
              </w:tc>
              <w:tc>
                <w:tcPr>
                  <w:tcW w:w="631" w:type="pct"/>
                  <w:tcBorders>
                    <w:tl2br w:val="nil"/>
                    <w:tr2bl w:val="nil"/>
                  </w:tcBorders>
                  <w:vAlign w:val="center"/>
                </w:tcPr>
                <w:p w14:paraId="78C77C1A">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886338</w:t>
                  </w:r>
                </w:p>
              </w:tc>
              <w:tc>
                <w:tcPr>
                  <w:tcW w:w="646" w:type="pct"/>
                  <w:tcBorders>
                    <w:tl2br w:val="nil"/>
                    <w:tr2bl w:val="nil"/>
                  </w:tcBorders>
                  <w:vAlign w:val="center"/>
                </w:tcPr>
                <w:p w14:paraId="618BD33E">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844640</w:t>
                  </w:r>
                </w:p>
              </w:tc>
              <w:tc>
                <w:tcPr>
                  <w:tcW w:w="652" w:type="pct"/>
                  <w:tcBorders>
                    <w:tl2br w:val="nil"/>
                    <w:tr2bl w:val="nil"/>
                  </w:tcBorders>
                  <w:vAlign w:val="center"/>
                </w:tcPr>
                <w:p w14:paraId="60309F6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7882A1DF">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23E069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FD0631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7AB965C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tcBorders>
                    <w:tl2br w:val="nil"/>
                    <w:tr2bl w:val="nil"/>
                  </w:tcBorders>
                  <w:vAlign w:val="center"/>
                </w:tcPr>
                <w:p w14:paraId="465D447B">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氧含量</w:t>
                  </w:r>
                  <w:r>
                    <w:rPr>
                      <w:rFonts w:ascii="Times New Roman" w:hAnsi="Times New Roman" w:cs="Times New Roman"/>
                      <w:spacing w:val="4"/>
                      <w:sz w:val="21"/>
                      <w:szCs w:val="21"/>
                      <w:u w:val="none"/>
                      <w:lang w:eastAsia="zh-CN"/>
                    </w:rPr>
                    <w:t>（</w:t>
                  </w:r>
                  <w:r>
                    <w:rPr>
                      <w:rFonts w:hint="eastAsia" w:ascii="Times New Roman" w:hAnsi="Times New Roman" w:cs="Times New Roman"/>
                      <w:spacing w:val="4"/>
                      <w:sz w:val="21"/>
                      <w:szCs w:val="21"/>
                      <w:u w:val="none"/>
                      <w:lang w:val="en-US" w:eastAsia="zh-CN"/>
                    </w:rPr>
                    <w:t>%</w:t>
                  </w:r>
                  <w:r>
                    <w:rPr>
                      <w:rFonts w:ascii="Times New Roman" w:hAnsi="Times New Roman" w:cs="Times New Roman"/>
                      <w:spacing w:val="4"/>
                      <w:sz w:val="21"/>
                      <w:szCs w:val="21"/>
                      <w:u w:val="none"/>
                      <w:lang w:eastAsia="zh-CN"/>
                    </w:rPr>
                    <w:t>）</w:t>
                  </w:r>
                </w:p>
              </w:tc>
              <w:tc>
                <w:tcPr>
                  <w:tcW w:w="582" w:type="pct"/>
                  <w:tcBorders>
                    <w:tl2br w:val="nil"/>
                    <w:tr2bl w:val="nil"/>
                  </w:tcBorders>
                  <w:vAlign w:val="center"/>
                </w:tcPr>
                <w:p w14:paraId="7954AED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8.1</w:t>
                  </w:r>
                </w:p>
              </w:tc>
              <w:tc>
                <w:tcPr>
                  <w:tcW w:w="631" w:type="pct"/>
                  <w:tcBorders>
                    <w:tl2br w:val="nil"/>
                    <w:tr2bl w:val="nil"/>
                  </w:tcBorders>
                  <w:vAlign w:val="center"/>
                </w:tcPr>
                <w:p w14:paraId="2388F9E0">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8.9</w:t>
                  </w:r>
                </w:p>
              </w:tc>
              <w:tc>
                <w:tcPr>
                  <w:tcW w:w="646" w:type="pct"/>
                  <w:tcBorders>
                    <w:tl2br w:val="nil"/>
                    <w:tr2bl w:val="nil"/>
                  </w:tcBorders>
                  <w:vAlign w:val="center"/>
                </w:tcPr>
                <w:p w14:paraId="02B5A425">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8.5</w:t>
                  </w:r>
                </w:p>
              </w:tc>
              <w:tc>
                <w:tcPr>
                  <w:tcW w:w="652" w:type="pct"/>
                  <w:tcBorders>
                    <w:tl2br w:val="nil"/>
                    <w:tr2bl w:val="nil"/>
                  </w:tcBorders>
                  <w:vAlign w:val="center"/>
                </w:tcPr>
                <w:p w14:paraId="479C4DB1">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33E3731D">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5FBFBB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030AFB0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706E194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restart"/>
                  <w:tcBorders>
                    <w:tl2br w:val="nil"/>
                    <w:tr2bl w:val="nil"/>
                  </w:tcBorders>
                  <w:vAlign w:val="center"/>
                </w:tcPr>
                <w:p w14:paraId="351BCB25">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hint="eastAsia" w:ascii="Times New Roman" w:hAnsi="Times New Roman" w:cs="Times New Roman"/>
                      <w:spacing w:val="3"/>
                      <w:sz w:val="21"/>
                      <w:szCs w:val="21"/>
                      <w:u w:val="none"/>
                      <w:lang w:val="en-US" w:eastAsia="zh-CN"/>
                    </w:rPr>
                    <w:t>二氧化硫</w:t>
                  </w:r>
                </w:p>
              </w:tc>
              <w:tc>
                <w:tcPr>
                  <w:tcW w:w="608" w:type="pct"/>
                  <w:tcBorders>
                    <w:tl2br w:val="nil"/>
                    <w:tr2bl w:val="nil"/>
                  </w:tcBorders>
                  <w:vAlign w:val="center"/>
                </w:tcPr>
                <w:p w14:paraId="4F92C76B">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62FA4B90">
                  <w:pPr>
                    <w:widowControl w:val="0"/>
                    <w:autoSpaceDE w:val="0"/>
                    <w:autoSpaceDN w:val="0"/>
                    <w:spacing w:line="240" w:lineRule="auto"/>
                    <w:ind w:firstLine="0" w:firstLineChars="0"/>
                    <w:jc w:val="center"/>
                    <w:rPr>
                      <w:rFonts w:hint="default"/>
                      <w:spacing w:val="-2"/>
                      <w:sz w:val="21"/>
                      <w:szCs w:val="21"/>
                      <w:u w:val="none"/>
                      <w:lang w:val="en-US"/>
                    </w:rPr>
                  </w:pPr>
                  <w:r>
                    <w:rPr>
                      <w:rFonts w:hint="eastAsia"/>
                      <w:snapToGrid w:val="0"/>
                      <w:color w:val="000000"/>
                      <w:spacing w:val="-3"/>
                      <w:kern w:val="0"/>
                      <w:sz w:val="21"/>
                      <w:szCs w:val="21"/>
                      <w:u w:val="none"/>
                      <w:lang w:val="en-US" w:eastAsia="zh-CN"/>
                    </w:rPr>
                    <w:t>20</w:t>
                  </w:r>
                </w:p>
              </w:tc>
              <w:tc>
                <w:tcPr>
                  <w:tcW w:w="631" w:type="pct"/>
                  <w:tcBorders>
                    <w:tl2br w:val="nil"/>
                    <w:tr2bl w:val="nil"/>
                  </w:tcBorders>
                  <w:vAlign w:val="center"/>
                </w:tcPr>
                <w:p w14:paraId="14D3824B">
                  <w:pPr>
                    <w:widowControl w:val="0"/>
                    <w:autoSpaceDE w:val="0"/>
                    <w:autoSpaceDN w:val="0"/>
                    <w:spacing w:line="240" w:lineRule="auto"/>
                    <w:ind w:firstLine="0" w:firstLineChars="0"/>
                    <w:jc w:val="center"/>
                    <w:rPr>
                      <w:rFonts w:hint="eastAsia"/>
                      <w:spacing w:val="-4"/>
                      <w:sz w:val="21"/>
                      <w:szCs w:val="21"/>
                      <w:u w:val="none"/>
                    </w:rPr>
                  </w:pPr>
                  <w:r>
                    <w:rPr>
                      <w:rFonts w:hint="eastAsia"/>
                      <w:snapToGrid w:val="0"/>
                      <w:color w:val="000000"/>
                      <w:spacing w:val="-3"/>
                      <w:kern w:val="0"/>
                      <w:sz w:val="21"/>
                      <w:szCs w:val="21"/>
                      <w:u w:val="none"/>
                      <w:lang w:val="en-US" w:eastAsia="zh-CN"/>
                    </w:rPr>
                    <w:t>12</w:t>
                  </w:r>
                </w:p>
              </w:tc>
              <w:tc>
                <w:tcPr>
                  <w:tcW w:w="646" w:type="pct"/>
                  <w:tcBorders>
                    <w:tl2br w:val="nil"/>
                    <w:tr2bl w:val="nil"/>
                  </w:tcBorders>
                  <w:vAlign w:val="center"/>
                </w:tcPr>
                <w:p w14:paraId="6FF5BC4B">
                  <w:pPr>
                    <w:widowControl w:val="0"/>
                    <w:autoSpaceDE w:val="0"/>
                    <w:autoSpaceDN w:val="0"/>
                    <w:spacing w:line="240" w:lineRule="auto"/>
                    <w:ind w:firstLine="0" w:firstLineChars="0"/>
                    <w:jc w:val="center"/>
                    <w:rPr>
                      <w:rFonts w:hint="default"/>
                      <w:spacing w:val="-5"/>
                      <w:sz w:val="21"/>
                      <w:szCs w:val="21"/>
                      <w:u w:val="none"/>
                      <w:lang w:val="en-US"/>
                    </w:rPr>
                  </w:pPr>
                  <w:r>
                    <w:rPr>
                      <w:rFonts w:hint="eastAsia"/>
                      <w:snapToGrid w:val="0"/>
                      <w:color w:val="000000"/>
                      <w:spacing w:val="-3"/>
                      <w:kern w:val="0"/>
                      <w:sz w:val="21"/>
                      <w:szCs w:val="21"/>
                      <w:u w:val="none"/>
                      <w:lang w:val="en-US" w:eastAsia="zh-CN"/>
                    </w:rPr>
                    <w:t>22</w:t>
                  </w:r>
                </w:p>
              </w:tc>
              <w:tc>
                <w:tcPr>
                  <w:tcW w:w="652" w:type="pct"/>
                  <w:tcBorders>
                    <w:tl2br w:val="nil"/>
                    <w:tr2bl w:val="nil"/>
                  </w:tcBorders>
                  <w:vAlign w:val="center"/>
                </w:tcPr>
                <w:p w14:paraId="30CC24F6">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51AF839B">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607E15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FDFD7F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96A5E9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continue"/>
                  <w:tcBorders>
                    <w:tl2br w:val="nil"/>
                    <w:tr2bl w:val="nil"/>
                  </w:tcBorders>
                  <w:vAlign w:val="center"/>
                </w:tcPr>
                <w:p w14:paraId="6A4C96AE">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p>
              </w:tc>
              <w:tc>
                <w:tcPr>
                  <w:tcW w:w="608" w:type="pct"/>
                  <w:tcBorders>
                    <w:tl2br w:val="nil"/>
                    <w:tr2bl w:val="nil"/>
                  </w:tcBorders>
                  <w:vAlign w:val="center"/>
                </w:tcPr>
                <w:p w14:paraId="2859DA5A">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0AEF8BF7">
                  <w:pPr>
                    <w:widowControl w:val="0"/>
                    <w:autoSpaceDE w:val="0"/>
                    <w:autoSpaceDN w:val="0"/>
                    <w:spacing w:line="240" w:lineRule="auto"/>
                    <w:ind w:firstLine="0" w:firstLineChars="0"/>
                    <w:jc w:val="center"/>
                    <w:rPr>
                      <w:rFonts w:hint="default"/>
                      <w:spacing w:val="-2"/>
                      <w:sz w:val="21"/>
                      <w:szCs w:val="21"/>
                      <w:u w:val="none"/>
                      <w:lang w:val="en-US"/>
                    </w:rPr>
                  </w:pPr>
                  <w:r>
                    <w:rPr>
                      <w:rFonts w:hint="eastAsia"/>
                      <w:snapToGrid w:val="0"/>
                      <w:color w:val="000000"/>
                      <w:spacing w:val="-3"/>
                      <w:kern w:val="0"/>
                      <w:sz w:val="21"/>
                      <w:szCs w:val="21"/>
                      <w:u w:val="none"/>
                      <w:lang w:val="en-US" w:eastAsia="zh-CN"/>
                    </w:rPr>
                    <w:t>23</w:t>
                  </w:r>
                </w:p>
              </w:tc>
              <w:tc>
                <w:tcPr>
                  <w:tcW w:w="631" w:type="pct"/>
                  <w:tcBorders>
                    <w:tl2br w:val="nil"/>
                    <w:tr2bl w:val="nil"/>
                  </w:tcBorders>
                  <w:vAlign w:val="center"/>
                </w:tcPr>
                <w:p w14:paraId="2DE47212">
                  <w:pPr>
                    <w:widowControl w:val="0"/>
                    <w:autoSpaceDE w:val="0"/>
                    <w:autoSpaceDN w:val="0"/>
                    <w:spacing w:line="240" w:lineRule="auto"/>
                    <w:ind w:firstLine="0" w:firstLineChars="0"/>
                    <w:jc w:val="center"/>
                    <w:rPr>
                      <w:rFonts w:hint="default"/>
                      <w:spacing w:val="-4"/>
                      <w:sz w:val="21"/>
                      <w:szCs w:val="21"/>
                      <w:u w:val="none"/>
                      <w:lang w:val="en-US"/>
                    </w:rPr>
                  </w:pPr>
                  <w:r>
                    <w:rPr>
                      <w:rFonts w:hint="eastAsia"/>
                      <w:snapToGrid w:val="0"/>
                      <w:color w:val="000000"/>
                      <w:spacing w:val="-3"/>
                      <w:kern w:val="0"/>
                      <w:sz w:val="21"/>
                      <w:szCs w:val="21"/>
                      <w:u w:val="none"/>
                      <w:lang w:val="en-US" w:eastAsia="zh-CN"/>
                    </w:rPr>
                    <w:t>15</w:t>
                  </w:r>
                </w:p>
              </w:tc>
              <w:tc>
                <w:tcPr>
                  <w:tcW w:w="646" w:type="pct"/>
                  <w:tcBorders>
                    <w:tl2br w:val="nil"/>
                    <w:tr2bl w:val="nil"/>
                  </w:tcBorders>
                  <w:vAlign w:val="center"/>
                </w:tcPr>
                <w:p w14:paraId="30790814">
                  <w:pPr>
                    <w:widowControl w:val="0"/>
                    <w:autoSpaceDE w:val="0"/>
                    <w:autoSpaceDN w:val="0"/>
                    <w:spacing w:line="240" w:lineRule="auto"/>
                    <w:ind w:firstLine="0" w:firstLineChars="0"/>
                    <w:jc w:val="center"/>
                    <w:rPr>
                      <w:rFonts w:hint="default"/>
                      <w:spacing w:val="-5"/>
                      <w:sz w:val="21"/>
                      <w:szCs w:val="21"/>
                      <w:u w:val="none"/>
                      <w:lang w:val="en-US"/>
                    </w:rPr>
                  </w:pPr>
                  <w:r>
                    <w:rPr>
                      <w:rFonts w:hint="eastAsia"/>
                      <w:snapToGrid w:val="0"/>
                      <w:color w:val="000000"/>
                      <w:spacing w:val="-3"/>
                      <w:kern w:val="0"/>
                      <w:sz w:val="21"/>
                      <w:szCs w:val="21"/>
                      <w:u w:val="none"/>
                      <w:lang w:val="en-US" w:eastAsia="zh-CN"/>
                    </w:rPr>
                    <w:t>26</w:t>
                  </w:r>
                </w:p>
              </w:tc>
              <w:tc>
                <w:tcPr>
                  <w:tcW w:w="652" w:type="pct"/>
                  <w:tcBorders>
                    <w:tl2br w:val="nil"/>
                    <w:tr2bl w:val="nil"/>
                  </w:tcBorders>
                  <w:vAlign w:val="center"/>
                </w:tcPr>
                <w:p w14:paraId="74D384A8">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20</w:t>
                  </w:r>
                  <w:r>
                    <w:rPr>
                      <w:rFonts w:hint="eastAsia"/>
                      <w:snapToGrid w:val="0"/>
                      <w:color w:val="000000"/>
                      <w:spacing w:val="2"/>
                      <w:kern w:val="0"/>
                      <w:sz w:val="21"/>
                      <w:szCs w:val="21"/>
                      <w:u w:val="none"/>
                    </w:rPr>
                    <w:t>0mg/m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6829B68B">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5D0B7A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E7CB1D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4762FB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restart"/>
                  <w:tcBorders>
                    <w:tl2br w:val="nil"/>
                    <w:tr2bl w:val="nil"/>
                  </w:tcBorders>
                  <w:vAlign w:val="center"/>
                </w:tcPr>
                <w:p w14:paraId="442C3252">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hint="eastAsia" w:ascii="Times New Roman" w:hAnsi="Times New Roman" w:cs="Times New Roman"/>
                      <w:spacing w:val="3"/>
                      <w:sz w:val="21"/>
                      <w:szCs w:val="21"/>
                      <w:u w:val="none"/>
                      <w:lang w:val="en-US" w:eastAsia="zh-CN"/>
                    </w:rPr>
                    <w:t>氮氧化物</w:t>
                  </w:r>
                </w:p>
              </w:tc>
              <w:tc>
                <w:tcPr>
                  <w:tcW w:w="608" w:type="pct"/>
                  <w:tcBorders>
                    <w:tl2br w:val="nil"/>
                    <w:tr2bl w:val="nil"/>
                  </w:tcBorders>
                  <w:vAlign w:val="center"/>
                </w:tcPr>
                <w:p w14:paraId="0F6E8B05">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2CAA6DCD">
                  <w:pPr>
                    <w:widowControl w:val="0"/>
                    <w:autoSpaceDE w:val="0"/>
                    <w:autoSpaceDN w:val="0"/>
                    <w:spacing w:line="240" w:lineRule="auto"/>
                    <w:ind w:firstLine="0" w:firstLineChars="0"/>
                    <w:jc w:val="center"/>
                    <w:rPr>
                      <w:rFonts w:hint="default"/>
                      <w:spacing w:val="-2"/>
                      <w:sz w:val="21"/>
                      <w:szCs w:val="21"/>
                      <w:u w:val="none"/>
                      <w:lang w:val="en-US"/>
                    </w:rPr>
                  </w:pPr>
                  <w:r>
                    <w:rPr>
                      <w:rFonts w:hint="eastAsia"/>
                      <w:snapToGrid w:val="0"/>
                      <w:color w:val="000000"/>
                      <w:spacing w:val="-3"/>
                      <w:kern w:val="0"/>
                      <w:sz w:val="21"/>
                      <w:szCs w:val="21"/>
                      <w:u w:val="none"/>
                      <w:lang w:val="en-US" w:eastAsia="zh-CN"/>
                    </w:rPr>
                    <w:t>40</w:t>
                  </w:r>
                </w:p>
              </w:tc>
              <w:tc>
                <w:tcPr>
                  <w:tcW w:w="631" w:type="pct"/>
                  <w:tcBorders>
                    <w:tl2br w:val="nil"/>
                    <w:tr2bl w:val="nil"/>
                  </w:tcBorders>
                  <w:vAlign w:val="center"/>
                </w:tcPr>
                <w:p w14:paraId="24FF99B6">
                  <w:pPr>
                    <w:widowControl w:val="0"/>
                    <w:autoSpaceDE w:val="0"/>
                    <w:autoSpaceDN w:val="0"/>
                    <w:spacing w:line="240" w:lineRule="auto"/>
                    <w:ind w:firstLine="0" w:firstLineChars="0"/>
                    <w:jc w:val="center"/>
                    <w:rPr>
                      <w:rFonts w:hint="default"/>
                      <w:spacing w:val="-4"/>
                      <w:sz w:val="21"/>
                      <w:szCs w:val="21"/>
                      <w:u w:val="none"/>
                      <w:lang w:val="en-US"/>
                    </w:rPr>
                  </w:pPr>
                  <w:r>
                    <w:rPr>
                      <w:rFonts w:hint="eastAsia"/>
                      <w:snapToGrid w:val="0"/>
                      <w:color w:val="000000"/>
                      <w:spacing w:val="-3"/>
                      <w:kern w:val="0"/>
                      <w:sz w:val="21"/>
                      <w:szCs w:val="21"/>
                      <w:u w:val="none"/>
                      <w:lang w:val="en-US" w:eastAsia="zh-CN"/>
                    </w:rPr>
                    <w:t>31</w:t>
                  </w:r>
                </w:p>
              </w:tc>
              <w:tc>
                <w:tcPr>
                  <w:tcW w:w="646" w:type="pct"/>
                  <w:tcBorders>
                    <w:tl2br w:val="nil"/>
                    <w:tr2bl w:val="nil"/>
                  </w:tcBorders>
                  <w:vAlign w:val="center"/>
                </w:tcPr>
                <w:p w14:paraId="688F4696">
                  <w:pPr>
                    <w:widowControl w:val="0"/>
                    <w:autoSpaceDE w:val="0"/>
                    <w:autoSpaceDN w:val="0"/>
                    <w:spacing w:line="240" w:lineRule="auto"/>
                    <w:ind w:firstLine="0" w:firstLineChars="0"/>
                    <w:jc w:val="center"/>
                    <w:rPr>
                      <w:rFonts w:hint="eastAsia"/>
                      <w:spacing w:val="-5"/>
                      <w:sz w:val="21"/>
                      <w:szCs w:val="21"/>
                      <w:u w:val="none"/>
                    </w:rPr>
                  </w:pPr>
                  <w:r>
                    <w:rPr>
                      <w:rFonts w:hint="eastAsia"/>
                      <w:snapToGrid w:val="0"/>
                      <w:color w:val="000000"/>
                      <w:spacing w:val="-3"/>
                      <w:kern w:val="0"/>
                      <w:sz w:val="21"/>
                      <w:szCs w:val="21"/>
                      <w:u w:val="none"/>
                      <w:lang w:val="en-US" w:eastAsia="zh-CN"/>
                    </w:rPr>
                    <w:t>37</w:t>
                  </w:r>
                </w:p>
              </w:tc>
              <w:tc>
                <w:tcPr>
                  <w:tcW w:w="652" w:type="pct"/>
                  <w:tcBorders>
                    <w:tl2br w:val="nil"/>
                    <w:tr2bl w:val="nil"/>
                  </w:tcBorders>
                  <w:vAlign w:val="center"/>
                </w:tcPr>
                <w:p w14:paraId="5E9D7445">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21389BE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101776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764DED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53BAAA3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continue"/>
                  <w:tcBorders>
                    <w:tl2br w:val="nil"/>
                    <w:tr2bl w:val="nil"/>
                  </w:tcBorders>
                  <w:vAlign w:val="center"/>
                </w:tcPr>
                <w:p w14:paraId="7C2944EC">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p>
              </w:tc>
              <w:tc>
                <w:tcPr>
                  <w:tcW w:w="608" w:type="pct"/>
                  <w:tcBorders>
                    <w:tl2br w:val="nil"/>
                    <w:tr2bl w:val="nil"/>
                  </w:tcBorders>
                  <w:vAlign w:val="center"/>
                </w:tcPr>
                <w:p w14:paraId="653CF615">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76747F5E">
                  <w:pPr>
                    <w:widowControl w:val="0"/>
                    <w:autoSpaceDE w:val="0"/>
                    <w:autoSpaceDN w:val="0"/>
                    <w:spacing w:line="240" w:lineRule="auto"/>
                    <w:ind w:firstLine="0" w:firstLineChars="0"/>
                    <w:jc w:val="center"/>
                    <w:rPr>
                      <w:rFonts w:hint="default"/>
                      <w:spacing w:val="-2"/>
                      <w:sz w:val="21"/>
                      <w:szCs w:val="21"/>
                      <w:u w:val="none"/>
                      <w:lang w:val="en-US"/>
                    </w:rPr>
                  </w:pPr>
                  <w:r>
                    <w:rPr>
                      <w:rFonts w:hint="eastAsia"/>
                      <w:snapToGrid w:val="0"/>
                      <w:color w:val="000000"/>
                      <w:spacing w:val="-3"/>
                      <w:kern w:val="0"/>
                      <w:sz w:val="21"/>
                      <w:szCs w:val="21"/>
                      <w:u w:val="none"/>
                      <w:lang w:val="en-US" w:eastAsia="zh-CN"/>
                    </w:rPr>
                    <w:t>47</w:t>
                  </w:r>
                </w:p>
              </w:tc>
              <w:tc>
                <w:tcPr>
                  <w:tcW w:w="631" w:type="pct"/>
                  <w:tcBorders>
                    <w:tl2br w:val="nil"/>
                    <w:tr2bl w:val="nil"/>
                  </w:tcBorders>
                  <w:vAlign w:val="center"/>
                </w:tcPr>
                <w:p w14:paraId="381CFD81">
                  <w:pPr>
                    <w:widowControl w:val="0"/>
                    <w:autoSpaceDE w:val="0"/>
                    <w:autoSpaceDN w:val="0"/>
                    <w:spacing w:line="240" w:lineRule="auto"/>
                    <w:ind w:firstLine="0" w:firstLineChars="0"/>
                    <w:jc w:val="center"/>
                    <w:rPr>
                      <w:rFonts w:hint="default"/>
                      <w:spacing w:val="-4"/>
                      <w:sz w:val="21"/>
                      <w:szCs w:val="21"/>
                      <w:u w:val="none"/>
                      <w:lang w:val="en-US"/>
                    </w:rPr>
                  </w:pPr>
                  <w:r>
                    <w:rPr>
                      <w:rFonts w:hint="eastAsia"/>
                      <w:snapToGrid w:val="0"/>
                      <w:color w:val="000000"/>
                      <w:spacing w:val="-3"/>
                      <w:kern w:val="0"/>
                      <w:sz w:val="21"/>
                      <w:szCs w:val="21"/>
                      <w:u w:val="none"/>
                      <w:lang w:val="en-US" w:eastAsia="zh-CN"/>
                    </w:rPr>
                    <w:t>38</w:t>
                  </w:r>
                </w:p>
              </w:tc>
              <w:tc>
                <w:tcPr>
                  <w:tcW w:w="646" w:type="pct"/>
                  <w:tcBorders>
                    <w:tl2br w:val="nil"/>
                    <w:tr2bl w:val="nil"/>
                  </w:tcBorders>
                  <w:vAlign w:val="center"/>
                </w:tcPr>
                <w:p w14:paraId="2540D4E9">
                  <w:pPr>
                    <w:widowControl w:val="0"/>
                    <w:autoSpaceDE w:val="0"/>
                    <w:autoSpaceDN w:val="0"/>
                    <w:spacing w:line="240" w:lineRule="auto"/>
                    <w:ind w:firstLine="0" w:firstLineChars="0"/>
                    <w:jc w:val="center"/>
                    <w:rPr>
                      <w:rFonts w:hint="default"/>
                      <w:spacing w:val="-5"/>
                      <w:sz w:val="21"/>
                      <w:szCs w:val="21"/>
                      <w:u w:val="none"/>
                      <w:lang w:val="en-US"/>
                    </w:rPr>
                  </w:pPr>
                  <w:r>
                    <w:rPr>
                      <w:rFonts w:hint="eastAsia"/>
                      <w:snapToGrid w:val="0"/>
                      <w:color w:val="000000"/>
                      <w:spacing w:val="-3"/>
                      <w:kern w:val="0"/>
                      <w:sz w:val="21"/>
                      <w:szCs w:val="21"/>
                      <w:u w:val="none"/>
                      <w:lang w:val="en-US" w:eastAsia="zh-CN"/>
                    </w:rPr>
                    <w:t>44</w:t>
                  </w:r>
                </w:p>
              </w:tc>
              <w:tc>
                <w:tcPr>
                  <w:tcW w:w="652" w:type="pct"/>
                  <w:tcBorders>
                    <w:tl2br w:val="nil"/>
                    <w:tr2bl w:val="nil"/>
                  </w:tcBorders>
                  <w:vAlign w:val="center"/>
                </w:tcPr>
                <w:p w14:paraId="762CE43B">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200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1ED77881">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055EA8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9546BA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E93DD1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tcBorders>
                    <w:tl2br w:val="nil"/>
                    <w:tr2bl w:val="nil"/>
                  </w:tcBorders>
                  <w:vAlign w:val="center"/>
                </w:tcPr>
                <w:p w14:paraId="08F14385">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3830FF0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922413</w:t>
                  </w:r>
                </w:p>
              </w:tc>
              <w:tc>
                <w:tcPr>
                  <w:tcW w:w="631" w:type="pct"/>
                  <w:tcBorders>
                    <w:tl2br w:val="nil"/>
                    <w:tr2bl w:val="nil"/>
                  </w:tcBorders>
                  <w:vAlign w:val="center"/>
                </w:tcPr>
                <w:p w14:paraId="1F36F9C5">
                  <w:pPr>
                    <w:widowControl w:val="0"/>
                    <w:autoSpaceDE w:val="0"/>
                    <w:autoSpaceDN w:val="0"/>
                    <w:spacing w:line="240" w:lineRule="auto"/>
                    <w:ind w:firstLine="0" w:firstLineChars="0"/>
                    <w:jc w:val="center"/>
                    <w:rPr>
                      <w:rFonts w:hint="eastAsia"/>
                      <w:spacing w:val="-4"/>
                      <w:sz w:val="21"/>
                      <w:szCs w:val="21"/>
                      <w:u w:val="none"/>
                    </w:rPr>
                  </w:pPr>
                  <w:r>
                    <w:rPr>
                      <w:rFonts w:hint="eastAsia"/>
                      <w:spacing w:val="-5"/>
                      <w:sz w:val="21"/>
                      <w:szCs w:val="21"/>
                      <w:u w:val="none"/>
                      <w:lang w:val="en-US" w:eastAsia="zh-CN"/>
                    </w:rPr>
                    <w:t>859664</w:t>
                  </w:r>
                </w:p>
              </w:tc>
              <w:tc>
                <w:tcPr>
                  <w:tcW w:w="646" w:type="pct"/>
                  <w:tcBorders>
                    <w:tl2br w:val="nil"/>
                    <w:tr2bl w:val="nil"/>
                  </w:tcBorders>
                  <w:vAlign w:val="center"/>
                </w:tcPr>
                <w:p w14:paraId="790C6C66">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862949</w:t>
                  </w:r>
                </w:p>
              </w:tc>
              <w:tc>
                <w:tcPr>
                  <w:tcW w:w="652" w:type="pct"/>
                  <w:tcBorders>
                    <w:tl2br w:val="nil"/>
                    <w:tr2bl w:val="nil"/>
                  </w:tcBorders>
                  <w:vAlign w:val="center"/>
                </w:tcPr>
                <w:p w14:paraId="7D40461B">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285789BF">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7AE36D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6A0F82C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0A54C0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tcBorders>
                    <w:tl2br w:val="nil"/>
                    <w:tr2bl w:val="nil"/>
                  </w:tcBorders>
                  <w:vAlign w:val="center"/>
                </w:tcPr>
                <w:p w14:paraId="7E35F137">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氧含量</w:t>
                  </w:r>
                </w:p>
              </w:tc>
              <w:tc>
                <w:tcPr>
                  <w:tcW w:w="582" w:type="pct"/>
                  <w:tcBorders>
                    <w:tl2br w:val="nil"/>
                    <w:tr2bl w:val="nil"/>
                  </w:tcBorders>
                  <w:vAlign w:val="center"/>
                </w:tcPr>
                <w:p w14:paraId="091FAD88">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8.3</w:t>
                  </w:r>
                </w:p>
              </w:tc>
              <w:tc>
                <w:tcPr>
                  <w:tcW w:w="631" w:type="pct"/>
                  <w:tcBorders>
                    <w:tl2br w:val="nil"/>
                    <w:tr2bl w:val="nil"/>
                  </w:tcBorders>
                  <w:vAlign w:val="center"/>
                </w:tcPr>
                <w:p w14:paraId="50917C12">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7.9</w:t>
                  </w:r>
                </w:p>
              </w:tc>
              <w:tc>
                <w:tcPr>
                  <w:tcW w:w="646" w:type="pct"/>
                  <w:tcBorders>
                    <w:tl2br w:val="nil"/>
                    <w:tr2bl w:val="nil"/>
                  </w:tcBorders>
                  <w:vAlign w:val="center"/>
                </w:tcPr>
                <w:p w14:paraId="3B4ACEAC">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8.2</w:t>
                  </w:r>
                </w:p>
              </w:tc>
              <w:tc>
                <w:tcPr>
                  <w:tcW w:w="652" w:type="pct"/>
                  <w:tcBorders>
                    <w:tl2br w:val="nil"/>
                    <w:tr2bl w:val="nil"/>
                  </w:tcBorders>
                  <w:vAlign w:val="center"/>
                </w:tcPr>
                <w:p w14:paraId="5AA9612E">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0FFA135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2158B4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8B3855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EFD2E8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restart"/>
                  <w:tcBorders>
                    <w:tl2br w:val="nil"/>
                    <w:tr2bl w:val="nil"/>
                  </w:tcBorders>
                  <w:vAlign w:val="center"/>
                </w:tcPr>
                <w:p w14:paraId="718AE0F0">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hint="eastAsia" w:ascii="Times New Roman" w:hAnsi="Times New Roman" w:cs="Times New Roman"/>
                      <w:sz w:val="21"/>
                      <w:szCs w:val="21"/>
                      <w:u w:val="none"/>
                      <w:lang w:val="en-US" w:eastAsia="zh-CN"/>
                    </w:rPr>
                    <w:t>汞及其化合物</w:t>
                  </w:r>
                </w:p>
              </w:tc>
              <w:tc>
                <w:tcPr>
                  <w:tcW w:w="608" w:type="pct"/>
                  <w:tcBorders>
                    <w:tl2br w:val="nil"/>
                    <w:tr2bl w:val="nil"/>
                  </w:tcBorders>
                  <w:vAlign w:val="center"/>
                </w:tcPr>
                <w:p w14:paraId="433E5CE4">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244CAA0B">
                  <w:pPr>
                    <w:widowControl w:val="0"/>
                    <w:autoSpaceDE w:val="0"/>
                    <w:autoSpaceDN w:val="0"/>
                    <w:spacing w:line="240" w:lineRule="auto"/>
                    <w:ind w:firstLine="0" w:firstLineChars="0"/>
                    <w:jc w:val="center"/>
                    <w:rPr>
                      <w:rFonts w:hint="eastAsia"/>
                      <w:spacing w:val="-2"/>
                      <w:sz w:val="21"/>
                      <w:szCs w:val="21"/>
                      <w:u w:val="none"/>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39A29081">
                  <w:pPr>
                    <w:widowControl w:val="0"/>
                    <w:autoSpaceDE w:val="0"/>
                    <w:autoSpaceDN w:val="0"/>
                    <w:spacing w:line="240" w:lineRule="auto"/>
                    <w:ind w:firstLine="0" w:firstLineChars="0"/>
                    <w:jc w:val="center"/>
                    <w:rPr>
                      <w:rFonts w:hint="eastAsia"/>
                      <w:spacing w:val="-4"/>
                      <w:sz w:val="21"/>
                      <w:szCs w:val="21"/>
                      <w:u w:val="none"/>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784FCC49">
                  <w:pPr>
                    <w:widowControl w:val="0"/>
                    <w:autoSpaceDE w:val="0"/>
                    <w:autoSpaceDN w:val="0"/>
                    <w:spacing w:line="240" w:lineRule="auto"/>
                    <w:ind w:firstLine="0" w:firstLineChars="0"/>
                    <w:jc w:val="center"/>
                    <w:rPr>
                      <w:rFonts w:hint="eastAsia"/>
                      <w:spacing w:val="-5"/>
                      <w:sz w:val="21"/>
                      <w:szCs w:val="21"/>
                      <w:u w:val="none"/>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2C6676B0">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450BCA0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5C88AD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25034C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12A280D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continue"/>
                  <w:tcBorders>
                    <w:tl2br w:val="nil"/>
                    <w:tr2bl w:val="nil"/>
                  </w:tcBorders>
                  <w:vAlign w:val="center"/>
                </w:tcPr>
                <w:p w14:paraId="6BAA5874">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p>
              </w:tc>
              <w:tc>
                <w:tcPr>
                  <w:tcW w:w="608" w:type="pct"/>
                  <w:tcBorders>
                    <w:tl2br w:val="nil"/>
                    <w:tr2bl w:val="nil"/>
                  </w:tcBorders>
                  <w:vAlign w:val="center"/>
                </w:tcPr>
                <w:p w14:paraId="6715C9E2">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2D5F92E4">
                  <w:pPr>
                    <w:widowControl w:val="0"/>
                    <w:autoSpaceDE w:val="0"/>
                    <w:autoSpaceDN w:val="0"/>
                    <w:spacing w:line="240" w:lineRule="auto"/>
                    <w:ind w:firstLine="0" w:firstLineChars="0"/>
                    <w:jc w:val="center"/>
                    <w:rPr>
                      <w:rFonts w:hint="eastAsia"/>
                      <w:spacing w:val="-2"/>
                      <w:sz w:val="21"/>
                      <w:szCs w:val="21"/>
                      <w:u w:val="none"/>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3B0A693C">
                  <w:pPr>
                    <w:widowControl w:val="0"/>
                    <w:autoSpaceDE w:val="0"/>
                    <w:autoSpaceDN w:val="0"/>
                    <w:spacing w:line="240" w:lineRule="auto"/>
                    <w:ind w:firstLine="0" w:firstLineChars="0"/>
                    <w:jc w:val="center"/>
                    <w:rPr>
                      <w:rFonts w:hint="eastAsia"/>
                      <w:spacing w:val="-4"/>
                      <w:sz w:val="21"/>
                      <w:szCs w:val="21"/>
                      <w:u w:val="none"/>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6A427F6E">
                  <w:pPr>
                    <w:widowControl w:val="0"/>
                    <w:autoSpaceDE w:val="0"/>
                    <w:autoSpaceDN w:val="0"/>
                    <w:spacing w:line="240" w:lineRule="auto"/>
                    <w:ind w:firstLine="0" w:firstLineChars="0"/>
                    <w:jc w:val="center"/>
                    <w:rPr>
                      <w:rFonts w:hint="eastAsia"/>
                      <w:spacing w:val="-5"/>
                      <w:sz w:val="21"/>
                      <w:szCs w:val="21"/>
                      <w:u w:val="none"/>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58AF8295">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0.03</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1884D9D">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259ED4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19E67965">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2025.04.17</w:t>
                  </w:r>
                </w:p>
              </w:tc>
              <w:tc>
                <w:tcPr>
                  <w:tcW w:w="522" w:type="pct"/>
                  <w:vMerge w:val="restart"/>
                  <w:tcBorders>
                    <w:tl2br w:val="nil"/>
                    <w:tr2bl w:val="nil"/>
                  </w:tcBorders>
                  <w:vAlign w:val="center"/>
                </w:tcPr>
                <w:p w14:paraId="6DC8661F">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lang w:val="en-US" w:eastAsia="zh-CN"/>
                    </w:rPr>
                  </w:pPr>
                  <w:r>
                    <w:rPr>
                      <w:rFonts w:hint="eastAsia"/>
                      <w:snapToGrid w:val="0"/>
                      <w:color w:val="000000"/>
                      <w:kern w:val="0"/>
                      <w:sz w:val="21"/>
                      <w:szCs w:val="21"/>
                      <w:u w:val="none"/>
                      <w:lang w:val="en-US" w:eastAsia="zh-CN"/>
                    </w:rPr>
                    <w:t>4#机组总排口</w:t>
                  </w:r>
                </w:p>
                <w:p w14:paraId="24ADEAD4">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DA003</w:t>
                  </w:r>
                </w:p>
              </w:tc>
              <w:tc>
                <w:tcPr>
                  <w:tcW w:w="1215" w:type="pct"/>
                  <w:gridSpan w:val="2"/>
                  <w:tcBorders>
                    <w:tl2br w:val="nil"/>
                    <w:tr2bl w:val="nil"/>
                  </w:tcBorders>
                  <w:vAlign w:val="center"/>
                </w:tcPr>
                <w:p w14:paraId="3C029DBC">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4B6A137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813609</w:t>
                  </w:r>
                </w:p>
              </w:tc>
              <w:tc>
                <w:tcPr>
                  <w:tcW w:w="631" w:type="pct"/>
                  <w:tcBorders>
                    <w:tl2br w:val="nil"/>
                    <w:tr2bl w:val="nil"/>
                  </w:tcBorders>
                  <w:vAlign w:val="center"/>
                </w:tcPr>
                <w:p w14:paraId="3F7A3BE3">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803166</w:t>
                  </w:r>
                </w:p>
              </w:tc>
              <w:tc>
                <w:tcPr>
                  <w:tcW w:w="646" w:type="pct"/>
                  <w:tcBorders>
                    <w:tl2br w:val="nil"/>
                    <w:tr2bl w:val="nil"/>
                  </w:tcBorders>
                  <w:vAlign w:val="center"/>
                </w:tcPr>
                <w:p w14:paraId="4F584403">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823161</w:t>
                  </w:r>
                </w:p>
              </w:tc>
              <w:tc>
                <w:tcPr>
                  <w:tcW w:w="652" w:type="pct"/>
                  <w:tcBorders>
                    <w:tl2br w:val="nil"/>
                    <w:tr2bl w:val="nil"/>
                  </w:tcBorders>
                  <w:vAlign w:val="center"/>
                </w:tcPr>
                <w:p w14:paraId="08360B0C">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1C528AA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0C05A4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95D7B9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725C65D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5DBAE1B5">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5"/>
                      <w:sz w:val="21"/>
                      <w:szCs w:val="21"/>
                      <w:u w:val="none"/>
                      <w:lang w:eastAsia="zh-CN"/>
                    </w:rPr>
                    <w:t>烟气</w:t>
                  </w:r>
                  <w:r>
                    <w:rPr>
                      <w:rFonts w:ascii="Times New Roman" w:hAnsi="Times New Roman" w:cs="Times New Roman"/>
                      <w:spacing w:val="4"/>
                      <w:sz w:val="21"/>
                      <w:szCs w:val="21"/>
                      <w:u w:val="none"/>
                    </w:rPr>
                    <w:t>流速</w:t>
                  </w:r>
                  <w:r>
                    <w:rPr>
                      <w:rFonts w:ascii="Times New Roman" w:hAnsi="Times New Roman" w:cs="Times New Roman"/>
                      <w:spacing w:val="4"/>
                      <w:sz w:val="21"/>
                      <w:szCs w:val="21"/>
                      <w:u w:val="none"/>
                      <w:lang w:eastAsia="zh-CN"/>
                    </w:rPr>
                    <w:t>（m/s）</w:t>
                  </w:r>
                </w:p>
              </w:tc>
              <w:tc>
                <w:tcPr>
                  <w:tcW w:w="582" w:type="pct"/>
                  <w:tcBorders>
                    <w:tl2br w:val="nil"/>
                    <w:tr2bl w:val="nil"/>
                  </w:tcBorders>
                  <w:vAlign w:val="center"/>
                </w:tcPr>
                <w:p w14:paraId="6571D46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11.0</w:t>
                  </w:r>
                </w:p>
              </w:tc>
              <w:tc>
                <w:tcPr>
                  <w:tcW w:w="631" w:type="pct"/>
                  <w:tcBorders>
                    <w:tl2br w:val="nil"/>
                    <w:tr2bl w:val="nil"/>
                  </w:tcBorders>
                  <w:vAlign w:val="center"/>
                </w:tcPr>
                <w:p w14:paraId="5AEEC36B">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10.3</w:t>
                  </w:r>
                </w:p>
              </w:tc>
              <w:tc>
                <w:tcPr>
                  <w:tcW w:w="646" w:type="pct"/>
                  <w:tcBorders>
                    <w:tl2br w:val="nil"/>
                    <w:tr2bl w:val="nil"/>
                  </w:tcBorders>
                  <w:vAlign w:val="center"/>
                </w:tcPr>
                <w:p w14:paraId="14CBC2B4">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10.0</w:t>
                  </w:r>
                </w:p>
              </w:tc>
              <w:tc>
                <w:tcPr>
                  <w:tcW w:w="652" w:type="pct"/>
                  <w:tcBorders>
                    <w:tl2br w:val="nil"/>
                    <w:tr2bl w:val="nil"/>
                  </w:tcBorders>
                  <w:vAlign w:val="center"/>
                </w:tcPr>
                <w:p w14:paraId="67F93D45">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5FB05DA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02A396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AAED9E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0EADFC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6D97427C">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z w:val="21"/>
                      <w:szCs w:val="21"/>
                      <w:u w:val="none"/>
                      <w:lang w:val="en-US" w:eastAsia="zh-CN"/>
                    </w:rPr>
                    <w:t>低浓度颗粒物</w:t>
                  </w:r>
                </w:p>
              </w:tc>
              <w:tc>
                <w:tcPr>
                  <w:tcW w:w="608" w:type="pct"/>
                  <w:tcBorders>
                    <w:tl2br w:val="nil"/>
                    <w:tr2bl w:val="nil"/>
                  </w:tcBorders>
                  <w:vAlign w:val="center"/>
                </w:tcPr>
                <w:p w14:paraId="5EDE788B">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17C3631C">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4.0</w:t>
                  </w:r>
                </w:p>
              </w:tc>
              <w:tc>
                <w:tcPr>
                  <w:tcW w:w="631" w:type="pct"/>
                  <w:tcBorders>
                    <w:tl2br w:val="nil"/>
                    <w:tr2bl w:val="nil"/>
                  </w:tcBorders>
                  <w:vAlign w:val="center"/>
                </w:tcPr>
                <w:p w14:paraId="3DBDF141">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3.4</w:t>
                  </w:r>
                </w:p>
              </w:tc>
              <w:tc>
                <w:tcPr>
                  <w:tcW w:w="646" w:type="pct"/>
                  <w:tcBorders>
                    <w:tl2br w:val="nil"/>
                    <w:tr2bl w:val="nil"/>
                  </w:tcBorders>
                  <w:vAlign w:val="center"/>
                </w:tcPr>
                <w:p w14:paraId="3ADD1A6A">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3.2</w:t>
                  </w:r>
                </w:p>
              </w:tc>
              <w:tc>
                <w:tcPr>
                  <w:tcW w:w="652" w:type="pct"/>
                  <w:tcBorders>
                    <w:tl2br w:val="nil"/>
                    <w:tr2bl w:val="nil"/>
                  </w:tcBorders>
                  <w:vAlign w:val="center"/>
                </w:tcPr>
                <w:p w14:paraId="4F4B1924">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w:t>
                  </w:r>
                </w:p>
              </w:tc>
              <w:tc>
                <w:tcPr>
                  <w:tcW w:w="399" w:type="pct"/>
                  <w:tcBorders>
                    <w:tl2br w:val="nil"/>
                    <w:tr2bl w:val="nil"/>
                  </w:tcBorders>
                  <w:vAlign w:val="center"/>
                </w:tcPr>
                <w:p w14:paraId="0F10629B">
                  <w:pPr>
                    <w:widowControl w:val="0"/>
                    <w:autoSpaceDE w:val="0"/>
                    <w:autoSpaceDN w:val="0"/>
                    <w:spacing w:line="240" w:lineRule="auto"/>
                    <w:ind w:firstLine="0" w:firstLineChars="0"/>
                    <w:jc w:val="center"/>
                    <w:rPr>
                      <w:snapToGrid w:val="0"/>
                      <w:color w:val="000000"/>
                      <w:spacing w:val="2"/>
                      <w:kern w:val="0"/>
                      <w:sz w:val="21"/>
                      <w:szCs w:val="21"/>
                      <w:u w:val="none"/>
                    </w:rPr>
                  </w:pPr>
                  <w:r>
                    <w:rPr>
                      <w:rFonts w:hint="eastAsia" w:eastAsia="宋体"/>
                      <w:spacing w:val="2"/>
                      <w:sz w:val="21"/>
                      <w:szCs w:val="21"/>
                      <w:u w:val="none"/>
                      <w:lang w:val="en-US" w:eastAsia="zh-CN"/>
                    </w:rPr>
                    <w:t>-</w:t>
                  </w:r>
                </w:p>
              </w:tc>
            </w:tr>
            <w:tr w14:paraId="76A856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8D901F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182CDEF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0C7159E2">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7391EB85">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400544E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6.0</w:t>
                  </w:r>
                </w:p>
              </w:tc>
              <w:tc>
                <w:tcPr>
                  <w:tcW w:w="631" w:type="pct"/>
                  <w:tcBorders>
                    <w:tl2br w:val="nil"/>
                    <w:tr2bl w:val="nil"/>
                  </w:tcBorders>
                  <w:vAlign w:val="center"/>
                </w:tcPr>
                <w:p w14:paraId="253127DD">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4.8</w:t>
                  </w:r>
                </w:p>
              </w:tc>
              <w:tc>
                <w:tcPr>
                  <w:tcW w:w="646" w:type="pct"/>
                  <w:tcBorders>
                    <w:tl2br w:val="nil"/>
                    <w:tr2bl w:val="nil"/>
                  </w:tcBorders>
                  <w:vAlign w:val="center"/>
                </w:tcPr>
                <w:p w14:paraId="69D309DF">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4.4</w:t>
                  </w:r>
                </w:p>
              </w:tc>
              <w:tc>
                <w:tcPr>
                  <w:tcW w:w="652" w:type="pct"/>
                  <w:tcBorders>
                    <w:tl2br w:val="nil"/>
                    <w:tr2bl w:val="nil"/>
                  </w:tcBorders>
                  <w:vAlign w:val="center"/>
                </w:tcPr>
                <w:p w14:paraId="602E9FE1">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30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7B85BD8">
                  <w:pPr>
                    <w:widowControl w:val="0"/>
                    <w:autoSpaceDE w:val="0"/>
                    <w:autoSpaceDN w:val="0"/>
                    <w:spacing w:line="240" w:lineRule="auto"/>
                    <w:ind w:firstLine="0" w:firstLineChars="0"/>
                    <w:jc w:val="center"/>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1DB5B9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31A588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14C3C61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0209060B">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2F39814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813609</w:t>
                  </w:r>
                </w:p>
              </w:tc>
              <w:tc>
                <w:tcPr>
                  <w:tcW w:w="631" w:type="pct"/>
                  <w:tcBorders>
                    <w:tl2br w:val="nil"/>
                    <w:tr2bl w:val="nil"/>
                  </w:tcBorders>
                  <w:vAlign w:val="center"/>
                </w:tcPr>
                <w:p w14:paraId="4C20695D">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803166</w:t>
                  </w:r>
                </w:p>
              </w:tc>
              <w:tc>
                <w:tcPr>
                  <w:tcW w:w="646" w:type="pct"/>
                  <w:tcBorders>
                    <w:tl2br w:val="nil"/>
                    <w:tr2bl w:val="nil"/>
                  </w:tcBorders>
                  <w:vAlign w:val="center"/>
                </w:tcPr>
                <w:p w14:paraId="127701F5">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823161</w:t>
                  </w:r>
                </w:p>
              </w:tc>
              <w:tc>
                <w:tcPr>
                  <w:tcW w:w="652" w:type="pct"/>
                  <w:tcBorders>
                    <w:tl2br w:val="nil"/>
                    <w:tr2bl w:val="nil"/>
                  </w:tcBorders>
                  <w:vAlign w:val="center"/>
                </w:tcPr>
                <w:p w14:paraId="7A92E06D">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6FB8C04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4CB55B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F8B6C7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2CD16C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310E8E44">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氧含量</w:t>
                  </w:r>
                  <w:r>
                    <w:rPr>
                      <w:rFonts w:ascii="Times New Roman" w:hAnsi="Times New Roman" w:cs="Times New Roman"/>
                      <w:spacing w:val="4"/>
                      <w:sz w:val="21"/>
                      <w:szCs w:val="21"/>
                      <w:u w:val="none"/>
                      <w:lang w:eastAsia="zh-CN"/>
                    </w:rPr>
                    <w:t>（</w:t>
                  </w:r>
                  <w:r>
                    <w:rPr>
                      <w:rFonts w:hint="eastAsia" w:ascii="Times New Roman" w:hAnsi="Times New Roman" w:cs="Times New Roman"/>
                      <w:spacing w:val="4"/>
                      <w:sz w:val="21"/>
                      <w:szCs w:val="21"/>
                      <w:u w:val="none"/>
                      <w:lang w:val="en-US" w:eastAsia="zh-CN"/>
                    </w:rPr>
                    <w:t>%</w:t>
                  </w:r>
                  <w:r>
                    <w:rPr>
                      <w:rFonts w:ascii="Times New Roman" w:hAnsi="Times New Roman" w:cs="Times New Roman"/>
                      <w:spacing w:val="4"/>
                      <w:sz w:val="21"/>
                      <w:szCs w:val="21"/>
                      <w:u w:val="none"/>
                      <w:lang w:eastAsia="zh-CN"/>
                    </w:rPr>
                    <w:t>）</w:t>
                  </w:r>
                </w:p>
              </w:tc>
              <w:tc>
                <w:tcPr>
                  <w:tcW w:w="582" w:type="pct"/>
                  <w:tcBorders>
                    <w:tl2br w:val="nil"/>
                    <w:tr2bl w:val="nil"/>
                  </w:tcBorders>
                  <w:shd w:val="clear" w:color="auto" w:fill="auto"/>
                  <w:vAlign w:val="center"/>
                </w:tcPr>
                <w:p w14:paraId="1674A02C">
                  <w:pPr>
                    <w:widowControl w:val="0"/>
                    <w:autoSpaceDE w:val="0"/>
                    <w:autoSpaceDN w:val="0"/>
                    <w:spacing w:line="240" w:lineRule="auto"/>
                    <w:ind w:firstLine="0" w:firstLineChars="0"/>
                    <w:jc w:val="center"/>
                    <w:rPr>
                      <w:rFonts w:hint="default" w:ascii="Times New Roman" w:hAnsi="Times New Roman" w:eastAsia="宋体" w:cs="Times New Roman"/>
                      <w:spacing w:val="-2"/>
                      <w:sz w:val="21"/>
                      <w:szCs w:val="21"/>
                      <w:u w:val="none"/>
                      <w:lang w:val="en-US" w:eastAsia="zh-CN" w:bidi="ar-SA"/>
                    </w:rPr>
                  </w:pPr>
                  <w:r>
                    <w:rPr>
                      <w:rFonts w:hint="eastAsia"/>
                      <w:spacing w:val="-2"/>
                      <w:sz w:val="21"/>
                      <w:szCs w:val="21"/>
                      <w:u w:val="none"/>
                      <w:lang w:val="en-US" w:eastAsia="zh-CN"/>
                    </w:rPr>
                    <w:t>11.0</w:t>
                  </w:r>
                </w:p>
              </w:tc>
              <w:tc>
                <w:tcPr>
                  <w:tcW w:w="631" w:type="pct"/>
                  <w:tcBorders>
                    <w:tl2br w:val="nil"/>
                    <w:tr2bl w:val="nil"/>
                  </w:tcBorders>
                  <w:shd w:val="clear" w:color="auto" w:fill="auto"/>
                  <w:vAlign w:val="center"/>
                </w:tcPr>
                <w:p w14:paraId="133166D1">
                  <w:pPr>
                    <w:widowControl w:val="0"/>
                    <w:autoSpaceDE w:val="0"/>
                    <w:autoSpaceDN w:val="0"/>
                    <w:spacing w:line="240" w:lineRule="auto"/>
                    <w:ind w:firstLine="0" w:firstLineChars="0"/>
                    <w:jc w:val="center"/>
                    <w:rPr>
                      <w:rFonts w:hint="default" w:ascii="Times New Roman" w:hAnsi="Times New Roman" w:eastAsia="宋体" w:cs="Times New Roman"/>
                      <w:spacing w:val="-4"/>
                      <w:sz w:val="21"/>
                      <w:szCs w:val="21"/>
                      <w:u w:val="none"/>
                      <w:lang w:val="en-US" w:eastAsia="zh-CN" w:bidi="ar-SA"/>
                    </w:rPr>
                  </w:pPr>
                  <w:r>
                    <w:rPr>
                      <w:rFonts w:hint="eastAsia"/>
                      <w:spacing w:val="-4"/>
                      <w:sz w:val="21"/>
                      <w:szCs w:val="21"/>
                      <w:u w:val="none"/>
                      <w:lang w:val="en-US" w:eastAsia="zh-CN"/>
                    </w:rPr>
                    <w:t>10.3</w:t>
                  </w:r>
                </w:p>
              </w:tc>
              <w:tc>
                <w:tcPr>
                  <w:tcW w:w="646" w:type="pct"/>
                  <w:tcBorders>
                    <w:tl2br w:val="nil"/>
                    <w:tr2bl w:val="nil"/>
                  </w:tcBorders>
                  <w:shd w:val="clear" w:color="auto" w:fill="auto"/>
                  <w:vAlign w:val="center"/>
                </w:tcPr>
                <w:p w14:paraId="6942278E">
                  <w:pPr>
                    <w:widowControl w:val="0"/>
                    <w:autoSpaceDE w:val="0"/>
                    <w:autoSpaceDN w:val="0"/>
                    <w:spacing w:line="240" w:lineRule="auto"/>
                    <w:ind w:firstLine="0" w:firstLineChars="0"/>
                    <w:jc w:val="center"/>
                    <w:rPr>
                      <w:rFonts w:hint="default" w:ascii="Times New Roman" w:hAnsi="Times New Roman" w:eastAsia="宋体" w:cs="Times New Roman"/>
                      <w:spacing w:val="-5"/>
                      <w:sz w:val="21"/>
                      <w:szCs w:val="21"/>
                      <w:u w:val="none"/>
                      <w:lang w:val="en-US" w:eastAsia="zh-CN" w:bidi="ar-SA"/>
                    </w:rPr>
                  </w:pPr>
                  <w:r>
                    <w:rPr>
                      <w:rFonts w:hint="eastAsia"/>
                      <w:spacing w:val="-5"/>
                      <w:sz w:val="21"/>
                      <w:szCs w:val="21"/>
                      <w:u w:val="none"/>
                      <w:lang w:val="en-US" w:eastAsia="zh-CN"/>
                    </w:rPr>
                    <w:t>10.0</w:t>
                  </w:r>
                </w:p>
              </w:tc>
              <w:tc>
                <w:tcPr>
                  <w:tcW w:w="652" w:type="pct"/>
                  <w:tcBorders>
                    <w:tl2br w:val="nil"/>
                    <w:tr2bl w:val="nil"/>
                  </w:tcBorders>
                  <w:vAlign w:val="center"/>
                </w:tcPr>
                <w:p w14:paraId="29F4654E">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1FDF185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1D44F3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6476E50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403DDD3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205B86DB">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3"/>
                      <w:sz w:val="21"/>
                      <w:szCs w:val="21"/>
                      <w:u w:val="none"/>
                      <w:lang w:val="en-US" w:eastAsia="zh-CN"/>
                    </w:rPr>
                    <w:t>二氧化硫</w:t>
                  </w:r>
                </w:p>
              </w:tc>
              <w:tc>
                <w:tcPr>
                  <w:tcW w:w="608" w:type="pct"/>
                  <w:tcBorders>
                    <w:tl2br w:val="nil"/>
                    <w:tr2bl w:val="nil"/>
                  </w:tcBorders>
                  <w:vAlign w:val="center"/>
                </w:tcPr>
                <w:p w14:paraId="7251422B">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326457D2">
                  <w:pPr>
                    <w:widowControl w:val="0"/>
                    <w:autoSpaceDE w:val="0"/>
                    <w:autoSpaceDN w:val="0"/>
                    <w:spacing w:line="240" w:lineRule="auto"/>
                    <w:ind w:firstLine="0" w:firstLineChars="0"/>
                    <w:jc w:val="center"/>
                    <w:rPr>
                      <w:rFonts w:hint="eastAsia" w:eastAsia="宋体"/>
                      <w:spacing w:val="-2"/>
                      <w:sz w:val="21"/>
                      <w:szCs w:val="21"/>
                      <w:u w:val="none"/>
                      <w:lang w:val="en-US" w:eastAsia="zh-CN"/>
                    </w:rPr>
                  </w:pPr>
                  <w:r>
                    <w:rPr>
                      <w:rFonts w:hint="eastAsia"/>
                      <w:spacing w:val="-2"/>
                      <w:sz w:val="21"/>
                      <w:szCs w:val="21"/>
                      <w:u w:val="none"/>
                      <w:lang w:val="en-US" w:eastAsia="zh-CN"/>
                    </w:rPr>
                    <w:t>7</w:t>
                  </w:r>
                </w:p>
              </w:tc>
              <w:tc>
                <w:tcPr>
                  <w:tcW w:w="631" w:type="pct"/>
                  <w:tcBorders>
                    <w:tl2br w:val="nil"/>
                    <w:tr2bl w:val="nil"/>
                  </w:tcBorders>
                  <w:vAlign w:val="center"/>
                </w:tcPr>
                <w:p w14:paraId="4E89D1DB">
                  <w:pPr>
                    <w:widowControl w:val="0"/>
                    <w:autoSpaceDE w:val="0"/>
                    <w:autoSpaceDN w:val="0"/>
                    <w:spacing w:line="240" w:lineRule="auto"/>
                    <w:ind w:firstLine="0" w:firstLineChars="0"/>
                    <w:jc w:val="center"/>
                    <w:rPr>
                      <w:rFonts w:hint="eastAsia" w:eastAsia="宋体"/>
                      <w:spacing w:val="-4"/>
                      <w:sz w:val="21"/>
                      <w:szCs w:val="21"/>
                      <w:u w:val="none"/>
                      <w:lang w:val="en-US" w:eastAsia="zh-CN"/>
                    </w:rPr>
                  </w:pPr>
                  <w:r>
                    <w:rPr>
                      <w:rFonts w:hint="eastAsia"/>
                      <w:spacing w:val="-4"/>
                      <w:sz w:val="21"/>
                      <w:szCs w:val="21"/>
                      <w:u w:val="none"/>
                      <w:lang w:val="en-US" w:eastAsia="zh-CN"/>
                    </w:rPr>
                    <w:t>9</w:t>
                  </w:r>
                </w:p>
              </w:tc>
              <w:tc>
                <w:tcPr>
                  <w:tcW w:w="646" w:type="pct"/>
                  <w:tcBorders>
                    <w:tl2br w:val="nil"/>
                    <w:tr2bl w:val="nil"/>
                  </w:tcBorders>
                  <w:vAlign w:val="center"/>
                </w:tcPr>
                <w:p w14:paraId="18448BBD">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16</w:t>
                  </w:r>
                </w:p>
              </w:tc>
              <w:tc>
                <w:tcPr>
                  <w:tcW w:w="652" w:type="pct"/>
                  <w:tcBorders>
                    <w:tl2br w:val="nil"/>
                    <w:tr2bl w:val="nil"/>
                  </w:tcBorders>
                  <w:vAlign w:val="center"/>
                </w:tcPr>
                <w:p w14:paraId="18B18896">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6DD19B6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7ECF94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93796A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649CA81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68EA5A24">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01910FB8">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3514A3E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11</w:t>
                  </w:r>
                </w:p>
              </w:tc>
              <w:tc>
                <w:tcPr>
                  <w:tcW w:w="631" w:type="pct"/>
                  <w:tcBorders>
                    <w:tl2br w:val="nil"/>
                    <w:tr2bl w:val="nil"/>
                  </w:tcBorders>
                  <w:vAlign w:val="center"/>
                </w:tcPr>
                <w:p w14:paraId="73E03572">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13</w:t>
                  </w:r>
                </w:p>
              </w:tc>
              <w:tc>
                <w:tcPr>
                  <w:tcW w:w="646" w:type="pct"/>
                  <w:tcBorders>
                    <w:tl2br w:val="nil"/>
                    <w:tr2bl w:val="nil"/>
                  </w:tcBorders>
                  <w:vAlign w:val="center"/>
                </w:tcPr>
                <w:p w14:paraId="7B6F5706">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22</w:t>
                  </w:r>
                </w:p>
              </w:tc>
              <w:tc>
                <w:tcPr>
                  <w:tcW w:w="652" w:type="pct"/>
                  <w:tcBorders>
                    <w:tl2br w:val="nil"/>
                    <w:tr2bl w:val="nil"/>
                  </w:tcBorders>
                  <w:vAlign w:val="center"/>
                </w:tcPr>
                <w:p w14:paraId="796A8C78">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lang w:val="en-US" w:eastAsia="zh-CN"/>
                    </w:rPr>
                    <w:t>20</w:t>
                  </w:r>
                  <w:r>
                    <w:rPr>
                      <w:rFonts w:hint="eastAsia"/>
                      <w:snapToGrid w:val="0"/>
                      <w:color w:val="000000"/>
                      <w:spacing w:val="2"/>
                      <w:kern w:val="0"/>
                      <w:sz w:val="21"/>
                      <w:szCs w:val="21"/>
                      <w:u w:val="none"/>
                    </w:rPr>
                    <w:t>0mg/m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079BCB3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6D0A9C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C83FA4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6E259A8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33A74A46">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3"/>
                      <w:sz w:val="21"/>
                      <w:szCs w:val="21"/>
                      <w:u w:val="none"/>
                      <w:lang w:val="en-US" w:eastAsia="zh-CN"/>
                    </w:rPr>
                    <w:t>氮氧化物</w:t>
                  </w:r>
                </w:p>
              </w:tc>
              <w:tc>
                <w:tcPr>
                  <w:tcW w:w="608" w:type="pct"/>
                  <w:tcBorders>
                    <w:tl2br w:val="nil"/>
                    <w:tr2bl w:val="nil"/>
                  </w:tcBorders>
                  <w:vAlign w:val="center"/>
                </w:tcPr>
                <w:p w14:paraId="33D92FAE">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2E06EE4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28</w:t>
                  </w:r>
                </w:p>
              </w:tc>
              <w:tc>
                <w:tcPr>
                  <w:tcW w:w="631" w:type="pct"/>
                  <w:tcBorders>
                    <w:tl2br w:val="nil"/>
                    <w:tr2bl w:val="nil"/>
                  </w:tcBorders>
                  <w:vAlign w:val="center"/>
                </w:tcPr>
                <w:p w14:paraId="5AF0830B">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28</w:t>
                  </w:r>
                </w:p>
              </w:tc>
              <w:tc>
                <w:tcPr>
                  <w:tcW w:w="646" w:type="pct"/>
                  <w:tcBorders>
                    <w:tl2br w:val="nil"/>
                    <w:tr2bl w:val="nil"/>
                  </w:tcBorders>
                  <w:vAlign w:val="center"/>
                </w:tcPr>
                <w:p w14:paraId="57E027FE">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30</w:t>
                  </w:r>
                </w:p>
              </w:tc>
              <w:tc>
                <w:tcPr>
                  <w:tcW w:w="652" w:type="pct"/>
                  <w:tcBorders>
                    <w:tl2br w:val="nil"/>
                    <w:tr2bl w:val="nil"/>
                  </w:tcBorders>
                  <w:vAlign w:val="center"/>
                </w:tcPr>
                <w:p w14:paraId="4D6B23CC">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224931D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7B3483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B17B4E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67841AB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52010684">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0C63C65B">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6ABD40B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42</w:t>
                  </w:r>
                </w:p>
              </w:tc>
              <w:tc>
                <w:tcPr>
                  <w:tcW w:w="631" w:type="pct"/>
                  <w:tcBorders>
                    <w:tl2br w:val="nil"/>
                    <w:tr2bl w:val="nil"/>
                  </w:tcBorders>
                  <w:vAlign w:val="center"/>
                </w:tcPr>
                <w:p w14:paraId="79687409">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39</w:t>
                  </w:r>
                </w:p>
              </w:tc>
              <w:tc>
                <w:tcPr>
                  <w:tcW w:w="646" w:type="pct"/>
                  <w:tcBorders>
                    <w:tl2br w:val="nil"/>
                    <w:tr2bl w:val="nil"/>
                  </w:tcBorders>
                  <w:vAlign w:val="center"/>
                </w:tcPr>
                <w:p w14:paraId="37386904">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41</w:t>
                  </w:r>
                </w:p>
              </w:tc>
              <w:tc>
                <w:tcPr>
                  <w:tcW w:w="652" w:type="pct"/>
                  <w:tcBorders>
                    <w:tl2br w:val="nil"/>
                    <w:tr2bl w:val="nil"/>
                  </w:tcBorders>
                  <w:vAlign w:val="center"/>
                </w:tcPr>
                <w:p w14:paraId="0A21A017">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lang w:val="en-US" w:eastAsia="zh-CN"/>
                    </w:rPr>
                    <w:t>200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4707397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6AA4C0C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8A1622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523F4F4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583CE7A2">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338F1090">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817877</w:t>
                  </w:r>
                </w:p>
              </w:tc>
              <w:tc>
                <w:tcPr>
                  <w:tcW w:w="631" w:type="pct"/>
                  <w:tcBorders>
                    <w:tl2br w:val="nil"/>
                    <w:tr2bl w:val="nil"/>
                  </w:tcBorders>
                  <w:vAlign w:val="center"/>
                </w:tcPr>
                <w:p w14:paraId="127B2E92">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803528</w:t>
                  </w:r>
                </w:p>
              </w:tc>
              <w:tc>
                <w:tcPr>
                  <w:tcW w:w="646" w:type="pct"/>
                  <w:tcBorders>
                    <w:tl2br w:val="nil"/>
                    <w:tr2bl w:val="nil"/>
                  </w:tcBorders>
                  <w:vAlign w:val="center"/>
                </w:tcPr>
                <w:p w14:paraId="1AB64ABE">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847493</w:t>
                  </w:r>
                </w:p>
              </w:tc>
              <w:tc>
                <w:tcPr>
                  <w:tcW w:w="652" w:type="pct"/>
                  <w:tcBorders>
                    <w:tl2br w:val="nil"/>
                    <w:tr2bl w:val="nil"/>
                  </w:tcBorders>
                  <w:vAlign w:val="center"/>
                </w:tcPr>
                <w:p w14:paraId="5E5E1B3C">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5B47C02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0A4263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D84C69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79C2A9E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13120D02">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氧含量</w:t>
                  </w:r>
                </w:p>
              </w:tc>
              <w:tc>
                <w:tcPr>
                  <w:tcW w:w="582" w:type="pct"/>
                  <w:tcBorders>
                    <w:tl2br w:val="nil"/>
                    <w:tr2bl w:val="nil"/>
                  </w:tcBorders>
                  <w:vAlign w:val="center"/>
                </w:tcPr>
                <w:p w14:paraId="3689B2D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10.4</w:t>
                  </w:r>
                </w:p>
              </w:tc>
              <w:tc>
                <w:tcPr>
                  <w:tcW w:w="631" w:type="pct"/>
                  <w:tcBorders>
                    <w:tl2br w:val="nil"/>
                    <w:tr2bl w:val="nil"/>
                  </w:tcBorders>
                  <w:vAlign w:val="center"/>
                </w:tcPr>
                <w:p w14:paraId="5B9E7C8E">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10.2</w:t>
                  </w:r>
                </w:p>
              </w:tc>
              <w:tc>
                <w:tcPr>
                  <w:tcW w:w="646" w:type="pct"/>
                  <w:tcBorders>
                    <w:tl2br w:val="nil"/>
                    <w:tr2bl w:val="nil"/>
                  </w:tcBorders>
                  <w:vAlign w:val="center"/>
                </w:tcPr>
                <w:p w14:paraId="6A1D31FE">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10.1</w:t>
                  </w:r>
                </w:p>
              </w:tc>
              <w:tc>
                <w:tcPr>
                  <w:tcW w:w="652" w:type="pct"/>
                  <w:tcBorders>
                    <w:tl2br w:val="nil"/>
                    <w:tr2bl w:val="nil"/>
                  </w:tcBorders>
                  <w:vAlign w:val="center"/>
                </w:tcPr>
                <w:p w14:paraId="7D13D861">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7D60EBC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1C3940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CE4E9A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53E999C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16287CD7">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z w:val="21"/>
                      <w:szCs w:val="21"/>
                      <w:u w:val="none"/>
                      <w:lang w:val="en-US" w:eastAsia="zh-CN"/>
                    </w:rPr>
                    <w:t>汞及其化合物</w:t>
                  </w:r>
                </w:p>
              </w:tc>
              <w:tc>
                <w:tcPr>
                  <w:tcW w:w="608" w:type="pct"/>
                  <w:tcBorders>
                    <w:tl2br w:val="nil"/>
                    <w:tr2bl w:val="nil"/>
                  </w:tcBorders>
                  <w:vAlign w:val="center"/>
                </w:tcPr>
                <w:p w14:paraId="0363B901">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0E97F0A1">
                  <w:pPr>
                    <w:widowControl w:val="0"/>
                    <w:autoSpaceDE w:val="0"/>
                    <w:autoSpaceDN w:val="0"/>
                    <w:spacing w:line="240" w:lineRule="auto"/>
                    <w:ind w:firstLine="0" w:firstLineChars="0"/>
                    <w:jc w:val="center"/>
                    <w:rPr>
                      <w:rFonts w:hint="eastAsia"/>
                      <w:spacing w:val="-2"/>
                      <w:sz w:val="21"/>
                      <w:szCs w:val="21"/>
                      <w:u w:val="none"/>
                    </w:rPr>
                  </w:pPr>
                  <w:r>
                    <w:rPr>
                      <w:rFonts w:hint="eastAsia"/>
                      <w:spacing w:val="-3"/>
                      <w:sz w:val="21"/>
                      <w:szCs w:val="21"/>
                      <w:u w:val="none"/>
                      <w:lang w:val="en-US" w:eastAsia="zh-CN"/>
                    </w:rPr>
                    <w:t>1</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1B64C010">
                  <w:pPr>
                    <w:widowControl w:val="0"/>
                    <w:autoSpaceDE w:val="0"/>
                    <w:autoSpaceDN w:val="0"/>
                    <w:spacing w:line="240" w:lineRule="auto"/>
                    <w:ind w:firstLine="0" w:firstLineChars="0"/>
                    <w:jc w:val="center"/>
                    <w:rPr>
                      <w:rFonts w:hint="eastAsia"/>
                      <w:spacing w:val="-4"/>
                      <w:sz w:val="21"/>
                      <w:szCs w:val="21"/>
                      <w:u w:val="none"/>
                    </w:rPr>
                  </w:pPr>
                  <w:r>
                    <w:rPr>
                      <w:rFonts w:hint="eastAsia"/>
                      <w:spacing w:val="-3"/>
                      <w:sz w:val="21"/>
                      <w:szCs w:val="21"/>
                      <w:u w:val="none"/>
                      <w:lang w:val="en-US" w:eastAsia="zh-CN"/>
                    </w:rPr>
                    <w:t>1</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1BF6D6D7">
                  <w:pPr>
                    <w:widowControl w:val="0"/>
                    <w:autoSpaceDE w:val="0"/>
                    <w:autoSpaceDN w:val="0"/>
                    <w:spacing w:line="240" w:lineRule="auto"/>
                    <w:ind w:firstLine="0" w:firstLineChars="0"/>
                    <w:jc w:val="center"/>
                    <w:rPr>
                      <w:rFonts w:hint="eastAsia"/>
                      <w:spacing w:val="-5"/>
                      <w:sz w:val="21"/>
                      <w:szCs w:val="21"/>
                      <w:u w:val="none"/>
                    </w:rPr>
                  </w:pPr>
                  <w:r>
                    <w:rPr>
                      <w:rFonts w:hint="eastAsia"/>
                      <w:spacing w:val="-3"/>
                      <w:sz w:val="21"/>
                      <w:szCs w:val="21"/>
                      <w:u w:val="none"/>
                      <w:lang w:val="en-US" w:eastAsia="zh-CN"/>
                    </w:rPr>
                    <w:t>1</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4DFEFFE8">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3D2972A5">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7E8D45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2F0C4A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72C932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0C1E78F3">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354FD433">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6196C51E">
                  <w:pPr>
                    <w:widowControl w:val="0"/>
                    <w:autoSpaceDE w:val="0"/>
                    <w:autoSpaceDN w:val="0"/>
                    <w:spacing w:line="240" w:lineRule="auto"/>
                    <w:ind w:firstLine="0" w:firstLineChars="0"/>
                    <w:jc w:val="center"/>
                    <w:rPr>
                      <w:rFonts w:hint="eastAsia"/>
                      <w:spacing w:val="-2"/>
                      <w:sz w:val="21"/>
                      <w:szCs w:val="21"/>
                      <w:u w:val="none"/>
                    </w:rPr>
                  </w:pPr>
                  <w:r>
                    <w:rPr>
                      <w:rFonts w:hint="eastAsia"/>
                      <w:spacing w:val="-3"/>
                      <w:sz w:val="21"/>
                      <w:szCs w:val="21"/>
                      <w:u w:val="none"/>
                      <w:lang w:val="en-US" w:eastAsia="zh-CN"/>
                    </w:rPr>
                    <w:t>1</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4F421648">
                  <w:pPr>
                    <w:widowControl w:val="0"/>
                    <w:autoSpaceDE w:val="0"/>
                    <w:autoSpaceDN w:val="0"/>
                    <w:spacing w:line="240" w:lineRule="auto"/>
                    <w:ind w:firstLine="0" w:firstLineChars="0"/>
                    <w:jc w:val="center"/>
                    <w:rPr>
                      <w:rFonts w:hint="eastAsia"/>
                      <w:spacing w:val="-4"/>
                      <w:sz w:val="21"/>
                      <w:szCs w:val="21"/>
                      <w:u w:val="none"/>
                    </w:rPr>
                  </w:pPr>
                  <w:r>
                    <w:rPr>
                      <w:rFonts w:hint="eastAsia"/>
                      <w:spacing w:val="-3"/>
                      <w:sz w:val="21"/>
                      <w:szCs w:val="21"/>
                      <w:u w:val="none"/>
                      <w:lang w:val="en-US" w:eastAsia="zh-CN"/>
                    </w:rPr>
                    <w:t>1</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1147ACA8">
                  <w:pPr>
                    <w:widowControl w:val="0"/>
                    <w:autoSpaceDE w:val="0"/>
                    <w:autoSpaceDN w:val="0"/>
                    <w:spacing w:line="240" w:lineRule="auto"/>
                    <w:ind w:firstLine="0" w:firstLineChars="0"/>
                    <w:jc w:val="center"/>
                    <w:rPr>
                      <w:rFonts w:hint="eastAsia"/>
                      <w:spacing w:val="-5"/>
                      <w:sz w:val="21"/>
                      <w:szCs w:val="21"/>
                      <w:u w:val="none"/>
                    </w:rPr>
                  </w:pPr>
                  <w:r>
                    <w:rPr>
                      <w:rFonts w:hint="eastAsia"/>
                      <w:spacing w:val="-3"/>
                      <w:sz w:val="21"/>
                      <w:szCs w:val="21"/>
                      <w:u w:val="none"/>
                      <w:lang w:val="en-US" w:eastAsia="zh-CN"/>
                    </w:rPr>
                    <w:t>1</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6F40F72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0.03</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400E20F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6D4E5C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3E295B1F">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2025.04.19</w:t>
                  </w:r>
                </w:p>
              </w:tc>
              <w:tc>
                <w:tcPr>
                  <w:tcW w:w="522" w:type="pct"/>
                  <w:vMerge w:val="restart"/>
                  <w:tcBorders>
                    <w:tl2br w:val="nil"/>
                    <w:tr2bl w:val="nil"/>
                  </w:tcBorders>
                  <w:vAlign w:val="center"/>
                </w:tcPr>
                <w:p w14:paraId="00A3592B">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lang w:val="en-US" w:eastAsia="zh-CN"/>
                    </w:rPr>
                  </w:pPr>
                  <w:r>
                    <w:rPr>
                      <w:rFonts w:hint="eastAsia"/>
                      <w:snapToGrid w:val="0"/>
                      <w:color w:val="000000"/>
                      <w:kern w:val="0"/>
                      <w:sz w:val="21"/>
                      <w:szCs w:val="21"/>
                      <w:u w:val="none"/>
                      <w:lang w:val="en-US" w:eastAsia="zh-CN"/>
                    </w:rPr>
                    <w:t>5#机组总排口</w:t>
                  </w:r>
                </w:p>
                <w:p w14:paraId="0BBB75E0">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DA003</w:t>
                  </w:r>
                </w:p>
              </w:tc>
              <w:tc>
                <w:tcPr>
                  <w:tcW w:w="1215" w:type="pct"/>
                  <w:gridSpan w:val="2"/>
                  <w:tcBorders>
                    <w:tl2br w:val="nil"/>
                    <w:tr2bl w:val="nil"/>
                  </w:tcBorders>
                  <w:vAlign w:val="center"/>
                </w:tcPr>
                <w:p w14:paraId="10A077B9">
                  <w:pPr>
                    <w:pStyle w:val="392"/>
                    <w:keepNext w:val="0"/>
                    <w:keepLines w:val="0"/>
                    <w:pageBreakBefore w:val="0"/>
                    <w:widowControl/>
                    <w:kinsoku/>
                    <w:wordWrap/>
                    <w:overflowPunct/>
                    <w:topLinePunct w:val="0"/>
                    <w:autoSpaceDE/>
                    <w:autoSpaceDN/>
                    <w:bidi w:val="0"/>
                    <w:adjustRightInd/>
                    <w:snapToGrid/>
                    <w:spacing w:before="164" w:beforeLines="50" w:line="240" w:lineRule="auto"/>
                    <w:ind w:firstLine="0" w:firstLineChars="0"/>
                    <w:jc w:val="center"/>
                    <w:textAlignment w:val="auto"/>
                    <w:rPr>
                      <w:rFonts w:ascii="Times New Roman" w:hAnsi="Times New Roman" w:cs="Times New Roman"/>
                      <w:spacing w:val="5"/>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6ABB06AF">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2531338</w:t>
                  </w:r>
                </w:p>
              </w:tc>
              <w:tc>
                <w:tcPr>
                  <w:tcW w:w="631" w:type="pct"/>
                  <w:tcBorders>
                    <w:tl2br w:val="nil"/>
                    <w:tr2bl w:val="nil"/>
                  </w:tcBorders>
                  <w:vAlign w:val="center"/>
                </w:tcPr>
                <w:p w14:paraId="623FDE66">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2448002</w:t>
                  </w:r>
                </w:p>
              </w:tc>
              <w:tc>
                <w:tcPr>
                  <w:tcW w:w="646" w:type="pct"/>
                  <w:tcBorders>
                    <w:tl2br w:val="nil"/>
                    <w:tr2bl w:val="nil"/>
                  </w:tcBorders>
                  <w:vAlign w:val="center"/>
                </w:tcPr>
                <w:p w14:paraId="41E7B99D">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2410774</w:t>
                  </w:r>
                </w:p>
              </w:tc>
              <w:tc>
                <w:tcPr>
                  <w:tcW w:w="652" w:type="pct"/>
                  <w:tcBorders>
                    <w:tl2br w:val="nil"/>
                    <w:tr2bl w:val="nil"/>
                  </w:tcBorders>
                  <w:vAlign w:val="center"/>
                </w:tcPr>
                <w:p w14:paraId="0D06E46D">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607CDC0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7EC71B2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9E9499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6E8452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4DFDCFAA">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烟气</w:t>
                  </w:r>
                  <w:r>
                    <w:rPr>
                      <w:rFonts w:ascii="Times New Roman" w:hAnsi="Times New Roman" w:cs="Times New Roman"/>
                      <w:spacing w:val="4"/>
                      <w:sz w:val="21"/>
                      <w:szCs w:val="21"/>
                      <w:u w:val="none"/>
                    </w:rPr>
                    <w:t>流速</w:t>
                  </w:r>
                  <w:r>
                    <w:rPr>
                      <w:rFonts w:ascii="Times New Roman" w:hAnsi="Times New Roman" w:cs="Times New Roman"/>
                      <w:spacing w:val="4"/>
                      <w:sz w:val="21"/>
                      <w:szCs w:val="21"/>
                      <w:u w:val="none"/>
                      <w:lang w:eastAsia="zh-CN"/>
                    </w:rPr>
                    <w:t>（m/s）</w:t>
                  </w:r>
                </w:p>
              </w:tc>
              <w:tc>
                <w:tcPr>
                  <w:tcW w:w="582" w:type="pct"/>
                  <w:tcBorders>
                    <w:tl2br w:val="nil"/>
                    <w:tr2bl w:val="nil"/>
                  </w:tcBorders>
                  <w:vAlign w:val="center"/>
                </w:tcPr>
                <w:p w14:paraId="4BBA37E3">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6.6</w:t>
                  </w:r>
                </w:p>
              </w:tc>
              <w:tc>
                <w:tcPr>
                  <w:tcW w:w="631" w:type="pct"/>
                  <w:tcBorders>
                    <w:tl2br w:val="nil"/>
                    <w:tr2bl w:val="nil"/>
                  </w:tcBorders>
                  <w:vAlign w:val="center"/>
                </w:tcPr>
                <w:p w14:paraId="74C59725">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5.9</w:t>
                  </w:r>
                </w:p>
              </w:tc>
              <w:tc>
                <w:tcPr>
                  <w:tcW w:w="646" w:type="pct"/>
                  <w:tcBorders>
                    <w:tl2br w:val="nil"/>
                    <w:tr2bl w:val="nil"/>
                  </w:tcBorders>
                  <w:vAlign w:val="center"/>
                </w:tcPr>
                <w:p w14:paraId="6F3A2A06">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6.6</w:t>
                  </w:r>
                </w:p>
              </w:tc>
              <w:tc>
                <w:tcPr>
                  <w:tcW w:w="652" w:type="pct"/>
                  <w:tcBorders>
                    <w:tl2br w:val="nil"/>
                    <w:tr2bl w:val="nil"/>
                  </w:tcBorders>
                  <w:vAlign w:val="center"/>
                </w:tcPr>
                <w:p w14:paraId="600B1DF5">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15C3D3B3">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1AD099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DC96E2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63F162D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5A92256F">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z w:val="21"/>
                      <w:szCs w:val="21"/>
                      <w:u w:val="none"/>
                      <w:lang w:val="en-US" w:eastAsia="zh-CN"/>
                    </w:rPr>
                    <w:t>低浓度颗粒物</w:t>
                  </w:r>
                </w:p>
              </w:tc>
              <w:tc>
                <w:tcPr>
                  <w:tcW w:w="608" w:type="pct"/>
                  <w:tcBorders>
                    <w:tl2br w:val="nil"/>
                    <w:tr2bl w:val="nil"/>
                  </w:tcBorders>
                  <w:vAlign w:val="center"/>
                </w:tcPr>
                <w:p w14:paraId="0C579328">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540D9DB3">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3.8</w:t>
                  </w:r>
                </w:p>
              </w:tc>
              <w:tc>
                <w:tcPr>
                  <w:tcW w:w="631" w:type="pct"/>
                  <w:tcBorders>
                    <w:tl2br w:val="nil"/>
                    <w:tr2bl w:val="nil"/>
                  </w:tcBorders>
                  <w:vAlign w:val="center"/>
                </w:tcPr>
                <w:p w14:paraId="07AFBA85">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3.6</w:t>
                  </w:r>
                </w:p>
              </w:tc>
              <w:tc>
                <w:tcPr>
                  <w:tcW w:w="646" w:type="pct"/>
                  <w:tcBorders>
                    <w:tl2br w:val="nil"/>
                    <w:tr2bl w:val="nil"/>
                  </w:tcBorders>
                  <w:vAlign w:val="center"/>
                </w:tcPr>
                <w:p w14:paraId="53800683">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4.3</w:t>
                  </w:r>
                </w:p>
              </w:tc>
              <w:tc>
                <w:tcPr>
                  <w:tcW w:w="652" w:type="pct"/>
                  <w:tcBorders>
                    <w:tl2br w:val="nil"/>
                    <w:tr2bl w:val="nil"/>
                  </w:tcBorders>
                  <w:vAlign w:val="center"/>
                </w:tcPr>
                <w:p w14:paraId="6F1B48DE">
                  <w:pPr>
                    <w:widowControl w:val="0"/>
                    <w:autoSpaceDE w:val="0"/>
                    <w:autoSpaceDN w:val="0"/>
                    <w:spacing w:line="240" w:lineRule="auto"/>
                    <w:ind w:firstLine="0" w:firstLineChars="0"/>
                    <w:jc w:val="center"/>
                    <w:rPr>
                      <w:rFonts w:hint="eastAsia"/>
                      <w:snapToGrid w:val="0"/>
                      <w:color w:val="000000"/>
                      <w:kern w:val="0"/>
                      <w:sz w:val="21"/>
                      <w:szCs w:val="21"/>
                      <w:u w:val="none"/>
                    </w:rPr>
                  </w:pPr>
                  <w:r>
                    <w:rPr>
                      <w:rFonts w:hint="eastAsia"/>
                      <w:spacing w:val="2"/>
                      <w:sz w:val="21"/>
                      <w:szCs w:val="21"/>
                      <w:u w:val="none"/>
                      <w:lang w:val="en-US" w:eastAsia="zh-CN"/>
                    </w:rPr>
                    <w:t>-</w:t>
                  </w:r>
                </w:p>
              </w:tc>
              <w:tc>
                <w:tcPr>
                  <w:tcW w:w="399" w:type="pct"/>
                  <w:tcBorders>
                    <w:tl2br w:val="nil"/>
                    <w:tr2bl w:val="nil"/>
                  </w:tcBorders>
                  <w:vAlign w:val="center"/>
                </w:tcPr>
                <w:p w14:paraId="0749F256">
                  <w:pPr>
                    <w:widowControl w:val="0"/>
                    <w:autoSpaceDE w:val="0"/>
                    <w:autoSpaceDN w:val="0"/>
                    <w:spacing w:line="240" w:lineRule="auto"/>
                    <w:ind w:firstLine="0" w:firstLineChars="0"/>
                    <w:jc w:val="center"/>
                    <w:rPr>
                      <w:rFonts w:hint="eastAsia"/>
                      <w:snapToGrid w:val="0"/>
                      <w:color w:val="000000"/>
                      <w:spacing w:val="2"/>
                      <w:kern w:val="0"/>
                      <w:sz w:val="21"/>
                      <w:szCs w:val="21"/>
                      <w:u w:val="none"/>
                    </w:rPr>
                  </w:pPr>
                  <w:r>
                    <w:rPr>
                      <w:rFonts w:hint="eastAsia" w:eastAsia="宋体"/>
                      <w:spacing w:val="2"/>
                      <w:sz w:val="21"/>
                      <w:szCs w:val="21"/>
                      <w:u w:val="none"/>
                      <w:lang w:val="en-US" w:eastAsia="zh-CN"/>
                    </w:rPr>
                    <w:t>-</w:t>
                  </w:r>
                </w:p>
              </w:tc>
            </w:tr>
            <w:tr w14:paraId="191A1A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0A334DD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1C1A554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6013B2DB">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p>
              </w:tc>
              <w:tc>
                <w:tcPr>
                  <w:tcW w:w="608" w:type="pct"/>
                  <w:tcBorders>
                    <w:tl2br w:val="nil"/>
                    <w:tr2bl w:val="nil"/>
                  </w:tcBorders>
                  <w:vAlign w:val="center"/>
                </w:tcPr>
                <w:p w14:paraId="60D85CAA">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3F343057">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4.0</w:t>
                  </w:r>
                </w:p>
              </w:tc>
              <w:tc>
                <w:tcPr>
                  <w:tcW w:w="631" w:type="pct"/>
                  <w:tcBorders>
                    <w:tl2br w:val="nil"/>
                    <w:tr2bl w:val="nil"/>
                  </w:tcBorders>
                  <w:vAlign w:val="center"/>
                </w:tcPr>
                <w:p w14:paraId="18B26A46">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3.6</w:t>
                  </w:r>
                </w:p>
              </w:tc>
              <w:tc>
                <w:tcPr>
                  <w:tcW w:w="646" w:type="pct"/>
                  <w:tcBorders>
                    <w:tl2br w:val="nil"/>
                    <w:tr2bl w:val="nil"/>
                  </w:tcBorders>
                  <w:vAlign w:val="center"/>
                </w:tcPr>
                <w:p w14:paraId="06A28016">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4.5</w:t>
                  </w:r>
                </w:p>
              </w:tc>
              <w:tc>
                <w:tcPr>
                  <w:tcW w:w="652" w:type="pct"/>
                  <w:tcBorders>
                    <w:tl2br w:val="nil"/>
                    <w:tr2bl w:val="nil"/>
                  </w:tcBorders>
                  <w:vAlign w:val="center"/>
                </w:tcPr>
                <w:p w14:paraId="0224492C">
                  <w:pPr>
                    <w:widowControl w:val="0"/>
                    <w:autoSpaceDE w:val="0"/>
                    <w:autoSpaceDN w:val="0"/>
                    <w:spacing w:line="240" w:lineRule="auto"/>
                    <w:ind w:firstLine="0" w:firstLineChars="0"/>
                    <w:jc w:val="center"/>
                    <w:rPr>
                      <w:rFonts w:hint="eastAsia"/>
                      <w:snapToGrid w:val="0"/>
                      <w:color w:val="000000"/>
                      <w:kern w:val="0"/>
                      <w:sz w:val="21"/>
                      <w:szCs w:val="21"/>
                      <w:u w:val="none"/>
                    </w:rPr>
                  </w:pPr>
                  <w:r>
                    <w:rPr>
                      <w:rFonts w:hint="eastAsia"/>
                      <w:spacing w:val="2"/>
                      <w:sz w:val="21"/>
                      <w:szCs w:val="21"/>
                      <w:u w:val="none"/>
                      <w:lang w:val="en-US" w:eastAsia="zh-CN"/>
                    </w:rPr>
                    <w:t>30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59F77989">
                  <w:pPr>
                    <w:widowControl w:val="0"/>
                    <w:autoSpaceDE w:val="0"/>
                    <w:autoSpaceDN w:val="0"/>
                    <w:spacing w:line="240" w:lineRule="auto"/>
                    <w:ind w:firstLine="0" w:firstLineChars="0"/>
                    <w:jc w:val="center"/>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52AEF8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160894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55EDC4F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7ADF2702">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shd w:val="clear" w:color="auto" w:fill="auto"/>
                  <w:vAlign w:val="center"/>
                </w:tcPr>
                <w:p w14:paraId="4E73EA47">
                  <w:pPr>
                    <w:widowControl w:val="0"/>
                    <w:autoSpaceDE w:val="0"/>
                    <w:autoSpaceDN w:val="0"/>
                    <w:spacing w:line="240" w:lineRule="auto"/>
                    <w:ind w:firstLine="0" w:firstLineChars="0"/>
                    <w:jc w:val="center"/>
                    <w:rPr>
                      <w:rFonts w:hint="eastAsia" w:ascii="Times New Roman" w:hAnsi="Times New Roman" w:eastAsia="宋体" w:cs="Times New Roman"/>
                      <w:spacing w:val="-2"/>
                      <w:sz w:val="21"/>
                      <w:szCs w:val="21"/>
                      <w:u w:val="none"/>
                      <w:lang w:val="en-US" w:eastAsia="zh-CN" w:bidi="ar-SA"/>
                    </w:rPr>
                  </w:pPr>
                  <w:r>
                    <w:rPr>
                      <w:rFonts w:hint="eastAsia"/>
                      <w:spacing w:val="-2"/>
                      <w:sz w:val="21"/>
                      <w:szCs w:val="21"/>
                      <w:u w:val="none"/>
                      <w:lang w:val="en-US" w:eastAsia="zh-CN"/>
                    </w:rPr>
                    <w:t>2531338</w:t>
                  </w:r>
                </w:p>
              </w:tc>
              <w:tc>
                <w:tcPr>
                  <w:tcW w:w="631" w:type="pct"/>
                  <w:tcBorders>
                    <w:tl2br w:val="nil"/>
                    <w:tr2bl w:val="nil"/>
                  </w:tcBorders>
                  <w:shd w:val="clear" w:color="auto" w:fill="auto"/>
                  <w:vAlign w:val="center"/>
                </w:tcPr>
                <w:p w14:paraId="3D5C6D03">
                  <w:pPr>
                    <w:widowControl w:val="0"/>
                    <w:autoSpaceDE w:val="0"/>
                    <w:autoSpaceDN w:val="0"/>
                    <w:spacing w:line="240" w:lineRule="auto"/>
                    <w:ind w:firstLine="0" w:firstLineChars="0"/>
                    <w:jc w:val="center"/>
                    <w:rPr>
                      <w:rFonts w:hint="eastAsia" w:ascii="Times New Roman" w:hAnsi="Times New Roman" w:eastAsia="宋体" w:cs="Times New Roman"/>
                      <w:spacing w:val="-4"/>
                      <w:sz w:val="21"/>
                      <w:szCs w:val="21"/>
                      <w:u w:val="none"/>
                      <w:lang w:val="en-US" w:eastAsia="zh-CN" w:bidi="ar-SA"/>
                    </w:rPr>
                  </w:pPr>
                  <w:r>
                    <w:rPr>
                      <w:rFonts w:hint="eastAsia"/>
                      <w:spacing w:val="-4"/>
                      <w:sz w:val="21"/>
                      <w:szCs w:val="21"/>
                      <w:u w:val="none"/>
                      <w:lang w:val="en-US" w:eastAsia="zh-CN"/>
                    </w:rPr>
                    <w:t>2448002</w:t>
                  </w:r>
                </w:p>
              </w:tc>
              <w:tc>
                <w:tcPr>
                  <w:tcW w:w="646" w:type="pct"/>
                  <w:tcBorders>
                    <w:tl2br w:val="nil"/>
                    <w:tr2bl w:val="nil"/>
                  </w:tcBorders>
                  <w:shd w:val="clear" w:color="auto" w:fill="auto"/>
                  <w:vAlign w:val="center"/>
                </w:tcPr>
                <w:p w14:paraId="49032392">
                  <w:pPr>
                    <w:widowControl w:val="0"/>
                    <w:autoSpaceDE w:val="0"/>
                    <w:autoSpaceDN w:val="0"/>
                    <w:spacing w:line="240" w:lineRule="auto"/>
                    <w:ind w:firstLine="0" w:firstLineChars="0"/>
                    <w:jc w:val="center"/>
                    <w:rPr>
                      <w:rFonts w:hint="eastAsia" w:ascii="Times New Roman" w:hAnsi="Times New Roman" w:eastAsia="宋体" w:cs="Times New Roman"/>
                      <w:spacing w:val="-5"/>
                      <w:sz w:val="21"/>
                      <w:szCs w:val="21"/>
                      <w:u w:val="none"/>
                      <w:lang w:val="en-US" w:eastAsia="zh-CN" w:bidi="ar-SA"/>
                    </w:rPr>
                  </w:pPr>
                  <w:r>
                    <w:rPr>
                      <w:rFonts w:hint="eastAsia"/>
                      <w:spacing w:val="-5"/>
                      <w:sz w:val="21"/>
                      <w:szCs w:val="21"/>
                      <w:u w:val="none"/>
                      <w:lang w:val="en-US" w:eastAsia="zh-CN"/>
                    </w:rPr>
                    <w:t>2410774</w:t>
                  </w:r>
                </w:p>
              </w:tc>
              <w:tc>
                <w:tcPr>
                  <w:tcW w:w="652" w:type="pct"/>
                  <w:tcBorders>
                    <w:tl2br w:val="nil"/>
                    <w:tr2bl w:val="nil"/>
                  </w:tcBorders>
                  <w:vAlign w:val="center"/>
                </w:tcPr>
                <w:p w14:paraId="102AD1D6">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2824FC47">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785605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EDB13A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F1F2B4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42844BC0">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氧含量</w:t>
                  </w:r>
                  <w:r>
                    <w:rPr>
                      <w:rFonts w:ascii="Times New Roman" w:hAnsi="Times New Roman" w:cs="Times New Roman"/>
                      <w:spacing w:val="4"/>
                      <w:sz w:val="21"/>
                      <w:szCs w:val="21"/>
                      <w:u w:val="none"/>
                      <w:lang w:eastAsia="zh-CN"/>
                    </w:rPr>
                    <w:t>（</w:t>
                  </w:r>
                  <w:r>
                    <w:rPr>
                      <w:rFonts w:hint="eastAsia" w:ascii="Times New Roman" w:hAnsi="Times New Roman" w:cs="Times New Roman"/>
                      <w:spacing w:val="4"/>
                      <w:sz w:val="21"/>
                      <w:szCs w:val="21"/>
                      <w:u w:val="none"/>
                      <w:lang w:val="en-US" w:eastAsia="zh-CN"/>
                    </w:rPr>
                    <w:t>%</w:t>
                  </w:r>
                  <w:r>
                    <w:rPr>
                      <w:rFonts w:ascii="Times New Roman" w:hAnsi="Times New Roman" w:cs="Times New Roman"/>
                      <w:spacing w:val="4"/>
                      <w:sz w:val="21"/>
                      <w:szCs w:val="21"/>
                      <w:u w:val="none"/>
                      <w:lang w:eastAsia="zh-CN"/>
                    </w:rPr>
                    <w:t>）</w:t>
                  </w:r>
                </w:p>
              </w:tc>
              <w:tc>
                <w:tcPr>
                  <w:tcW w:w="582" w:type="pct"/>
                  <w:tcBorders>
                    <w:tl2br w:val="nil"/>
                    <w:tr2bl w:val="nil"/>
                  </w:tcBorders>
                  <w:shd w:val="clear" w:color="auto" w:fill="auto"/>
                  <w:vAlign w:val="center"/>
                </w:tcPr>
                <w:p w14:paraId="4D1CF620">
                  <w:pPr>
                    <w:widowControl w:val="0"/>
                    <w:autoSpaceDE w:val="0"/>
                    <w:autoSpaceDN w:val="0"/>
                    <w:spacing w:line="240" w:lineRule="auto"/>
                    <w:ind w:firstLine="0" w:firstLineChars="0"/>
                    <w:jc w:val="center"/>
                    <w:rPr>
                      <w:rFonts w:hint="eastAsia" w:ascii="Times New Roman" w:hAnsi="Times New Roman" w:eastAsia="宋体" w:cs="Times New Roman"/>
                      <w:snapToGrid w:val="0"/>
                      <w:color w:val="000000"/>
                      <w:kern w:val="0"/>
                      <w:sz w:val="21"/>
                      <w:szCs w:val="21"/>
                      <w:u w:val="none"/>
                      <w:lang w:val="en-US" w:eastAsia="zh-CN" w:bidi="ar-SA"/>
                    </w:rPr>
                  </w:pPr>
                  <w:r>
                    <w:rPr>
                      <w:rFonts w:hint="eastAsia"/>
                      <w:snapToGrid w:val="0"/>
                      <w:color w:val="000000"/>
                      <w:kern w:val="0"/>
                      <w:sz w:val="21"/>
                      <w:szCs w:val="21"/>
                      <w:u w:val="none"/>
                      <w:lang w:val="en-US" w:eastAsia="zh-CN"/>
                    </w:rPr>
                    <w:t>6.6</w:t>
                  </w:r>
                </w:p>
              </w:tc>
              <w:tc>
                <w:tcPr>
                  <w:tcW w:w="631" w:type="pct"/>
                  <w:tcBorders>
                    <w:tl2br w:val="nil"/>
                    <w:tr2bl w:val="nil"/>
                  </w:tcBorders>
                  <w:shd w:val="clear" w:color="auto" w:fill="auto"/>
                  <w:vAlign w:val="center"/>
                </w:tcPr>
                <w:p w14:paraId="021E1F02">
                  <w:pPr>
                    <w:widowControl w:val="0"/>
                    <w:autoSpaceDE w:val="0"/>
                    <w:autoSpaceDN w:val="0"/>
                    <w:spacing w:line="240" w:lineRule="auto"/>
                    <w:ind w:firstLine="0" w:firstLineChars="0"/>
                    <w:jc w:val="center"/>
                    <w:rPr>
                      <w:rFonts w:hint="eastAsia" w:ascii="Times New Roman" w:hAnsi="Times New Roman" w:eastAsia="宋体" w:cs="Times New Roman"/>
                      <w:snapToGrid w:val="0"/>
                      <w:color w:val="000000"/>
                      <w:kern w:val="0"/>
                      <w:sz w:val="21"/>
                      <w:szCs w:val="21"/>
                      <w:u w:val="none"/>
                      <w:lang w:val="en-US" w:eastAsia="zh-CN" w:bidi="ar-SA"/>
                    </w:rPr>
                  </w:pPr>
                  <w:r>
                    <w:rPr>
                      <w:rFonts w:hint="eastAsia"/>
                      <w:snapToGrid w:val="0"/>
                      <w:color w:val="000000"/>
                      <w:kern w:val="0"/>
                      <w:sz w:val="21"/>
                      <w:szCs w:val="21"/>
                      <w:u w:val="none"/>
                      <w:lang w:val="en-US" w:eastAsia="zh-CN"/>
                    </w:rPr>
                    <w:t>5.9</w:t>
                  </w:r>
                </w:p>
              </w:tc>
              <w:tc>
                <w:tcPr>
                  <w:tcW w:w="646" w:type="pct"/>
                  <w:tcBorders>
                    <w:tl2br w:val="nil"/>
                    <w:tr2bl w:val="nil"/>
                  </w:tcBorders>
                  <w:shd w:val="clear" w:color="auto" w:fill="auto"/>
                  <w:vAlign w:val="center"/>
                </w:tcPr>
                <w:p w14:paraId="2E44F7B3">
                  <w:pPr>
                    <w:widowControl w:val="0"/>
                    <w:autoSpaceDE w:val="0"/>
                    <w:autoSpaceDN w:val="0"/>
                    <w:spacing w:line="240" w:lineRule="auto"/>
                    <w:ind w:firstLine="0" w:firstLineChars="0"/>
                    <w:jc w:val="center"/>
                    <w:rPr>
                      <w:rFonts w:hint="eastAsia" w:ascii="Times New Roman" w:hAnsi="Times New Roman" w:eastAsia="宋体" w:cs="Times New Roman"/>
                      <w:snapToGrid w:val="0"/>
                      <w:color w:val="000000"/>
                      <w:kern w:val="0"/>
                      <w:sz w:val="21"/>
                      <w:szCs w:val="21"/>
                      <w:u w:val="none"/>
                      <w:lang w:val="en-US" w:eastAsia="zh-CN" w:bidi="ar-SA"/>
                    </w:rPr>
                  </w:pPr>
                  <w:r>
                    <w:rPr>
                      <w:rFonts w:hint="eastAsia"/>
                      <w:snapToGrid w:val="0"/>
                      <w:color w:val="000000"/>
                      <w:kern w:val="0"/>
                      <w:sz w:val="21"/>
                      <w:szCs w:val="21"/>
                      <w:u w:val="none"/>
                      <w:lang w:val="en-US" w:eastAsia="zh-CN"/>
                    </w:rPr>
                    <w:t>6.6</w:t>
                  </w:r>
                </w:p>
              </w:tc>
              <w:tc>
                <w:tcPr>
                  <w:tcW w:w="652" w:type="pct"/>
                  <w:tcBorders>
                    <w:tl2br w:val="nil"/>
                    <w:tr2bl w:val="nil"/>
                  </w:tcBorders>
                  <w:vAlign w:val="center"/>
                </w:tcPr>
                <w:p w14:paraId="23753CF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607F835A">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366A2D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F59B83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A43302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25C2043B">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3"/>
                      <w:sz w:val="21"/>
                      <w:szCs w:val="21"/>
                      <w:u w:val="none"/>
                      <w:lang w:val="en-US" w:eastAsia="zh-CN"/>
                    </w:rPr>
                    <w:t>二氧化硫</w:t>
                  </w:r>
                </w:p>
              </w:tc>
              <w:tc>
                <w:tcPr>
                  <w:tcW w:w="608" w:type="pct"/>
                  <w:tcBorders>
                    <w:tl2br w:val="nil"/>
                    <w:tr2bl w:val="nil"/>
                  </w:tcBorders>
                  <w:vAlign w:val="center"/>
                </w:tcPr>
                <w:p w14:paraId="53EB3E26">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78B14045">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15</w:t>
                  </w:r>
                </w:p>
              </w:tc>
              <w:tc>
                <w:tcPr>
                  <w:tcW w:w="631" w:type="pct"/>
                  <w:tcBorders>
                    <w:tl2br w:val="nil"/>
                    <w:tr2bl w:val="nil"/>
                  </w:tcBorders>
                  <w:vAlign w:val="center"/>
                </w:tcPr>
                <w:p w14:paraId="20FBDE63">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12</w:t>
                  </w:r>
                </w:p>
              </w:tc>
              <w:tc>
                <w:tcPr>
                  <w:tcW w:w="646" w:type="pct"/>
                  <w:tcBorders>
                    <w:tl2br w:val="nil"/>
                    <w:tr2bl w:val="nil"/>
                  </w:tcBorders>
                  <w:vAlign w:val="center"/>
                </w:tcPr>
                <w:p w14:paraId="26DB1EFE">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10</w:t>
                  </w:r>
                </w:p>
              </w:tc>
              <w:tc>
                <w:tcPr>
                  <w:tcW w:w="652" w:type="pct"/>
                  <w:tcBorders>
                    <w:tl2br w:val="nil"/>
                    <w:tr2bl w:val="nil"/>
                  </w:tcBorders>
                  <w:vAlign w:val="center"/>
                </w:tcPr>
                <w:p w14:paraId="241D26ED">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143D544E">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31B800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BB9D86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7E4F340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53F8E840">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p>
              </w:tc>
              <w:tc>
                <w:tcPr>
                  <w:tcW w:w="608" w:type="pct"/>
                  <w:tcBorders>
                    <w:tl2br w:val="nil"/>
                    <w:tr2bl w:val="nil"/>
                  </w:tcBorders>
                  <w:vAlign w:val="center"/>
                </w:tcPr>
                <w:p w14:paraId="3F49024B">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46D1D818">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16</w:t>
                  </w:r>
                </w:p>
              </w:tc>
              <w:tc>
                <w:tcPr>
                  <w:tcW w:w="631" w:type="pct"/>
                  <w:tcBorders>
                    <w:tl2br w:val="nil"/>
                    <w:tr2bl w:val="nil"/>
                  </w:tcBorders>
                  <w:vAlign w:val="center"/>
                </w:tcPr>
                <w:p w14:paraId="3A460D59">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12</w:t>
                  </w:r>
                </w:p>
              </w:tc>
              <w:tc>
                <w:tcPr>
                  <w:tcW w:w="646" w:type="pct"/>
                  <w:tcBorders>
                    <w:tl2br w:val="nil"/>
                    <w:tr2bl w:val="nil"/>
                  </w:tcBorders>
                  <w:vAlign w:val="center"/>
                </w:tcPr>
                <w:p w14:paraId="4F7CDF0D">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10</w:t>
                  </w:r>
                </w:p>
              </w:tc>
              <w:tc>
                <w:tcPr>
                  <w:tcW w:w="652" w:type="pct"/>
                  <w:tcBorders>
                    <w:tl2br w:val="nil"/>
                    <w:tr2bl w:val="nil"/>
                  </w:tcBorders>
                  <w:vAlign w:val="center"/>
                </w:tcPr>
                <w:p w14:paraId="4D8A7366">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20</w:t>
                  </w:r>
                  <w:r>
                    <w:rPr>
                      <w:rFonts w:hint="eastAsia"/>
                      <w:snapToGrid w:val="0"/>
                      <w:color w:val="000000"/>
                      <w:spacing w:val="2"/>
                      <w:kern w:val="0"/>
                      <w:sz w:val="21"/>
                      <w:szCs w:val="21"/>
                      <w:u w:val="none"/>
                    </w:rPr>
                    <w:t>0mg/m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68178AD">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3BDA7C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BA640C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17848FF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11621A85">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3"/>
                      <w:sz w:val="21"/>
                      <w:szCs w:val="21"/>
                      <w:u w:val="none"/>
                      <w:lang w:val="en-US" w:eastAsia="zh-CN"/>
                    </w:rPr>
                    <w:t>氮氧化物</w:t>
                  </w:r>
                </w:p>
              </w:tc>
              <w:tc>
                <w:tcPr>
                  <w:tcW w:w="608" w:type="pct"/>
                  <w:tcBorders>
                    <w:tl2br w:val="nil"/>
                    <w:tr2bl w:val="nil"/>
                  </w:tcBorders>
                  <w:vAlign w:val="center"/>
                </w:tcPr>
                <w:p w14:paraId="0192B0FC">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04AC9161">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44</w:t>
                  </w:r>
                </w:p>
              </w:tc>
              <w:tc>
                <w:tcPr>
                  <w:tcW w:w="631" w:type="pct"/>
                  <w:tcBorders>
                    <w:tl2br w:val="nil"/>
                    <w:tr2bl w:val="nil"/>
                  </w:tcBorders>
                  <w:vAlign w:val="center"/>
                </w:tcPr>
                <w:p w14:paraId="3A533AAB">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44</w:t>
                  </w:r>
                </w:p>
              </w:tc>
              <w:tc>
                <w:tcPr>
                  <w:tcW w:w="646" w:type="pct"/>
                  <w:tcBorders>
                    <w:tl2br w:val="nil"/>
                    <w:tr2bl w:val="nil"/>
                  </w:tcBorders>
                  <w:vAlign w:val="center"/>
                </w:tcPr>
                <w:p w14:paraId="0D744932">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44</w:t>
                  </w:r>
                </w:p>
              </w:tc>
              <w:tc>
                <w:tcPr>
                  <w:tcW w:w="652" w:type="pct"/>
                  <w:tcBorders>
                    <w:tl2br w:val="nil"/>
                    <w:tr2bl w:val="nil"/>
                  </w:tcBorders>
                  <w:vAlign w:val="center"/>
                </w:tcPr>
                <w:p w14:paraId="352A7970">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44BDC85A">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2893A5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1931BAD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5CFD8BD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5337FFFF">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p>
              </w:tc>
              <w:tc>
                <w:tcPr>
                  <w:tcW w:w="608" w:type="pct"/>
                  <w:tcBorders>
                    <w:tl2br w:val="nil"/>
                    <w:tr2bl w:val="nil"/>
                  </w:tcBorders>
                  <w:vAlign w:val="center"/>
                </w:tcPr>
                <w:p w14:paraId="005242E3">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654874A4">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46</w:t>
                  </w:r>
                </w:p>
              </w:tc>
              <w:tc>
                <w:tcPr>
                  <w:tcW w:w="631" w:type="pct"/>
                  <w:tcBorders>
                    <w:tl2br w:val="nil"/>
                    <w:tr2bl w:val="nil"/>
                  </w:tcBorders>
                  <w:vAlign w:val="center"/>
                </w:tcPr>
                <w:p w14:paraId="0E82314A">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44</w:t>
                  </w:r>
                </w:p>
              </w:tc>
              <w:tc>
                <w:tcPr>
                  <w:tcW w:w="646" w:type="pct"/>
                  <w:tcBorders>
                    <w:tl2br w:val="nil"/>
                    <w:tr2bl w:val="nil"/>
                  </w:tcBorders>
                  <w:vAlign w:val="center"/>
                </w:tcPr>
                <w:p w14:paraId="4DA3174D">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46</w:t>
                  </w:r>
                </w:p>
              </w:tc>
              <w:tc>
                <w:tcPr>
                  <w:tcW w:w="652" w:type="pct"/>
                  <w:tcBorders>
                    <w:tl2br w:val="nil"/>
                    <w:tr2bl w:val="nil"/>
                  </w:tcBorders>
                  <w:vAlign w:val="center"/>
                </w:tcPr>
                <w:p w14:paraId="792FC02E">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200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CDC5BF8">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2D8861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1E6470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4C80F5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4573F85E">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20F60B7F">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2476952</w:t>
                  </w:r>
                </w:p>
              </w:tc>
              <w:tc>
                <w:tcPr>
                  <w:tcW w:w="631" w:type="pct"/>
                  <w:tcBorders>
                    <w:tl2br w:val="nil"/>
                    <w:tr2bl w:val="nil"/>
                  </w:tcBorders>
                  <w:vAlign w:val="center"/>
                </w:tcPr>
                <w:p w14:paraId="5B0C8872">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2420297</w:t>
                  </w:r>
                </w:p>
              </w:tc>
              <w:tc>
                <w:tcPr>
                  <w:tcW w:w="646" w:type="pct"/>
                  <w:tcBorders>
                    <w:tl2br w:val="nil"/>
                    <w:tr2bl w:val="nil"/>
                  </w:tcBorders>
                  <w:vAlign w:val="center"/>
                </w:tcPr>
                <w:p w14:paraId="4D3D8E86">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2405015</w:t>
                  </w:r>
                </w:p>
              </w:tc>
              <w:tc>
                <w:tcPr>
                  <w:tcW w:w="652" w:type="pct"/>
                  <w:tcBorders>
                    <w:tl2br w:val="nil"/>
                    <w:tr2bl w:val="nil"/>
                  </w:tcBorders>
                  <w:vAlign w:val="center"/>
                </w:tcPr>
                <w:p w14:paraId="4794D6B2">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72B432FD">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135B1D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F41A85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CF6E45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57F5D93B">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氧含量</w:t>
                  </w:r>
                </w:p>
              </w:tc>
              <w:tc>
                <w:tcPr>
                  <w:tcW w:w="582" w:type="pct"/>
                  <w:tcBorders>
                    <w:tl2br w:val="nil"/>
                    <w:tr2bl w:val="nil"/>
                  </w:tcBorders>
                  <w:vAlign w:val="center"/>
                </w:tcPr>
                <w:p w14:paraId="3EAAE974">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6.4</w:t>
                  </w:r>
                </w:p>
              </w:tc>
              <w:tc>
                <w:tcPr>
                  <w:tcW w:w="631" w:type="pct"/>
                  <w:tcBorders>
                    <w:tl2br w:val="nil"/>
                    <w:tr2bl w:val="nil"/>
                  </w:tcBorders>
                  <w:vAlign w:val="center"/>
                </w:tcPr>
                <w:p w14:paraId="166D8BFF">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7.0</w:t>
                  </w:r>
                </w:p>
              </w:tc>
              <w:tc>
                <w:tcPr>
                  <w:tcW w:w="646" w:type="pct"/>
                  <w:tcBorders>
                    <w:tl2br w:val="nil"/>
                    <w:tr2bl w:val="nil"/>
                  </w:tcBorders>
                  <w:vAlign w:val="center"/>
                </w:tcPr>
                <w:p w14:paraId="3018995F">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6.7</w:t>
                  </w:r>
                </w:p>
              </w:tc>
              <w:tc>
                <w:tcPr>
                  <w:tcW w:w="652" w:type="pct"/>
                  <w:tcBorders>
                    <w:tl2br w:val="nil"/>
                    <w:tr2bl w:val="nil"/>
                  </w:tcBorders>
                  <w:vAlign w:val="center"/>
                </w:tcPr>
                <w:p w14:paraId="58F7F637">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217A9216">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08EB44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567D80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4F4093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177D25F7">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z w:val="21"/>
                      <w:szCs w:val="21"/>
                      <w:u w:val="none"/>
                      <w:lang w:val="en-US" w:eastAsia="zh-CN"/>
                    </w:rPr>
                    <w:t>汞及其化合物</w:t>
                  </w:r>
                </w:p>
              </w:tc>
              <w:tc>
                <w:tcPr>
                  <w:tcW w:w="608" w:type="pct"/>
                  <w:tcBorders>
                    <w:tl2br w:val="nil"/>
                    <w:tr2bl w:val="nil"/>
                  </w:tcBorders>
                  <w:vAlign w:val="center"/>
                </w:tcPr>
                <w:p w14:paraId="2B69489C">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5AA29CD9">
                  <w:pPr>
                    <w:widowControl w:val="0"/>
                    <w:autoSpaceDE w:val="0"/>
                    <w:autoSpaceDN w:val="0"/>
                    <w:spacing w:line="240" w:lineRule="auto"/>
                    <w:ind w:firstLine="0" w:firstLineChars="0"/>
                    <w:jc w:val="center"/>
                    <w:rPr>
                      <w:rFonts w:hint="eastAsia"/>
                      <w:snapToGrid w:val="0"/>
                      <w:color w:val="000000"/>
                      <w:kern w:val="0"/>
                      <w:sz w:val="21"/>
                      <w:szCs w:val="21"/>
                      <w:u w:val="none"/>
                      <w:lang w:val="en-US" w:eastAsia="zh-CN"/>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5784E48C">
                  <w:pPr>
                    <w:widowControl w:val="0"/>
                    <w:autoSpaceDE w:val="0"/>
                    <w:autoSpaceDN w:val="0"/>
                    <w:spacing w:line="240" w:lineRule="auto"/>
                    <w:ind w:firstLine="0" w:firstLineChars="0"/>
                    <w:jc w:val="center"/>
                    <w:rPr>
                      <w:rFonts w:hint="eastAsia"/>
                      <w:snapToGrid w:val="0"/>
                      <w:color w:val="000000"/>
                      <w:kern w:val="0"/>
                      <w:sz w:val="21"/>
                      <w:szCs w:val="21"/>
                      <w:u w:val="none"/>
                      <w:lang w:val="en-US" w:eastAsia="zh-CN"/>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548BDE9E">
                  <w:pPr>
                    <w:widowControl w:val="0"/>
                    <w:autoSpaceDE w:val="0"/>
                    <w:autoSpaceDN w:val="0"/>
                    <w:spacing w:line="240" w:lineRule="auto"/>
                    <w:ind w:firstLine="0" w:firstLineChars="0"/>
                    <w:jc w:val="center"/>
                    <w:rPr>
                      <w:rFonts w:hint="eastAsia"/>
                      <w:snapToGrid w:val="0"/>
                      <w:color w:val="000000"/>
                      <w:kern w:val="0"/>
                      <w:sz w:val="21"/>
                      <w:szCs w:val="21"/>
                      <w:u w:val="none"/>
                      <w:lang w:val="en-US" w:eastAsia="zh-CN"/>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3B648ACA">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3E49AAEB">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6B8732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5CDEF8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667F307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489FDA43">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p>
              </w:tc>
              <w:tc>
                <w:tcPr>
                  <w:tcW w:w="608" w:type="pct"/>
                  <w:tcBorders>
                    <w:tl2br w:val="nil"/>
                    <w:tr2bl w:val="nil"/>
                  </w:tcBorders>
                  <w:vAlign w:val="center"/>
                </w:tcPr>
                <w:p w14:paraId="25ED0080">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07794449">
                  <w:pPr>
                    <w:widowControl w:val="0"/>
                    <w:autoSpaceDE w:val="0"/>
                    <w:autoSpaceDN w:val="0"/>
                    <w:spacing w:line="240" w:lineRule="auto"/>
                    <w:ind w:firstLine="0" w:firstLineChars="0"/>
                    <w:jc w:val="center"/>
                    <w:rPr>
                      <w:rFonts w:hint="eastAsia"/>
                      <w:snapToGrid w:val="0"/>
                      <w:color w:val="000000"/>
                      <w:kern w:val="0"/>
                      <w:sz w:val="21"/>
                      <w:szCs w:val="21"/>
                      <w:u w:val="none"/>
                      <w:lang w:val="en-US" w:eastAsia="zh-CN"/>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36F2FCE3">
                  <w:pPr>
                    <w:widowControl w:val="0"/>
                    <w:autoSpaceDE w:val="0"/>
                    <w:autoSpaceDN w:val="0"/>
                    <w:spacing w:line="240" w:lineRule="auto"/>
                    <w:ind w:firstLine="0" w:firstLineChars="0"/>
                    <w:jc w:val="center"/>
                    <w:rPr>
                      <w:rFonts w:hint="eastAsia"/>
                      <w:snapToGrid w:val="0"/>
                      <w:color w:val="000000"/>
                      <w:kern w:val="0"/>
                      <w:sz w:val="21"/>
                      <w:szCs w:val="21"/>
                      <w:u w:val="none"/>
                      <w:lang w:val="en-US" w:eastAsia="zh-CN"/>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27E7454F">
                  <w:pPr>
                    <w:widowControl w:val="0"/>
                    <w:autoSpaceDE w:val="0"/>
                    <w:autoSpaceDN w:val="0"/>
                    <w:spacing w:line="240" w:lineRule="auto"/>
                    <w:ind w:firstLine="0" w:firstLineChars="0"/>
                    <w:jc w:val="center"/>
                    <w:rPr>
                      <w:rFonts w:hint="eastAsia"/>
                      <w:snapToGrid w:val="0"/>
                      <w:color w:val="000000"/>
                      <w:kern w:val="0"/>
                      <w:sz w:val="21"/>
                      <w:szCs w:val="21"/>
                      <w:u w:val="none"/>
                      <w:lang w:val="en-US" w:eastAsia="zh-CN"/>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322E920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0.03</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8994FB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2BC37D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3D48B10C">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eastAsia="zh-CN"/>
                    </w:rPr>
                    <w:t>2</w:t>
                  </w:r>
                  <w:r>
                    <w:rPr>
                      <w:rFonts w:hint="eastAsia"/>
                      <w:snapToGrid w:val="0"/>
                      <w:color w:val="000000"/>
                      <w:kern w:val="0"/>
                      <w:sz w:val="21"/>
                      <w:szCs w:val="21"/>
                      <w:u w:val="none"/>
                      <w:lang w:val="en-US" w:eastAsia="zh-CN"/>
                    </w:rPr>
                    <w:t>025.04.18</w:t>
                  </w:r>
                </w:p>
              </w:tc>
              <w:tc>
                <w:tcPr>
                  <w:tcW w:w="522" w:type="pct"/>
                  <w:tcBorders>
                    <w:tl2br w:val="nil"/>
                    <w:tr2bl w:val="nil"/>
                  </w:tcBorders>
                  <w:vAlign w:val="center"/>
                </w:tcPr>
                <w:p w14:paraId="18256CDA">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DA001废气排放口</w:t>
                  </w:r>
                </w:p>
              </w:tc>
              <w:tc>
                <w:tcPr>
                  <w:tcW w:w="1215" w:type="pct"/>
                  <w:gridSpan w:val="2"/>
                  <w:tcBorders>
                    <w:tl2br w:val="nil"/>
                    <w:tr2bl w:val="nil"/>
                  </w:tcBorders>
                  <w:vAlign w:val="center"/>
                </w:tcPr>
                <w:p w14:paraId="100AAF13">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烟气黑度（级）</w:t>
                  </w:r>
                </w:p>
              </w:tc>
              <w:tc>
                <w:tcPr>
                  <w:tcW w:w="582" w:type="pct"/>
                  <w:tcBorders>
                    <w:tl2br w:val="nil"/>
                    <w:tr2bl w:val="nil"/>
                  </w:tcBorders>
                  <w:vAlign w:val="center"/>
                </w:tcPr>
                <w:p w14:paraId="653FBCDA">
                  <w:pPr>
                    <w:widowControl w:val="0"/>
                    <w:autoSpaceDE w:val="0"/>
                    <w:autoSpaceDN w:val="0"/>
                    <w:spacing w:line="240" w:lineRule="auto"/>
                    <w:ind w:firstLine="0" w:firstLineChars="0"/>
                    <w:jc w:val="center"/>
                    <w:rPr>
                      <w:rFonts w:hint="default"/>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31" w:type="pct"/>
                  <w:tcBorders>
                    <w:tl2br w:val="nil"/>
                    <w:tr2bl w:val="nil"/>
                  </w:tcBorders>
                  <w:vAlign w:val="center"/>
                </w:tcPr>
                <w:p w14:paraId="58C3418E">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46" w:type="pct"/>
                  <w:tcBorders>
                    <w:tl2br w:val="nil"/>
                    <w:tr2bl w:val="nil"/>
                  </w:tcBorders>
                  <w:vAlign w:val="center"/>
                </w:tcPr>
                <w:p w14:paraId="651E2C3C">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52" w:type="pct"/>
                  <w:vMerge w:val="restart"/>
                  <w:tcBorders>
                    <w:tl2br w:val="nil"/>
                    <w:tr2bl w:val="nil"/>
                  </w:tcBorders>
                  <w:vAlign w:val="center"/>
                </w:tcPr>
                <w:p w14:paraId="79F57A38">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1</w:t>
                  </w:r>
                </w:p>
              </w:tc>
              <w:tc>
                <w:tcPr>
                  <w:tcW w:w="399" w:type="pct"/>
                  <w:tcBorders>
                    <w:tl2br w:val="nil"/>
                    <w:tr2bl w:val="nil"/>
                  </w:tcBorders>
                  <w:vAlign w:val="center"/>
                </w:tcPr>
                <w:p w14:paraId="66BA4051">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4CA3B5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00B740A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tcBorders>
                    <w:tl2br w:val="nil"/>
                    <w:tr2bl w:val="nil"/>
                  </w:tcBorders>
                  <w:vAlign w:val="center"/>
                </w:tcPr>
                <w:p w14:paraId="0135C8A6">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DA002废气排放口</w:t>
                  </w:r>
                </w:p>
              </w:tc>
              <w:tc>
                <w:tcPr>
                  <w:tcW w:w="1215" w:type="pct"/>
                  <w:gridSpan w:val="2"/>
                  <w:tcBorders>
                    <w:tl2br w:val="nil"/>
                    <w:tr2bl w:val="nil"/>
                  </w:tcBorders>
                  <w:vAlign w:val="center"/>
                </w:tcPr>
                <w:p w14:paraId="0A1CCF5E">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烟气黑度（级）</w:t>
                  </w:r>
                </w:p>
              </w:tc>
              <w:tc>
                <w:tcPr>
                  <w:tcW w:w="582" w:type="pct"/>
                  <w:tcBorders>
                    <w:tl2br w:val="nil"/>
                    <w:tr2bl w:val="nil"/>
                  </w:tcBorders>
                  <w:vAlign w:val="center"/>
                </w:tcPr>
                <w:p w14:paraId="24FC2906">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31" w:type="pct"/>
                  <w:tcBorders>
                    <w:tl2br w:val="nil"/>
                    <w:tr2bl w:val="nil"/>
                  </w:tcBorders>
                  <w:vAlign w:val="center"/>
                </w:tcPr>
                <w:p w14:paraId="421F368D">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46" w:type="pct"/>
                  <w:tcBorders>
                    <w:tl2br w:val="nil"/>
                    <w:tr2bl w:val="nil"/>
                  </w:tcBorders>
                  <w:vAlign w:val="center"/>
                </w:tcPr>
                <w:p w14:paraId="5ADDEC6D">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52" w:type="pct"/>
                  <w:vMerge w:val="continue"/>
                  <w:tcBorders>
                    <w:tl2br w:val="nil"/>
                    <w:tr2bl w:val="nil"/>
                  </w:tcBorders>
                  <w:vAlign w:val="center"/>
                </w:tcPr>
                <w:p w14:paraId="539F0BE3">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lang w:val="en-US" w:eastAsia="zh-CN"/>
                    </w:rPr>
                  </w:pPr>
                </w:p>
              </w:tc>
              <w:tc>
                <w:tcPr>
                  <w:tcW w:w="399" w:type="pct"/>
                  <w:tcBorders>
                    <w:tl2br w:val="nil"/>
                    <w:tr2bl w:val="nil"/>
                  </w:tcBorders>
                  <w:vAlign w:val="center"/>
                </w:tcPr>
                <w:p w14:paraId="1929EA31">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4B9A70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73F675D">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kern w:val="0"/>
                      <w:sz w:val="21"/>
                      <w:szCs w:val="21"/>
                      <w:u w:val="none"/>
                      <w:lang w:val="en-US" w:eastAsia="en-US"/>
                    </w:rPr>
                  </w:pPr>
                </w:p>
              </w:tc>
              <w:tc>
                <w:tcPr>
                  <w:tcW w:w="522" w:type="pct"/>
                  <w:tcBorders>
                    <w:tl2br w:val="nil"/>
                    <w:tr2bl w:val="nil"/>
                  </w:tcBorders>
                  <w:vAlign w:val="center"/>
                </w:tcPr>
                <w:p w14:paraId="4F88B2A4">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DA003废气排放口</w:t>
                  </w:r>
                </w:p>
              </w:tc>
              <w:tc>
                <w:tcPr>
                  <w:tcW w:w="1215" w:type="pct"/>
                  <w:gridSpan w:val="2"/>
                  <w:tcBorders>
                    <w:tl2br w:val="nil"/>
                    <w:tr2bl w:val="nil"/>
                  </w:tcBorders>
                  <w:vAlign w:val="center"/>
                </w:tcPr>
                <w:p w14:paraId="71F3951E">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烟气黑度（级）</w:t>
                  </w:r>
                </w:p>
              </w:tc>
              <w:tc>
                <w:tcPr>
                  <w:tcW w:w="582" w:type="pct"/>
                  <w:tcBorders>
                    <w:tl2br w:val="nil"/>
                    <w:tr2bl w:val="nil"/>
                  </w:tcBorders>
                  <w:vAlign w:val="center"/>
                </w:tcPr>
                <w:p w14:paraId="37E140CA">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31" w:type="pct"/>
                  <w:tcBorders>
                    <w:tl2br w:val="nil"/>
                    <w:tr2bl w:val="nil"/>
                  </w:tcBorders>
                  <w:vAlign w:val="center"/>
                </w:tcPr>
                <w:p w14:paraId="2C84AD8C">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46" w:type="pct"/>
                  <w:tcBorders>
                    <w:tl2br w:val="nil"/>
                    <w:tr2bl w:val="nil"/>
                  </w:tcBorders>
                  <w:vAlign w:val="center"/>
                </w:tcPr>
                <w:p w14:paraId="62748293">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52" w:type="pct"/>
                  <w:vMerge w:val="continue"/>
                  <w:tcBorders>
                    <w:tl2br w:val="nil"/>
                    <w:tr2bl w:val="nil"/>
                  </w:tcBorders>
                  <w:vAlign w:val="center"/>
                </w:tcPr>
                <w:p w14:paraId="4AEDBDA7">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lang w:val="en-US" w:eastAsia="zh-CN"/>
                    </w:rPr>
                  </w:pPr>
                </w:p>
              </w:tc>
              <w:tc>
                <w:tcPr>
                  <w:tcW w:w="399" w:type="pct"/>
                  <w:tcBorders>
                    <w:tl2br w:val="nil"/>
                    <w:tr2bl w:val="nil"/>
                  </w:tcBorders>
                  <w:vAlign w:val="center"/>
                </w:tcPr>
                <w:p w14:paraId="0C016326">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bl>
          <w:p w14:paraId="686EB174">
            <w:pPr>
              <w:pStyle w:val="379"/>
              <w:keepNext w:val="0"/>
              <w:keepLines w:val="0"/>
              <w:pageBreakBefore w:val="0"/>
              <w:widowControl w:val="0"/>
              <w:numPr>
                <w:ilvl w:val="0"/>
                <w:numId w:val="18"/>
              </w:numPr>
              <w:tabs>
                <w:tab w:val="clear" w:pos="1139"/>
              </w:tabs>
              <w:kinsoku/>
              <w:wordWrap/>
              <w:overflowPunct/>
              <w:topLinePunct w:val="0"/>
              <w:autoSpaceDE/>
              <w:autoSpaceDN/>
              <w:bidi w:val="0"/>
              <w:adjustRightInd/>
              <w:snapToGrid/>
              <w:spacing w:before="164" w:beforeLines="50" w:line="240" w:lineRule="auto"/>
              <w:ind w:firstLineChars="0"/>
              <w:jc w:val="center"/>
              <w:textAlignment w:val="auto"/>
              <w:rPr>
                <w:rFonts w:hint="eastAsia" w:ascii="Times New Roman" w:hAnsi="Times New Roman" w:eastAsia="宋体" w:cs="Times New Roman"/>
                <w:b/>
                <w:sz w:val="24"/>
                <w:lang w:val="en-US" w:eastAsia="zh-CN"/>
              </w:rPr>
            </w:pPr>
            <w:r>
              <w:rPr>
                <w:rFonts w:hint="eastAsia" w:ascii="Times New Roman" w:hAnsi="Times New Roman" w:eastAsia="宋体" w:cs="Times New Roman"/>
                <w:b/>
                <w:sz w:val="24"/>
                <w:lang w:val="en-US" w:eastAsia="zh-CN"/>
              </w:rPr>
              <w:t>无组织废气检测结果</w:t>
            </w:r>
          </w:p>
          <w:tbl>
            <w:tblPr>
              <w:tblStyle w:val="175"/>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577"/>
              <w:gridCol w:w="1564"/>
              <w:gridCol w:w="900"/>
              <w:gridCol w:w="1061"/>
              <w:gridCol w:w="907"/>
              <w:gridCol w:w="981"/>
              <w:gridCol w:w="973"/>
              <w:gridCol w:w="721"/>
            </w:tblGrid>
            <w:tr w14:paraId="37C21F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restart"/>
                  <w:tcBorders>
                    <w:tl2br w:val="nil"/>
                    <w:tr2bl w:val="nil"/>
                  </w:tcBorders>
                  <w:vAlign w:val="center"/>
                </w:tcPr>
                <w:p w14:paraId="52B57BAD">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rFonts w:hint="eastAsia"/>
                      <w:b/>
                      <w:bCs/>
                      <w:snapToGrid w:val="0"/>
                      <w:color w:val="000000"/>
                      <w:spacing w:val="7"/>
                      <w:kern w:val="0"/>
                      <w:sz w:val="21"/>
                      <w:szCs w:val="21"/>
                      <w:u w:val="none"/>
                      <w:lang w:val="en-US" w:eastAsia="zh-CN"/>
                    </w:rPr>
                    <w:t>采样</w:t>
                  </w:r>
                  <w:r>
                    <w:rPr>
                      <w:b/>
                      <w:bCs/>
                      <w:snapToGrid w:val="0"/>
                      <w:color w:val="000000"/>
                      <w:spacing w:val="7"/>
                      <w:kern w:val="0"/>
                      <w:sz w:val="21"/>
                      <w:szCs w:val="21"/>
                      <w:u w:val="none"/>
                      <w:lang w:eastAsia="en-US"/>
                    </w:rPr>
                    <w:t>时间</w:t>
                  </w:r>
                </w:p>
              </w:tc>
              <w:tc>
                <w:tcPr>
                  <w:tcW w:w="1017" w:type="pct"/>
                  <w:vMerge w:val="restart"/>
                  <w:tcBorders>
                    <w:tl2br w:val="nil"/>
                    <w:tr2bl w:val="nil"/>
                  </w:tcBorders>
                  <w:vAlign w:val="center"/>
                </w:tcPr>
                <w:p w14:paraId="3F8607C8">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b/>
                      <w:bCs/>
                      <w:snapToGrid w:val="0"/>
                      <w:color w:val="000000"/>
                      <w:spacing w:val="7"/>
                      <w:kern w:val="0"/>
                      <w:sz w:val="21"/>
                      <w:szCs w:val="21"/>
                      <w:u w:val="none"/>
                      <w:lang w:eastAsia="en-US"/>
                    </w:rPr>
                    <w:t>采样点位</w:t>
                  </w:r>
                </w:p>
              </w:tc>
              <w:tc>
                <w:tcPr>
                  <w:tcW w:w="585" w:type="pct"/>
                  <w:vMerge w:val="restart"/>
                  <w:tcBorders>
                    <w:tl2br w:val="nil"/>
                    <w:tr2bl w:val="nil"/>
                  </w:tcBorders>
                  <w:vAlign w:val="center"/>
                </w:tcPr>
                <w:p w14:paraId="0682B0DC">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b/>
                      <w:bCs/>
                      <w:snapToGrid w:val="0"/>
                      <w:color w:val="000000"/>
                      <w:spacing w:val="7"/>
                      <w:kern w:val="0"/>
                      <w:sz w:val="21"/>
                      <w:szCs w:val="21"/>
                      <w:u w:val="none"/>
                      <w:lang w:eastAsia="en-US"/>
                    </w:rPr>
                    <w:t>检测项目</w:t>
                  </w:r>
                </w:p>
              </w:tc>
              <w:tc>
                <w:tcPr>
                  <w:tcW w:w="1918" w:type="pct"/>
                  <w:gridSpan w:val="3"/>
                  <w:tcBorders>
                    <w:tl2br w:val="nil"/>
                    <w:tr2bl w:val="nil"/>
                  </w:tcBorders>
                  <w:vAlign w:val="center"/>
                </w:tcPr>
                <w:p w14:paraId="2F90EE98">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b/>
                      <w:bCs/>
                      <w:snapToGrid w:val="0"/>
                      <w:color w:val="000000"/>
                      <w:spacing w:val="7"/>
                      <w:kern w:val="0"/>
                      <w:sz w:val="21"/>
                      <w:szCs w:val="21"/>
                      <w:u w:val="none"/>
                      <w:lang w:eastAsia="en-US"/>
                    </w:rPr>
                    <w:t>检测结果（mg/m³）</w:t>
                  </w:r>
                </w:p>
              </w:tc>
              <w:tc>
                <w:tcPr>
                  <w:tcW w:w="633" w:type="pct"/>
                  <w:vMerge w:val="restart"/>
                  <w:tcBorders>
                    <w:tl2br w:val="nil"/>
                    <w:tr2bl w:val="nil"/>
                  </w:tcBorders>
                  <w:vAlign w:val="center"/>
                </w:tcPr>
                <w:p w14:paraId="162607E5">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标准限值</w:t>
                  </w:r>
                </w:p>
                <w:p w14:paraId="76B7A025">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排放浓度</w:t>
                  </w:r>
                </w:p>
                <w:p w14:paraId="7F33235D">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（mg/m³）</w:t>
                  </w:r>
                </w:p>
              </w:tc>
              <w:tc>
                <w:tcPr>
                  <w:tcW w:w="469" w:type="pct"/>
                  <w:vMerge w:val="restart"/>
                  <w:tcBorders>
                    <w:tl2br w:val="nil"/>
                    <w:tr2bl w:val="nil"/>
                  </w:tcBorders>
                  <w:vAlign w:val="center"/>
                </w:tcPr>
                <w:p w14:paraId="17C412F0">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达标</w:t>
                  </w:r>
                </w:p>
                <w:p w14:paraId="461BE786">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判定</w:t>
                  </w:r>
                </w:p>
              </w:tc>
            </w:tr>
            <w:tr w14:paraId="5A0D36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595F4932">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p>
              </w:tc>
              <w:tc>
                <w:tcPr>
                  <w:tcW w:w="1017" w:type="pct"/>
                  <w:vMerge w:val="continue"/>
                  <w:tcBorders>
                    <w:tl2br w:val="nil"/>
                    <w:tr2bl w:val="nil"/>
                  </w:tcBorders>
                  <w:vAlign w:val="center"/>
                </w:tcPr>
                <w:p w14:paraId="272EACCD">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p>
              </w:tc>
              <w:tc>
                <w:tcPr>
                  <w:tcW w:w="585" w:type="pct"/>
                  <w:vMerge w:val="continue"/>
                  <w:tcBorders>
                    <w:tl2br w:val="nil"/>
                    <w:tr2bl w:val="nil"/>
                  </w:tcBorders>
                  <w:vAlign w:val="center"/>
                </w:tcPr>
                <w:p w14:paraId="21F672A8">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p>
              </w:tc>
              <w:tc>
                <w:tcPr>
                  <w:tcW w:w="690" w:type="pct"/>
                  <w:tcBorders>
                    <w:tl2br w:val="nil"/>
                    <w:tr2bl w:val="nil"/>
                  </w:tcBorders>
                  <w:vAlign w:val="center"/>
                </w:tcPr>
                <w:p w14:paraId="442B946B">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第1次</w:t>
                  </w:r>
                </w:p>
              </w:tc>
              <w:tc>
                <w:tcPr>
                  <w:tcW w:w="590" w:type="pct"/>
                  <w:tcBorders>
                    <w:tl2br w:val="nil"/>
                    <w:tr2bl w:val="nil"/>
                  </w:tcBorders>
                  <w:vAlign w:val="center"/>
                </w:tcPr>
                <w:p w14:paraId="10A8C0A5">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第2次</w:t>
                  </w:r>
                </w:p>
              </w:tc>
              <w:tc>
                <w:tcPr>
                  <w:tcW w:w="638" w:type="pct"/>
                  <w:tcBorders>
                    <w:tl2br w:val="nil"/>
                    <w:tr2bl w:val="nil"/>
                  </w:tcBorders>
                  <w:vAlign w:val="center"/>
                </w:tcPr>
                <w:p w14:paraId="1B3C11A1">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第3次</w:t>
                  </w:r>
                </w:p>
              </w:tc>
              <w:tc>
                <w:tcPr>
                  <w:tcW w:w="633" w:type="pct"/>
                  <w:vMerge w:val="continue"/>
                  <w:tcBorders>
                    <w:tl2br w:val="nil"/>
                    <w:tr2bl w:val="nil"/>
                  </w:tcBorders>
                  <w:vAlign w:val="center"/>
                </w:tcPr>
                <w:p w14:paraId="1C0F66D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469" w:type="pct"/>
                  <w:vMerge w:val="continue"/>
                  <w:tcBorders>
                    <w:tl2br w:val="nil"/>
                    <w:tr2bl w:val="nil"/>
                  </w:tcBorders>
                  <w:vAlign w:val="center"/>
                </w:tcPr>
                <w:p w14:paraId="71DC288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r>
            <w:tr w14:paraId="67B700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restart"/>
                  <w:tcBorders>
                    <w:tl2br w:val="nil"/>
                    <w:tr2bl w:val="nil"/>
                  </w:tcBorders>
                  <w:vAlign w:val="center"/>
                </w:tcPr>
                <w:p w14:paraId="1DEDE0F1">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snapToGrid w:val="0"/>
                      <w:color w:val="000000"/>
                      <w:spacing w:val="7"/>
                      <w:kern w:val="0"/>
                      <w:sz w:val="21"/>
                      <w:szCs w:val="21"/>
                      <w:u w:val="none"/>
                    </w:rPr>
                    <w:t>202</w:t>
                  </w:r>
                  <w:r>
                    <w:rPr>
                      <w:rFonts w:hint="eastAsia"/>
                      <w:snapToGrid w:val="0"/>
                      <w:color w:val="000000"/>
                      <w:spacing w:val="7"/>
                      <w:kern w:val="0"/>
                      <w:sz w:val="21"/>
                      <w:szCs w:val="21"/>
                      <w:u w:val="none"/>
                    </w:rPr>
                    <w:t>5.</w:t>
                  </w:r>
                  <w:r>
                    <w:rPr>
                      <w:rFonts w:hint="eastAsia"/>
                      <w:snapToGrid w:val="0"/>
                      <w:color w:val="000000"/>
                      <w:spacing w:val="7"/>
                      <w:kern w:val="0"/>
                      <w:sz w:val="21"/>
                      <w:szCs w:val="21"/>
                      <w:u w:val="none"/>
                      <w:lang w:val="en-US" w:eastAsia="zh-CN"/>
                    </w:rPr>
                    <w:t>1.05</w:t>
                  </w:r>
                </w:p>
              </w:tc>
              <w:tc>
                <w:tcPr>
                  <w:tcW w:w="1017" w:type="pct"/>
                  <w:tcBorders>
                    <w:tl2br w:val="nil"/>
                    <w:tr2bl w:val="nil"/>
                  </w:tcBorders>
                  <w:vAlign w:val="center"/>
                </w:tcPr>
                <w:p w14:paraId="738A31BA">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17#一号煤仓</w:t>
                  </w:r>
                </w:p>
              </w:tc>
              <w:tc>
                <w:tcPr>
                  <w:tcW w:w="585" w:type="pct"/>
                  <w:vMerge w:val="restart"/>
                  <w:tcBorders>
                    <w:tl2br w:val="nil"/>
                    <w:tr2bl w:val="nil"/>
                  </w:tcBorders>
                  <w:vAlign w:val="center"/>
                </w:tcPr>
                <w:p w14:paraId="72471010">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总悬浮颗粒物</w:t>
                  </w:r>
                </w:p>
              </w:tc>
              <w:tc>
                <w:tcPr>
                  <w:tcW w:w="690" w:type="pct"/>
                  <w:tcBorders>
                    <w:tl2br w:val="nil"/>
                    <w:tr2bl w:val="nil"/>
                  </w:tcBorders>
                  <w:vAlign w:val="center"/>
                </w:tcPr>
                <w:p w14:paraId="18A0B52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0.363</w:t>
                  </w:r>
                </w:p>
              </w:tc>
              <w:tc>
                <w:tcPr>
                  <w:tcW w:w="590" w:type="pct"/>
                  <w:tcBorders>
                    <w:tl2br w:val="nil"/>
                    <w:tr2bl w:val="nil"/>
                  </w:tcBorders>
                  <w:vAlign w:val="center"/>
                </w:tcPr>
                <w:p w14:paraId="3B98A54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0.295</w:t>
                  </w:r>
                </w:p>
              </w:tc>
              <w:tc>
                <w:tcPr>
                  <w:tcW w:w="638" w:type="pct"/>
                  <w:tcBorders>
                    <w:tl2br w:val="nil"/>
                    <w:tr2bl w:val="nil"/>
                  </w:tcBorders>
                  <w:vAlign w:val="center"/>
                </w:tcPr>
                <w:p w14:paraId="3A0DF4E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0.399</w:t>
                  </w:r>
                </w:p>
              </w:tc>
              <w:tc>
                <w:tcPr>
                  <w:tcW w:w="633" w:type="pct"/>
                  <w:vMerge w:val="restart"/>
                  <w:tcBorders>
                    <w:tl2br w:val="nil"/>
                    <w:tr2bl w:val="nil"/>
                  </w:tcBorders>
                  <w:vAlign w:val="center"/>
                </w:tcPr>
                <w:p w14:paraId="42F0450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1.0</w:t>
                  </w:r>
                </w:p>
              </w:tc>
              <w:tc>
                <w:tcPr>
                  <w:tcW w:w="469" w:type="pct"/>
                  <w:tcBorders>
                    <w:tl2br w:val="nil"/>
                    <w:tr2bl w:val="nil"/>
                  </w:tcBorders>
                  <w:vAlign w:val="center"/>
                </w:tcPr>
                <w:p w14:paraId="4F8C263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6433AC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4A16ACB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38B68784">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18#二号煤仓</w:t>
                  </w:r>
                </w:p>
              </w:tc>
              <w:tc>
                <w:tcPr>
                  <w:tcW w:w="585" w:type="pct"/>
                  <w:vMerge w:val="continue"/>
                  <w:tcBorders>
                    <w:tl2br w:val="nil"/>
                    <w:tr2bl w:val="nil"/>
                  </w:tcBorders>
                  <w:vAlign w:val="center"/>
                </w:tcPr>
                <w:p w14:paraId="501379D3">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3C8A59D3">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0.283</w:t>
                  </w:r>
                </w:p>
              </w:tc>
              <w:tc>
                <w:tcPr>
                  <w:tcW w:w="590" w:type="pct"/>
                  <w:tcBorders>
                    <w:tl2br w:val="nil"/>
                    <w:tr2bl w:val="nil"/>
                  </w:tcBorders>
                  <w:vAlign w:val="center"/>
                </w:tcPr>
                <w:p w14:paraId="431CBAB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0.334</w:t>
                  </w:r>
                </w:p>
              </w:tc>
              <w:tc>
                <w:tcPr>
                  <w:tcW w:w="638" w:type="pct"/>
                  <w:tcBorders>
                    <w:tl2br w:val="nil"/>
                    <w:tr2bl w:val="nil"/>
                  </w:tcBorders>
                  <w:vAlign w:val="center"/>
                </w:tcPr>
                <w:p w14:paraId="60DD763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0.365</w:t>
                  </w:r>
                </w:p>
              </w:tc>
              <w:tc>
                <w:tcPr>
                  <w:tcW w:w="633" w:type="pct"/>
                  <w:vMerge w:val="continue"/>
                  <w:tcBorders>
                    <w:tl2br w:val="nil"/>
                    <w:tr2bl w:val="nil"/>
                  </w:tcBorders>
                  <w:vAlign w:val="center"/>
                </w:tcPr>
                <w:p w14:paraId="61F3983C">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1455849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0C962C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78A7BF7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380DCB0">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19#二期灰库</w:t>
                  </w:r>
                </w:p>
              </w:tc>
              <w:tc>
                <w:tcPr>
                  <w:tcW w:w="585" w:type="pct"/>
                  <w:vMerge w:val="continue"/>
                  <w:tcBorders>
                    <w:tl2br w:val="nil"/>
                    <w:tr2bl w:val="nil"/>
                  </w:tcBorders>
                  <w:vAlign w:val="center"/>
                </w:tcPr>
                <w:p w14:paraId="23913A55">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462739C9">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0.297</w:t>
                  </w:r>
                </w:p>
              </w:tc>
              <w:tc>
                <w:tcPr>
                  <w:tcW w:w="590" w:type="pct"/>
                  <w:tcBorders>
                    <w:tl2br w:val="nil"/>
                    <w:tr2bl w:val="nil"/>
                  </w:tcBorders>
                  <w:vAlign w:val="center"/>
                </w:tcPr>
                <w:p w14:paraId="78EBFBD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0.357</w:t>
                  </w:r>
                </w:p>
              </w:tc>
              <w:tc>
                <w:tcPr>
                  <w:tcW w:w="638" w:type="pct"/>
                  <w:tcBorders>
                    <w:tl2br w:val="nil"/>
                    <w:tr2bl w:val="nil"/>
                  </w:tcBorders>
                  <w:vAlign w:val="center"/>
                </w:tcPr>
                <w:p w14:paraId="7C8DAD6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0.394</w:t>
                  </w:r>
                </w:p>
              </w:tc>
              <w:tc>
                <w:tcPr>
                  <w:tcW w:w="633" w:type="pct"/>
                  <w:vMerge w:val="continue"/>
                  <w:tcBorders>
                    <w:tl2br w:val="nil"/>
                    <w:tr2bl w:val="nil"/>
                  </w:tcBorders>
                  <w:vAlign w:val="center"/>
                </w:tcPr>
                <w:p w14:paraId="1D3AF67A">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6BFB5C9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C4CC7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B2CCFE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5263034">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20#三期灰库</w:t>
                  </w:r>
                </w:p>
              </w:tc>
              <w:tc>
                <w:tcPr>
                  <w:tcW w:w="585" w:type="pct"/>
                  <w:vMerge w:val="continue"/>
                  <w:tcBorders>
                    <w:tl2br w:val="nil"/>
                    <w:tr2bl w:val="nil"/>
                  </w:tcBorders>
                  <w:vAlign w:val="center"/>
                </w:tcPr>
                <w:p w14:paraId="6407C763">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0EAA7C30">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0.437</w:t>
                  </w:r>
                </w:p>
              </w:tc>
              <w:tc>
                <w:tcPr>
                  <w:tcW w:w="590" w:type="pct"/>
                  <w:tcBorders>
                    <w:tl2br w:val="nil"/>
                    <w:tr2bl w:val="nil"/>
                  </w:tcBorders>
                  <w:vAlign w:val="center"/>
                </w:tcPr>
                <w:p w14:paraId="7D99A34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0.398</w:t>
                  </w:r>
                </w:p>
              </w:tc>
              <w:tc>
                <w:tcPr>
                  <w:tcW w:w="638" w:type="pct"/>
                  <w:tcBorders>
                    <w:tl2br w:val="nil"/>
                    <w:tr2bl w:val="nil"/>
                  </w:tcBorders>
                  <w:vAlign w:val="center"/>
                </w:tcPr>
                <w:p w14:paraId="3E1D0BF5">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0.368</w:t>
                  </w:r>
                </w:p>
              </w:tc>
              <w:tc>
                <w:tcPr>
                  <w:tcW w:w="633" w:type="pct"/>
                  <w:vMerge w:val="continue"/>
                  <w:tcBorders>
                    <w:tl2br w:val="nil"/>
                    <w:tr2bl w:val="nil"/>
                  </w:tcBorders>
                  <w:vAlign w:val="center"/>
                </w:tcPr>
                <w:p w14:paraId="44CF721B">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7BC98C6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DDD2A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4088704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3E5792EC">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9#一期油库东</w:t>
                  </w:r>
                </w:p>
              </w:tc>
              <w:tc>
                <w:tcPr>
                  <w:tcW w:w="585" w:type="pct"/>
                  <w:vMerge w:val="restart"/>
                  <w:tcBorders>
                    <w:tl2br w:val="nil"/>
                    <w:tr2bl w:val="nil"/>
                  </w:tcBorders>
                  <w:vAlign w:val="center"/>
                </w:tcPr>
                <w:p w14:paraId="14396F09">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非甲烷总烃</w:t>
                  </w:r>
                </w:p>
              </w:tc>
              <w:tc>
                <w:tcPr>
                  <w:tcW w:w="690" w:type="pct"/>
                  <w:tcBorders>
                    <w:tl2br w:val="nil"/>
                    <w:tr2bl w:val="nil"/>
                  </w:tcBorders>
                  <w:vAlign w:val="center"/>
                </w:tcPr>
                <w:p w14:paraId="7195B39E">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0.67</w:t>
                  </w:r>
                </w:p>
              </w:tc>
              <w:tc>
                <w:tcPr>
                  <w:tcW w:w="590" w:type="pct"/>
                  <w:tcBorders>
                    <w:tl2br w:val="nil"/>
                    <w:tr2bl w:val="nil"/>
                  </w:tcBorders>
                  <w:vAlign w:val="center"/>
                </w:tcPr>
                <w:p w14:paraId="35D3C900">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0.66</w:t>
                  </w:r>
                </w:p>
              </w:tc>
              <w:tc>
                <w:tcPr>
                  <w:tcW w:w="638" w:type="pct"/>
                  <w:tcBorders>
                    <w:tl2br w:val="nil"/>
                    <w:tr2bl w:val="nil"/>
                  </w:tcBorders>
                  <w:vAlign w:val="center"/>
                </w:tcPr>
                <w:p w14:paraId="376B9C3E">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0.66</w:t>
                  </w:r>
                </w:p>
              </w:tc>
              <w:tc>
                <w:tcPr>
                  <w:tcW w:w="633" w:type="pct"/>
                  <w:vMerge w:val="restart"/>
                  <w:tcBorders>
                    <w:tl2br w:val="nil"/>
                    <w:tr2bl w:val="nil"/>
                  </w:tcBorders>
                  <w:vAlign w:val="center"/>
                </w:tcPr>
                <w:p w14:paraId="653F7A8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4.0</w:t>
                  </w:r>
                </w:p>
              </w:tc>
              <w:tc>
                <w:tcPr>
                  <w:tcW w:w="469" w:type="pct"/>
                  <w:tcBorders>
                    <w:tl2br w:val="nil"/>
                    <w:tr2bl w:val="nil"/>
                  </w:tcBorders>
                  <w:vAlign w:val="center"/>
                </w:tcPr>
                <w:p w14:paraId="3630074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2D2A0CA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053135D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50A9857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10#一期油库南</w:t>
                  </w:r>
                </w:p>
              </w:tc>
              <w:tc>
                <w:tcPr>
                  <w:tcW w:w="585" w:type="pct"/>
                  <w:vMerge w:val="continue"/>
                  <w:tcBorders>
                    <w:tl2br w:val="nil"/>
                    <w:tr2bl w:val="nil"/>
                  </w:tcBorders>
                  <w:vAlign w:val="center"/>
                </w:tcPr>
                <w:p w14:paraId="5D94AA7E">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4F88ABE0">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0.41</w:t>
                  </w:r>
                </w:p>
              </w:tc>
              <w:tc>
                <w:tcPr>
                  <w:tcW w:w="590" w:type="pct"/>
                  <w:tcBorders>
                    <w:tl2br w:val="nil"/>
                    <w:tr2bl w:val="nil"/>
                  </w:tcBorders>
                  <w:vAlign w:val="center"/>
                </w:tcPr>
                <w:p w14:paraId="1DF77183">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0.40</w:t>
                  </w:r>
                </w:p>
              </w:tc>
              <w:tc>
                <w:tcPr>
                  <w:tcW w:w="638" w:type="pct"/>
                  <w:tcBorders>
                    <w:tl2br w:val="nil"/>
                    <w:tr2bl w:val="nil"/>
                  </w:tcBorders>
                  <w:vAlign w:val="center"/>
                </w:tcPr>
                <w:p w14:paraId="5605F9C0">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0.40</w:t>
                  </w:r>
                </w:p>
              </w:tc>
              <w:tc>
                <w:tcPr>
                  <w:tcW w:w="633" w:type="pct"/>
                  <w:vMerge w:val="continue"/>
                  <w:tcBorders>
                    <w:tl2br w:val="nil"/>
                    <w:tr2bl w:val="nil"/>
                  </w:tcBorders>
                  <w:vAlign w:val="center"/>
                </w:tcPr>
                <w:p w14:paraId="2F68C37E">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1C21ED7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A0887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47CC98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0D08E01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11#一期油库西</w:t>
                  </w:r>
                </w:p>
              </w:tc>
              <w:tc>
                <w:tcPr>
                  <w:tcW w:w="585" w:type="pct"/>
                  <w:vMerge w:val="continue"/>
                  <w:tcBorders>
                    <w:tl2br w:val="nil"/>
                    <w:tr2bl w:val="nil"/>
                  </w:tcBorders>
                  <w:vAlign w:val="center"/>
                </w:tcPr>
                <w:p w14:paraId="073AD153">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705EEF4A">
                  <w:pPr>
                    <w:widowControl w:val="0"/>
                    <w:autoSpaceDE w:val="0"/>
                    <w:autoSpaceDN w:val="0"/>
                    <w:spacing w:line="240" w:lineRule="auto"/>
                    <w:ind w:firstLine="0" w:firstLineChars="0"/>
                    <w:jc w:val="center"/>
                    <w:rPr>
                      <w:rFonts w:hint="default" w:eastAsia="微软雅黑"/>
                      <w:spacing w:val="-2"/>
                      <w:sz w:val="21"/>
                      <w:szCs w:val="21"/>
                      <w:u w:val="none"/>
                      <w:lang w:val="en-US" w:eastAsia="zh-CN"/>
                    </w:rPr>
                  </w:pPr>
                  <w:r>
                    <w:rPr>
                      <w:rFonts w:hint="eastAsia" w:eastAsia="微软雅黑"/>
                      <w:spacing w:val="-2"/>
                      <w:sz w:val="21"/>
                      <w:szCs w:val="21"/>
                      <w:u w:val="none"/>
                      <w:lang w:val="en-US" w:eastAsia="zh-CN"/>
                    </w:rPr>
                    <w:t>0.31</w:t>
                  </w:r>
                </w:p>
              </w:tc>
              <w:tc>
                <w:tcPr>
                  <w:tcW w:w="590" w:type="pct"/>
                  <w:tcBorders>
                    <w:tl2br w:val="nil"/>
                    <w:tr2bl w:val="nil"/>
                  </w:tcBorders>
                  <w:vAlign w:val="center"/>
                </w:tcPr>
                <w:p w14:paraId="307204C8">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0.45</w:t>
                  </w:r>
                </w:p>
              </w:tc>
              <w:tc>
                <w:tcPr>
                  <w:tcW w:w="638" w:type="pct"/>
                  <w:tcBorders>
                    <w:tl2br w:val="nil"/>
                    <w:tr2bl w:val="nil"/>
                  </w:tcBorders>
                  <w:vAlign w:val="center"/>
                </w:tcPr>
                <w:p w14:paraId="19923773">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0.40</w:t>
                  </w:r>
                </w:p>
              </w:tc>
              <w:tc>
                <w:tcPr>
                  <w:tcW w:w="633" w:type="pct"/>
                  <w:vMerge w:val="continue"/>
                  <w:tcBorders>
                    <w:tl2br w:val="nil"/>
                    <w:tr2bl w:val="nil"/>
                  </w:tcBorders>
                  <w:vAlign w:val="center"/>
                </w:tcPr>
                <w:p w14:paraId="08FCD2E2">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20FCFF7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33EF43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35821C8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32997DE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12#一期油库北</w:t>
                  </w:r>
                </w:p>
              </w:tc>
              <w:tc>
                <w:tcPr>
                  <w:tcW w:w="585" w:type="pct"/>
                  <w:vMerge w:val="continue"/>
                  <w:tcBorders>
                    <w:tl2br w:val="nil"/>
                    <w:tr2bl w:val="nil"/>
                  </w:tcBorders>
                  <w:vAlign w:val="center"/>
                </w:tcPr>
                <w:p w14:paraId="2214B678">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2CB330B4">
                  <w:pPr>
                    <w:widowControl w:val="0"/>
                    <w:autoSpaceDE w:val="0"/>
                    <w:autoSpaceDN w:val="0"/>
                    <w:spacing w:line="240" w:lineRule="auto"/>
                    <w:ind w:firstLine="0" w:firstLineChars="0"/>
                    <w:jc w:val="center"/>
                    <w:rPr>
                      <w:rFonts w:hint="default" w:eastAsia="微软雅黑"/>
                      <w:spacing w:val="-2"/>
                      <w:sz w:val="21"/>
                      <w:szCs w:val="21"/>
                      <w:u w:val="none"/>
                      <w:lang w:val="en-US" w:eastAsia="zh-CN"/>
                    </w:rPr>
                  </w:pPr>
                  <w:r>
                    <w:rPr>
                      <w:rFonts w:hint="eastAsia" w:eastAsia="微软雅黑"/>
                      <w:spacing w:val="-2"/>
                      <w:sz w:val="21"/>
                      <w:szCs w:val="21"/>
                      <w:u w:val="none"/>
                      <w:lang w:val="en-US" w:eastAsia="zh-CN"/>
                    </w:rPr>
                    <w:t>0.79</w:t>
                  </w:r>
                </w:p>
              </w:tc>
              <w:tc>
                <w:tcPr>
                  <w:tcW w:w="590" w:type="pct"/>
                  <w:tcBorders>
                    <w:tl2br w:val="nil"/>
                    <w:tr2bl w:val="nil"/>
                  </w:tcBorders>
                  <w:vAlign w:val="center"/>
                </w:tcPr>
                <w:p w14:paraId="1B332AE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0.94</w:t>
                  </w:r>
                </w:p>
              </w:tc>
              <w:tc>
                <w:tcPr>
                  <w:tcW w:w="638" w:type="pct"/>
                  <w:tcBorders>
                    <w:tl2br w:val="nil"/>
                    <w:tr2bl w:val="nil"/>
                  </w:tcBorders>
                  <w:vAlign w:val="center"/>
                </w:tcPr>
                <w:p w14:paraId="7FAFE099">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0.88</w:t>
                  </w:r>
                </w:p>
              </w:tc>
              <w:tc>
                <w:tcPr>
                  <w:tcW w:w="633" w:type="pct"/>
                  <w:vMerge w:val="continue"/>
                  <w:tcBorders>
                    <w:tl2br w:val="nil"/>
                    <w:tr2bl w:val="nil"/>
                  </w:tcBorders>
                  <w:vAlign w:val="center"/>
                </w:tcPr>
                <w:p w14:paraId="357B54B1">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69BEFA9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663657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53BBAA4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525955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13#二期油库东</w:t>
                  </w:r>
                </w:p>
              </w:tc>
              <w:tc>
                <w:tcPr>
                  <w:tcW w:w="585" w:type="pct"/>
                  <w:vMerge w:val="continue"/>
                  <w:tcBorders>
                    <w:tl2br w:val="nil"/>
                    <w:tr2bl w:val="nil"/>
                  </w:tcBorders>
                  <w:vAlign w:val="center"/>
                </w:tcPr>
                <w:p w14:paraId="30EC8F0C">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40789EC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0.65</w:t>
                  </w:r>
                </w:p>
              </w:tc>
              <w:tc>
                <w:tcPr>
                  <w:tcW w:w="590" w:type="pct"/>
                  <w:tcBorders>
                    <w:tl2br w:val="nil"/>
                    <w:tr2bl w:val="nil"/>
                  </w:tcBorders>
                  <w:vAlign w:val="center"/>
                </w:tcPr>
                <w:p w14:paraId="498E103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0.67</w:t>
                  </w:r>
                </w:p>
              </w:tc>
              <w:tc>
                <w:tcPr>
                  <w:tcW w:w="638" w:type="pct"/>
                  <w:tcBorders>
                    <w:tl2br w:val="nil"/>
                    <w:tr2bl w:val="nil"/>
                  </w:tcBorders>
                  <w:vAlign w:val="center"/>
                </w:tcPr>
                <w:p w14:paraId="08720F2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0.66</w:t>
                  </w:r>
                </w:p>
              </w:tc>
              <w:tc>
                <w:tcPr>
                  <w:tcW w:w="633" w:type="pct"/>
                  <w:vMerge w:val="continue"/>
                  <w:tcBorders>
                    <w:tl2br w:val="nil"/>
                    <w:tr2bl w:val="nil"/>
                  </w:tcBorders>
                  <w:vAlign w:val="center"/>
                </w:tcPr>
                <w:p w14:paraId="25F16BAF">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17CBDF0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2DAAE3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2E3818E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21CCA5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14#二期油库南</w:t>
                  </w:r>
                </w:p>
              </w:tc>
              <w:tc>
                <w:tcPr>
                  <w:tcW w:w="585" w:type="pct"/>
                  <w:vMerge w:val="continue"/>
                  <w:tcBorders>
                    <w:tl2br w:val="nil"/>
                    <w:tr2bl w:val="nil"/>
                  </w:tcBorders>
                  <w:vAlign w:val="center"/>
                </w:tcPr>
                <w:p w14:paraId="32A63E7A">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0F461508">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0.41</w:t>
                  </w:r>
                </w:p>
              </w:tc>
              <w:tc>
                <w:tcPr>
                  <w:tcW w:w="590" w:type="pct"/>
                  <w:tcBorders>
                    <w:tl2br w:val="nil"/>
                    <w:tr2bl w:val="nil"/>
                  </w:tcBorders>
                  <w:vAlign w:val="center"/>
                </w:tcPr>
                <w:p w14:paraId="09A21090">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0.42</w:t>
                  </w:r>
                </w:p>
              </w:tc>
              <w:tc>
                <w:tcPr>
                  <w:tcW w:w="638" w:type="pct"/>
                  <w:tcBorders>
                    <w:tl2br w:val="nil"/>
                    <w:tr2bl w:val="nil"/>
                  </w:tcBorders>
                  <w:vAlign w:val="center"/>
                </w:tcPr>
                <w:p w14:paraId="59689D3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0.40</w:t>
                  </w:r>
                </w:p>
              </w:tc>
              <w:tc>
                <w:tcPr>
                  <w:tcW w:w="633" w:type="pct"/>
                  <w:vMerge w:val="continue"/>
                  <w:tcBorders>
                    <w:tl2br w:val="nil"/>
                    <w:tr2bl w:val="nil"/>
                  </w:tcBorders>
                  <w:vAlign w:val="center"/>
                </w:tcPr>
                <w:p w14:paraId="219B6431">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5C1EB30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3BB6DA3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41DF2D3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34EA8EDF">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spacing w:val="7"/>
                      <w:kern w:val="0"/>
                      <w:sz w:val="21"/>
                      <w:szCs w:val="21"/>
                      <w:u w:val="none"/>
                      <w:lang w:val="en-US"/>
                    </w:rPr>
                  </w:pPr>
                  <w:r>
                    <w:rPr>
                      <w:rFonts w:hint="eastAsia"/>
                      <w:snapToGrid w:val="0"/>
                      <w:color w:val="000000"/>
                      <w:spacing w:val="7"/>
                      <w:kern w:val="0"/>
                      <w:sz w:val="21"/>
                      <w:szCs w:val="21"/>
                      <w:u w:val="none"/>
                      <w:lang w:val="en-US" w:eastAsia="zh-CN"/>
                    </w:rPr>
                    <w:t>15#二期油库西</w:t>
                  </w:r>
                </w:p>
              </w:tc>
              <w:tc>
                <w:tcPr>
                  <w:tcW w:w="585" w:type="pct"/>
                  <w:vMerge w:val="continue"/>
                  <w:tcBorders>
                    <w:tl2br w:val="nil"/>
                    <w:tr2bl w:val="nil"/>
                  </w:tcBorders>
                  <w:vAlign w:val="center"/>
                </w:tcPr>
                <w:p w14:paraId="3A30A69F">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56DF371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0.37</w:t>
                  </w:r>
                </w:p>
              </w:tc>
              <w:tc>
                <w:tcPr>
                  <w:tcW w:w="590" w:type="pct"/>
                  <w:tcBorders>
                    <w:tl2br w:val="nil"/>
                    <w:tr2bl w:val="nil"/>
                  </w:tcBorders>
                  <w:vAlign w:val="center"/>
                </w:tcPr>
                <w:p w14:paraId="7663914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0.43</w:t>
                  </w:r>
                </w:p>
              </w:tc>
              <w:tc>
                <w:tcPr>
                  <w:tcW w:w="638" w:type="pct"/>
                  <w:tcBorders>
                    <w:tl2br w:val="nil"/>
                    <w:tr2bl w:val="nil"/>
                  </w:tcBorders>
                  <w:vAlign w:val="center"/>
                </w:tcPr>
                <w:p w14:paraId="3B6C103F">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0.51</w:t>
                  </w:r>
                </w:p>
              </w:tc>
              <w:tc>
                <w:tcPr>
                  <w:tcW w:w="633" w:type="pct"/>
                  <w:vMerge w:val="continue"/>
                  <w:tcBorders>
                    <w:tl2br w:val="nil"/>
                    <w:tr2bl w:val="nil"/>
                  </w:tcBorders>
                  <w:vAlign w:val="center"/>
                </w:tcPr>
                <w:p w14:paraId="6B71F4E0">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5EDA8B4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0F82C04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0D5817B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1C3A323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16#二期油库北</w:t>
                  </w:r>
                </w:p>
              </w:tc>
              <w:tc>
                <w:tcPr>
                  <w:tcW w:w="585" w:type="pct"/>
                  <w:vMerge w:val="continue"/>
                  <w:tcBorders>
                    <w:tl2br w:val="nil"/>
                    <w:tr2bl w:val="nil"/>
                  </w:tcBorders>
                  <w:vAlign w:val="center"/>
                </w:tcPr>
                <w:p w14:paraId="228A59EB">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491A5663">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0.76</w:t>
                  </w:r>
                </w:p>
              </w:tc>
              <w:tc>
                <w:tcPr>
                  <w:tcW w:w="590" w:type="pct"/>
                  <w:tcBorders>
                    <w:tl2br w:val="nil"/>
                    <w:tr2bl w:val="nil"/>
                  </w:tcBorders>
                  <w:vAlign w:val="center"/>
                </w:tcPr>
                <w:p w14:paraId="62475498">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0.78</w:t>
                  </w:r>
                </w:p>
              </w:tc>
              <w:tc>
                <w:tcPr>
                  <w:tcW w:w="638" w:type="pct"/>
                  <w:tcBorders>
                    <w:tl2br w:val="nil"/>
                    <w:tr2bl w:val="nil"/>
                  </w:tcBorders>
                  <w:vAlign w:val="center"/>
                </w:tcPr>
                <w:p w14:paraId="7E0843B9">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0.80</w:t>
                  </w:r>
                </w:p>
              </w:tc>
              <w:tc>
                <w:tcPr>
                  <w:tcW w:w="633" w:type="pct"/>
                  <w:vMerge w:val="continue"/>
                  <w:tcBorders>
                    <w:tl2br w:val="nil"/>
                    <w:tr2bl w:val="nil"/>
                  </w:tcBorders>
                  <w:vAlign w:val="center"/>
                </w:tcPr>
                <w:p w14:paraId="21DDCB55">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6255B2B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534270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restart"/>
                  <w:tcBorders>
                    <w:tl2br w:val="nil"/>
                    <w:tr2bl w:val="nil"/>
                  </w:tcBorders>
                  <w:vAlign w:val="center"/>
                </w:tcPr>
                <w:p w14:paraId="5118510D">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2025.1.06</w:t>
                  </w:r>
                </w:p>
              </w:tc>
              <w:tc>
                <w:tcPr>
                  <w:tcW w:w="1017" w:type="pct"/>
                  <w:tcBorders>
                    <w:tl2br w:val="nil"/>
                    <w:tr2bl w:val="nil"/>
                  </w:tcBorders>
                  <w:shd w:val="clear" w:color="auto" w:fill="auto"/>
                  <w:vAlign w:val="center"/>
                </w:tcPr>
                <w:p w14:paraId="6D3F2BA8">
                  <w:pPr>
                    <w:widowControl w:val="0"/>
                    <w:wordWrap w:val="0"/>
                    <w:overflowPunct w:val="0"/>
                    <w:autoSpaceDE w:val="0"/>
                    <w:autoSpaceDN w:val="0"/>
                    <w:adjustRightInd w:val="0"/>
                    <w:snapToGrid w:val="0"/>
                    <w:spacing w:line="240" w:lineRule="auto"/>
                    <w:ind w:firstLine="0" w:firstLineChars="0"/>
                    <w:jc w:val="center"/>
                    <w:textAlignment w:val="baseline"/>
                    <w:rPr>
                      <w:rFonts w:hint="default"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1#厂界东侧</w:t>
                  </w:r>
                </w:p>
              </w:tc>
              <w:tc>
                <w:tcPr>
                  <w:tcW w:w="585" w:type="pct"/>
                  <w:vMerge w:val="restart"/>
                  <w:tcBorders>
                    <w:tl2br w:val="nil"/>
                    <w:tr2bl w:val="nil"/>
                  </w:tcBorders>
                  <w:vAlign w:val="center"/>
                </w:tcPr>
                <w:p w14:paraId="3BD6D820">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r>
                    <w:rPr>
                      <w:rFonts w:hint="eastAsia" w:ascii="Times New Roman" w:hAnsi="Times New Roman" w:cs="Times New Roman"/>
                      <w:spacing w:val="3"/>
                      <w:sz w:val="21"/>
                      <w:szCs w:val="21"/>
                      <w:u w:val="none"/>
                      <w:lang w:val="en-US" w:eastAsia="zh-CN"/>
                    </w:rPr>
                    <w:t>总悬浮颗粒物</w:t>
                  </w:r>
                </w:p>
              </w:tc>
              <w:tc>
                <w:tcPr>
                  <w:tcW w:w="690" w:type="pct"/>
                  <w:tcBorders>
                    <w:tl2br w:val="nil"/>
                    <w:tr2bl w:val="nil"/>
                  </w:tcBorders>
                  <w:vAlign w:val="center"/>
                </w:tcPr>
                <w:p w14:paraId="1227BD6C">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0.390</w:t>
                  </w:r>
                </w:p>
              </w:tc>
              <w:tc>
                <w:tcPr>
                  <w:tcW w:w="590" w:type="pct"/>
                  <w:tcBorders>
                    <w:tl2br w:val="nil"/>
                    <w:tr2bl w:val="nil"/>
                  </w:tcBorders>
                  <w:vAlign w:val="center"/>
                </w:tcPr>
                <w:p w14:paraId="434BF175">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0.323</w:t>
                  </w:r>
                </w:p>
              </w:tc>
              <w:tc>
                <w:tcPr>
                  <w:tcW w:w="638" w:type="pct"/>
                  <w:tcBorders>
                    <w:tl2br w:val="nil"/>
                    <w:tr2bl w:val="nil"/>
                  </w:tcBorders>
                  <w:vAlign w:val="center"/>
                </w:tcPr>
                <w:p w14:paraId="12C5799B">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0.342</w:t>
                  </w:r>
                </w:p>
              </w:tc>
              <w:tc>
                <w:tcPr>
                  <w:tcW w:w="633" w:type="pct"/>
                  <w:vMerge w:val="restart"/>
                  <w:tcBorders>
                    <w:tl2br w:val="nil"/>
                    <w:tr2bl w:val="nil"/>
                  </w:tcBorders>
                  <w:vAlign w:val="center"/>
                </w:tcPr>
                <w:p w14:paraId="5D117CA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1.0</w:t>
                  </w:r>
                </w:p>
              </w:tc>
              <w:tc>
                <w:tcPr>
                  <w:tcW w:w="469" w:type="pct"/>
                  <w:tcBorders>
                    <w:tl2br w:val="nil"/>
                    <w:tr2bl w:val="nil"/>
                  </w:tcBorders>
                  <w:vAlign w:val="center"/>
                </w:tcPr>
                <w:p w14:paraId="02B9AC4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096454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135F2AC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5EB01685">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2#厂界南侧</w:t>
                  </w:r>
                </w:p>
              </w:tc>
              <w:tc>
                <w:tcPr>
                  <w:tcW w:w="585" w:type="pct"/>
                  <w:vMerge w:val="continue"/>
                  <w:tcBorders>
                    <w:tl2br w:val="nil"/>
                    <w:tr2bl w:val="nil"/>
                  </w:tcBorders>
                  <w:vAlign w:val="center"/>
                </w:tcPr>
                <w:p w14:paraId="6FC29163">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690FFE50">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0.454</w:t>
                  </w:r>
                </w:p>
              </w:tc>
              <w:tc>
                <w:tcPr>
                  <w:tcW w:w="590" w:type="pct"/>
                  <w:tcBorders>
                    <w:tl2br w:val="nil"/>
                    <w:tr2bl w:val="nil"/>
                  </w:tcBorders>
                  <w:vAlign w:val="center"/>
                </w:tcPr>
                <w:p w14:paraId="3FD51538">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0.385</w:t>
                  </w:r>
                </w:p>
              </w:tc>
              <w:tc>
                <w:tcPr>
                  <w:tcW w:w="638" w:type="pct"/>
                  <w:tcBorders>
                    <w:tl2br w:val="nil"/>
                    <w:tr2bl w:val="nil"/>
                  </w:tcBorders>
                  <w:vAlign w:val="center"/>
                </w:tcPr>
                <w:p w14:paraId="2508AB79">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0.384</w:t>
                  </w:r>
                </w:p>
              </w:tc>
              <w:tc>
                <w:tcPr>
                  <w:tcW w:w="633" w:type="pct"/>
                  <w:vMerge w:val="continue"/>
                  <w:tcBorders>
                    <w:tl2br w:val="nil"/>
                    <w:tr2bl w:val="nil"/>
                  </w:tcBorders>
                  <w:vAlign w:val="center"/>
                </w:tcPr>
                <w:p w14:paraId="5E6B6FE9">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34B8CF1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F5C8E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862CD4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1D929DF1">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3#厂界西侧</w:t>
                  </w:r>
                </w:p>
              </w:tc>
              <w:tc>
                <w:tcPr>
                  <w:tcW w:w="585" w:type="pct"/>
                  <w:vMerge w:val="continue"/>
                  <w:tcBorders>
                    <w:tl2br w:val="nil"/>
                    <w:tr2bl w:val="nil"/>
                  </w:tcBorders>
                  <w:vAlign w:val="center"/>
                </w:tcPr>
                <w:p w14:paraId="14573487">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2CBF55D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0.382</w:t>
                  </w:r>
                </w:p>
              </w:tc>
              <w:tc>
                <w:tcPr>
                  <w:tcW w:w="590" w:type="pct"/>
                  <w:tcBorders>
                    <w:tl2br w:val="nil"/>
                    <w:tr2bl w:val="nil"/>
                  </w:tcBorders>
                  <w:vAlign w:val="center"/>
                </w:tcPr>
                <w:p w14:paraId="123B544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0.296</w:t>
                  </w:r>
                </w:p>
              </w:tc>
              <w:tc>
                <w:tcPr>
                  <w:tcW w:w="638" w:type="pct"/>
                  <w:tcBorders>
                    <w:tl2br w:val="nil"/>
                    <w:tr2bl w:val="nil"/>
                  </w:tcBorders>
                  <w:vAlign w:val="center"/>
                </w:tcPr>
                <w:p w14:paraId="4FF89F1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0.432</w:t>
                  </w:r>
                </w:p>
              </w:tc>
              <w:tc>
                <w:tcPr>
                  <w:tcW w:w="633" w:type="pct"/>
                  <w:vMerge w:val="continue"/>
                  <w:tcBorders>
                    <w:tl2br w:val="nil"/>
                    <w:tr2bl w:val="nil"/>
                  </w:tcBorders>
                  <w:vAlign w:val="center"/>
                </w:tcPr>
                <w:p w14:paraId="72F3315D">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5745CC2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3C1F472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183B4E1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422B83FD">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4#厂界北侧</w:t>
                  </w:r>
                </w:p>
              </w:tc>
              <w:tc>
                <w:tcPr>
                  <w:tcW w:w="585" w:type="pct"/>
                  <w:vMerge w:val="continue"/>
                  <w:tcBorders>
                    <w:tl2br w:val="nil"/>
                    <w:tr2bl w:val="nil"/>
                  </w:tcBorders>
                  <w:vAlign w:val="center"/>
                </w:tcPr>
                <w:p w14:paraId="4D717BDC">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643A995F">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0.352</w:t>
                  </w:r>
                </w:p>
              </w:tc>
              <w:tc>
                <w:tcPr>
                  <w:tcW w:w="590" w:type="pct"/>
                  <w:tcBorders>
                    <w:tl2br w:val="nil"/>
                    <w:tr2bl w:val="nil"/>
                  </w:tcBorders>
                  <w:vAlign w:val="center"/>
                </w:tcPr>
                <w:p w14:paraId="481F6439">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0.307</w:t>
                  </w:r>
                </w:p>
              </w:tc>
              <w:tc>
                <w:tcPr>
                  <w:tcW w:w="638" w:type="pct"/>
                  <w:tcBorders>
                    <w:tl2br w:val="nil"/>
                    <w:tr2bl w:val="nil"/>
                  </w:tcBorders>
                  <w:vAlign w:val="center"/>
                </w:tcPr>
                <w:p w14:paraId="64985AF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0.411</w:t>
                  </w:r>
                </w:p>
              </w:tc>
              <w:tc>
                <w:tcPr>
                  <w:tcW w:w="633" w:type="pct"/>
                  <w:vMerge w:val="continue"/>
                  <w:tcBorders>
                    <w:tl2br w:val="nil"/>
                    <w:tr2bl w:val="nil"/>
                  </w:tcBorders>
                  <w:vAlign w:val="center"/>
                </w:tcPr>
                <w:p w14:paraId="27F9C01B">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7EB367E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3C7801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4B94307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481D1C3E">
                  <w:pPr>
                    <w:widowControl w:val="0"/>
                    <w:wordWrap w:val="0"/>
                    <w:overflowPunct w:val="0"/>
                    <w:autoSpaceDE w:val="0"/>
                    <w:autoSpaceDN w:val="0"/>
                    <w:adjustRightInd w:val="0"/>
                    <w:snapToGrid w:val="0"/>
                    <w:spacing w:line="240" w:lineRule="auto"/>
                    <w:ind w:firstLine="0" w:firstLineChars="0"/>
                    <w:jc w:val="center"/>
                    <w:textAlignment w:val="baseline"/>
                    <w:rPr>
                      <w:rFonts w:hint="default"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1#厂界东侧</w:t>
                  </w:r>
                </w:p>
              </w:tc>
              <w:tc>
                <w:tcPr>
                  <w:tcW w:w="585" w:type="pct"/>
                  <w:vMerge w:val="restart"/>
                  <w:tcBorders>
                    <w:tl2br w:val="nil"/>
                    <w:tr2bl w:val="nil"/>
                  </w:tcBorders>
                  <w:vAlign w:val="center"/>
                </w:tcPr>
                <w:p w14:paraId="7E73E041">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氨</w:t>
                  </w:r>
                </w:p>
              </w:tc>
              <w:tc>
                <w:tcPr>
                  <w:tcW w:w="690" w:type="pct"/>
                  <w:tcBorders>
                    <w:tl2br w:val="nil"/>
                    <w:tr2bl w:val="nil"/>
                  </w:tcBorders>
                  <w:vAlign w:val="center"/>
                </w:tcPr>
                <w:p w14:paraId="4DA0454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590" w:type="pct"/>
                  <w:tcBorders>
                    <w:tl2br w:val="nil"/>
                    <w:tr2bl w:val="nil"/>
                  </w:tcBorders>
                  <w:vAlign w:val="center"/>
                </w:tcPr>
                <w:p w14:paraId="6D63687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0.06</w:t>
                  </w:r>
                </w:p>
              </w:tc>
              <w:tc>
                <w:tcPr>
                  <w:tcW w:w="638" w:type="pct"/>
                  <w:tcBorders>
                    <w:tl2br w:val="nil"/>
                    <w:tr2bl w:val="nil"/>
                  </w:tcBorders>
                  <w:vAlign w:val="center"/>
                </w:tcPr>
                <w:p w14:paraId="40FBEFB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0.08</w:t>
                  </w:r>
                </w:p>
              </w:tc>
              <w:tc>
                <w:tcPr>
                  <w:tcW w:w="633" w:type="pct"/>
                  <w:vMerge w:val="restart"/>
                  <w:tcBorders>
                    <w:tl2br w:val="nil"/>
                    <w:tr2bl w:val="nil"/>
                  </w:tcBorders>
                  <w:vAlign w:val="center"/>
                </w:tcPr>
                <w:p w14:paraId="558E4FE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2.0</w:t>
                  </w:r>
                </w:p>
              </w:tc>
              <w:tc>
                <w:tcPr>
                  <w:tcW w:w="469" w:type="pct"/>
                  <w:tcBorders>
                    <w:tl2br w:val="nil"/>
                    <w:tr2bl w:val="nil"/>
                  </w:tcBorders>
                  <w:vAlign w:val="center"/>
                </w:tcPr>
                <w:p w14:paraId="77FB82D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1C021E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304DB61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6358CE52">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2#厂界南侧</w:t>
                  </w:r>
                </w:p>
              </w:tc>
              <w:tc>
                <w:tcPr>
                  <w:tcW w:w="585" w:type="pct"/>
                  <w:vMerge w:val="continue"/>
                  <w:tcBorders>
                    <w:tl2br w:val="nil"/>
                    <w:tr2bl w:val="nil"/>
                  </w:tcBorders>
                  <w:vAlign w:val="center"/>
                </w:tcPr>
                <w:p w14:paraId="659E2A54">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3DA99C3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590" w:type="pct"/>
                  <w:tcBorders>
                    <w:tl2br w:val="nil"/>
                    <w:tr2bl w:val="nil"/>
                  </w:tcBorders>
                  <w:vAlign w:val="center"/>
                </w:tcPr>
                <w:p w14:paraId="0B11ED8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0.08</w:t>
                  </w:r>
                </w:p>
              </w:tc>
              <w:tc>
                <w:tcPr>
                  <w:tcW w:w="638" w:type="pct"/>
                  <w:tcBorders>
                    <w:tl2br w:val="nil"/>
                    <w:tr2bl w:val="nil"/>
                  </w:tcBorders>
                  <w:vAlign w:val="center"/>
                </w:tcPr>
                <w:p w14:paraId="33A9900E">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0.08</w:t>
                  </w:r>
                </w:p>
              </w:tc>
              <w:tc>
                <w:tcPr>
                  <w:tcW w:w="633" w:type="pct"/>
                  <w:vMerge w:val="continue"/>
                  <w:tcBorders>
                    <w:tl2br w:val="nil"/>
                    <w:tr2bl w:val="nil"/>
                  </w:tcBorders>
                  <w:vAlign w:val="center"/>
                </w:tcPr>
                <w:p w14:paraId="67CC270D">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112C096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47BACA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5E5AC33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4EF5D98F">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3#厂界西侧</w:t>
                  </w:r>
                </w:p>
              </w:tc>
              <w:tc>
                <w:tcPr>
                  <w:tcW w:w="585" w:type="pct"/>
                  <w:vMerge w:val="continue"/>
                  <w:tcBorders>
                    <w:tl2br w:val="nil"/>
                    <w:tr2bl w:val="nil"/>
                  </w:tcBorders>
                  <w:vAlign w:val="center"/>
                </w:tcPr>
                <w:p w14:paraId="4DD94827">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59587CE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590" w:type="pct"/>
                  <w:tcBorders>
                    <w:tl2br w:val="nil"/>
                    <w:tr2bl w:val="nil"/>
                  </w:tcBorders>
                  <w:vAlign w:val="center"/>
                </w:tcPr>
                <w:p w14:paraId="7001134C">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0.07</w:t>
                  </w:r>
                </w:p>
              </w:tc>
              <w:tc>
                <w:tcPr>
                  <w:tcW w:w="638" w:type="pct"/>
                  <w:tcBorders>
                    <w:tl2br w:val="nil"/>
                    <w:tr2bl w:val="nil"/>
                  </w:tcBorders>
                  <w:vAlign w:val="center"/>
                </w:tcPr>
                <w:p w14:paraId="7EA22C5E">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0.06</w:t>
                  </w:r>
                </w:p>
              </w:tc>
              <w:tc>
                <w:tcPr>
                  <w:tcW w:w="633" w:type="pct"/>
                  <w:vMerge w:val="continue"/>
                  <w:tcBorders>
                    <w:tl2br w:val="nil"/>
                    <w:tr2bl w:val="nil"/>
                  </w:tcBorders>
                  <w:vAlign w:val="center"/>
                </w:tcPr>
                <w:p w14:paraId="71B98BEB">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3BC17BB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ED58C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11F1AAD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5405CDF9">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4#厂界北侧</w:t>
                  </w:r>
                </w:p>
              </w:tc>
              <w:tc>
                <w:tcPr>
                  <w:tcW w:w="585" w:type="pct"/>
                  <w:vMerge w:val="continue"/>
                  <w:tcBorders>
                    <w:tl2br w:val="nil"/>
                    <w:tr2bl w:val="nil"/>
                  </w:tcBorders>
                  <w:vAlign w:val="center"/>
                </w:tcPr>
                <w:p w14:paraId="30CF27B6">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1410C88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0.08</w:t>
                  </w:r>
                </w:p>
              </w:tc>
              <w:tc>
                <w:tcPr>
                  <w:tcW w:w="590" w:type="pct"/>
                  <w:tcBorders>
                    <w:tl2br w:val="nil"/>
                    <w:tr2bl w:val="nil"/>
                  </w:tcBorders>
                  <w:vAlign w:val="center"/>
                </w:tcPr>
                <w:p w14:paraId="2F67C3B5">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0.08</w:t>
                  </w:r>
                </w:p>
              </w:tc>
              <w:tc>
                <w:tcPr>
                  <w:tcW w:w="638" w:type="pct"/>
                  <w:tcBorders>
                    <w:tl2br w:val="nil"/>
                    <w:tr2bl w:val="nil"/>
                  </w:tcBorders>
                  <w:vAlign w:val="center"/>
                </w:tcPr>
                <w:p w14:paraId="29292058">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633" w:type="pct"/>
                  <w:vMerge w:val="continue"/>
                  <w:tcBorders>
                    <w:tl2br w:val="nil"/>
                    <w:tr2bl w:val="nil"/>
                  </w:tcBorders>
                  <w:vAlign w:val="center"/>
                </w:tcPr>
                <w:p w14:paraId="33997787">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79F97BD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66D965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493FFEE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4FB209B8">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5#氨站厂界东</w:t>
                  </w:r>
                </w:p>
              </w:tc>
              <w:tc>
                <w:tcPr>
                  <w:tcW w:w="585" w:type="pct"/>
                  <w:vMerge w:val="continue"/>
                  <w:tcBorders>
                    <w:tl2br w:val="nil"/>
                    <w:tr2bl w:val="nil"/>
                  </w:tcBorders>
                  <w:vAlign w:val="center"/>
                </w:tcPr>
                <w:p w14:paraId="3B657948">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0B052D71">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0.07</w:t>
                  </w:r>
                </w:p>
              </w:tc>
              <w:tc>
                <w:tcPr>
                  <w:tcW w:w="590" w:type="pct"/>
                  <w:tcBorders>
                    <w:tl2br w:val="nil"/>
                    <w:tr2bl w:val="nil"/>
                  </w:tcBorders>
                  <w:vAlign w:val="center"/>
                </w:tcPr>
                <w:p w14:paraId="4D2A967B">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0.06</w:t>
                  </w:r>
                </w:p>
              </w:tc>
              <w:tc>
                <w:tcPr>
                  <w:tcW w:w="638" w:type="pct"/>
                  <w:tcBorders>
                    <w:tl2br w:val="nil"/>
                    <w:tr2bl w:val="nil"/>
                  </w:tcBorders>
                  <w:vAlign w:val="center"/>
                </w:tcPr>
                <w:p w14:paraId="5699EA62">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0.06</w:t>
                  </w:r>
                </w:p>
              </w:tc>
              <w:tc>
                <w:tcPr>
                  <w:tcW w:w="633" w:type="pct"/>
                  <w:vMerge w:val="continue"/>
                  <w:tcBorders>
                    <w:tl2br w:val="nil"/>
                    <w:tr2bl w:val="nil"/>
                  </w:tcBorders>
                  <w:vAlign w:val="center"/>
                </w:tcPr>
                <w:p w14:paraId="6635F84E">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6675B70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4AB50D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02A4E70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2275AF1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6#氨站厂界南</w:t>
                  </w:r>
                </w:p>
              </w:tc>
              <w:tc>
                <w:tcPr>
                  <w:tcW w:w="585" w:type="pct"/>
                  <w:vMerge w:val="continue"/>
                  <w:tcBorders>
                    <w:tl2br w:val="nil"/>
                    <w:tr2bl w:val="nil"/>
                  </w:tcBorders>
                  <w:vAlign w:val="center"/>
                </w:tcPr>
                <w:p w14:paraId="29A328B8">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7DD6C7C7">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0.08</w:t>
                  </w:r>
                </w:p>
              </w:tc>
              <w:tc>
                <w:tcPr>
                  <w:tcW w:w="590" w:type="pct"/>
                  <w:tcBorders>
                    <w:tl2br w:val="nil"/>
                    <w:tr2bl w:val="nil"/>
                  </w:tcBorders>
                  <w:vAlign w:val="center"/>
                </w:tcPr>
                <w:p w14:paraId="36B7C7A4">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0.07</w:t>
                  </w:r>
                </w:p>
              </w:tc>
              <w:tc>
                <w:tcPr>
                  <w:tcW w:w="638" w:type="pct"/>
                  <w:tcBorders>
                    <w:tl2br w:val="nil"/>
                    <w:tr2bl w:val="nil"/>
                  </w:tcBorders>
                  <w:vAlign w:val="center"/>
                </w:tcPr>
                <w:p w14:paraId="6314BA72">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0.10</w:t>
                  </w:r>
                </w:p>
              </w:tc>
              <w:tc>
                <w:tcPr>
                  <w:tcW w:w="633" w:type="pct"/>
                  <w:vMerge w:val="continue"/>
                  <w:tcBorders>
                    <w:tl2br w:val="nil"/>
                    <w:tr2bl w:val="nil"/>
                  </w:tcBorders>
                  <w:vAlign w:val="center"/>
                </w:tcPr>
                <w:p w14:paraId="75B6FB16">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493447E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0687FB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014839D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2FF9BDA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7#氨站厂界西</w:t>
                  </w:r>
                </w:p>
              </w:tc>
              <w:tc>
                <w:tcPr>
                  <w:tcW w:w="585" w:type="pct"/>
                  <w:vMerge w:val="continue"/>
                  <w:tcBorders>
                    <w:tl2br w:val="nil"/>
                    <w:tr2bl w:val="nil"/>
                  </w:tcBorders>
                  <w:vAlign w:val="center"/>
                </w:tcPr>
                <w:p w14:paraId="33C9886E">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3E3039E0">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0.07</w:t>
                  </w:r>
                </w:p>
              </w:tc>
              <w:tc>
                <w:tcPr>
                  <w:tcW w:w="590" w:type="pct"/>
                  <w:tcBorders>
                    <w:tl2br w:val="nil"/>
                    <w:tr2bl w:val="nil"/>
                  </w:tcBorders>
                  <w:vAlign w:val="center"/>
                </w:tcPr>
                <w:p w14:paraId="29A6810F">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0.08</w:t>
                  </w:r>
                </w:p>
              </w:tc>
              <w:tc>
                <w:tcPr>
                  <w:tcW w:w="638" w:type="pct"/>
                  <w:tcBorders>
                    <w:tl2br w:val="nil"/>
                    <w:tr2bl w:val="nil"/>
                  </w:tcBorders>
                  <w:vAlign w:val="center"/>
                </w:tcPr>
                <w:p w14:paraId="595B865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0.08</w:t>
                  </w:r>
                </w:p>
              </w:tc>
              <w:tc>
                <w:tcPr>
                  <w:tcW w:w="633" w:type="pct"/>
                  <w:vMerge w:val="continue"/>
                  <w:tcBorders>
                    <w:tl2br w:val="nil"/>
                    <w:tr2bl w:val="nil"/>
                  </w:tcBorders>
                  <w:vAlign w:val="center"/>
                </w:tcPr>
                <w:p w14:paraId="296AE9C6">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1959BE9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4C29FC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E0313E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04C4E1E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8#氨站厂界北</w:t>
                  </w:r>
                </w:p>
              </w:tc>
              <w:tc>
                <w:tcPr>
                  <w:tcW w:w="585" w:type="pct"/>
                  <w:vMerge w:val="continue"/>
                  <w:tcBorders>
                    <w:tl2br w:val="nil"/>
                    <w:tr2bl w:val="nil"/>
                  </w:tcBorders>
                  <w:vAlign w:val="center"/>
                </w:tcPr>
                <w:p w14:paraId="71157C70">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66C61E9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0.06</w:t>
                  </w:r>
                </w:p>
              </w:tc>
              <w:tc>
                <w:tcPr>
                  <w:tcW w:w="590" w:type="pct"/>
                  <w:tcBorders>
                    <w:tl2br w:val="nil"/>
                    <w:tr2bl w:val="nil"/>
                  </w:tcBorders>
                  <w:vAlign w:val="center"/>
                </w:tcPr>
                <w:p w14:paraId="6EF979EF">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0.08</w:t>
                  </w:r>
                </w:p>
              </w:tc>
              <w:tc>
                <w:tcPr>
                  <w:tcW w:w="638" w:type="pct"/>
                  <w:tcBorders>
                    <w:tl2br w:val="nil"/>
                    <w:tr2bl w:val="nil"/>
                  </w:tcBorders>
                  <w:vAlign w:val="center"/>
                </w:tcPr>
                <w:p w14:paraId="194354AC">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0.06</w:t>
                  </w:r>
                </w:p>
              </w:tc>
              <w:tc>
                <w:tcPr>
                  <w:tcW w:w="633" w:type="pct"/>
                  <w:vMerge w:val="continue"/>
                  <w:tcBorders>
                    <w:tl2br w:val="nil"/>
                    <w:tr2bl w:val="nil"/>
                  </w:tcBorders>
                  <w:vAlign w:val="center"/>
                </w:tcPr>
                <w:p w14:paraId="080D4748">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630D07B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621CC4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06CF05E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16F3DB3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1#厂界东侧</w:t>
                  </w:r>
                </w:p>
              </w:tc>
              <w:tc>
                <w:tcPr>
                  <w:tcW w:w="585" w:type="pct"/>
                  <w:vMerge w:val="restart"/>
                  <w:tcBorders>
                    <w:tl2br w:val="nil"/>
                    <w:tr2bl w:val="nil"/>
                  </w:tcBorders>
                  <w:vAlign w:val="center"/>
                </w:tcPr>
                <w:p w14:paraId="50B90FA5">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硫化氢</w:t>
                  </w:r>
                </w:p>
              </w:tc>
              <w:tc>
                <w:tcPr>
                  <w:tcW w:w="690" w:type="pct"/>
                  <w:tcBorders>
                    <w:tl2br w:val="nil"/>
                    <w:tr2bl w:val="nil"/>
                  </w:tcBorders>
                  <w:vAlign w:val="center"/>
                </w:tcPr>
                <w:p w14:paraId="170C15F6">
                  <w:pPr>
                    <w:widowControl w:val="0"/>
                    <w:autoSpaceDE w:val="0"/>
                    <w:autoSpaceDN w:val="0"/>
                    <w:spacing w:line="240" w:lineRule="auto"/>
                    <w:ind w:firstLine="0" w:firstLineChars="0"/>
                    <w:jc w:val="center"/>
                    <w:rPr>
                      <w:rFonts w:hint="eastAsia" w:eastAsia="宋体"/>
                      <w:spacing w:val="-2"/>
                      <w:sz w:val="21"/>
                      <w:szCs w:val="21"/>
                      <w:u w:val="none"/>
                      <w:lang w:val="en-US" w:eastAsia="zh-CN"/>
                    </w:rPr>
                  </w:pPr>
                  <w:r>
                    <w:rPr>
                      <w:rFonts w:hint="eastAsia"/>
                      <w:spacing w:val="-2"/>
                      <w:sz w:val="21"/>
                      <w:szCs w:val="21"/>
                      <w:u w:val="none"/>
                      <w:lang w:val="en-US" w:eastAsia="zh-CN"/>
                    </w:rPr>
                    <w:t>ND</w:t>
                  </w:r>
                </w:p>
              </w:tc>
              <w:tc>
                <w:tcPr>
                  <w:tcW w:w="590" w:type="pct"/>
                  <w:tcBorders>
                    <w:tl2br w:val="nil"/>
                    <w:tr2bl w:val="nil"/>
                  </w:tcBorders>
                  <w:vAlign w:val="center"/>
                </w:tcPr>
                <w:p w14:paraId="198C8B22">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8" w:type="pct"/>
                  <w:tcBorders>
                    <w:tl2br w:val="nil"/>
                    <w:tr2bl w:val="nil"/>
                  </w:tcBorders>
                  <w:vAlign w:val="center"/>
                </w:tcPr>
                <w:p w14:paraId="4ECAF288">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3" w:type="pct"/>
                  <w:vMerge w:val="restart"/>
                  <w:tcBorders>
                    <w:tl2br w:val="nil"/>
                    <w:tr2bl w:val="nil"/>
                  </w:tcBorders>
                  <w:vAlign w:val="center"/>
                </w:tcPr>
                <w:p w14:paraId="34B52D7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0.10</w:t>
                  </w:r>
                </w:p>
              </w:tc>
              <w:tc>
                <w:tcPr>
                  <w:tcW w:w="469" w:type="pct"/>
                  <w:tcBorders>
                    <w:tl2br w:val="nil"/>
                    <w:tr2bl w:val="nil"/>
                  </w:tcBorders>
                  <w:vAlign w:val="center"/>
                </w:tcPr>
                <w:p w14:paraId="085DEC0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088064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5981CF9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309469C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2#厂界南侧</w:t>
                  </w:r>
                </w:p>
              </w:tc>
              <w:tc>
                <w:tcPr>
                  <w:tcW w:w="585" w:type="pct"/>
                  <w:vMerge w:val="continue"/>
                  <w:tcBorders>
                    <w:tl2br w:val="nil"/>
                    <w:tr2bl w:val="nil"/>
                  </w:tcBorders>
                  <w:vAlign w:val="center"/>
                </w:tcPr>
                <w:p w14:paraId="035E2675">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0AC98B05">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590" w:type="pct"/>
                  <w:tcBorders>
                    <w:tl2br w:val="nil"/>
                    <w:tr2bl w:val="nil"/>
                  </w:tcBorders>
                  <w:vAlign w:val="center"/>
                </w:tcPr>
                <w:p w14:paraId="08EE8AE2">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8" w:type="pct"/>
                  <w:tcBorders>
                    <w:tl2br w:val="nil"/>
                    <w:tr2bl w:val="nil"/>
                  </w:tcBorders>
                  <w:vAlign w:val="center"/>
                </w:tcPr>
                <w:p w14:paraId="7BA4EECE">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3" w:type="pct"/>
                  <w:vMerge w:val="continue"/>
                  <w:tcBorders>
                    <w:tl2br w:val="nil"/>
                    <w:tr2bl w:val="nil"/>
                  </w:tcBorders>
                  <w:vAlign w:val="center"/>
                </w:tcPr>
                <w:p w14:paraId="67C9A278">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729A099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ECE08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4D8194C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240052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3#厂界西侧</w:t>
                  </w:r>
                </w:p>
              </w:tc>
              <w:tc>
                <w:tcPr>
                  <w:tcW w:w="585" w:type="pct"/>
                  <w:vMerge w:val="continue"/>
                  <w:tcBorders>
                    <w:tl2br w:val="nil"/>
                    <w:tr2bl w:val="nil"/>
                  </w:tcBorders>
                  <w:vAlign w:val="center"/>
                </w:tcPr>
                <w:p w14:paraId="409E5F94">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1EE18CDE">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590" w:type="pct"/>
                  <w:tcBorders>
                    <w:tl2br w:val="nil"/>
                    <w:tr2bl w:val="nil"/>
                  </w:tcBorders>
                  <w:vAlign w:val="center"/>
                </w:tcPr>
                <w:p w14:paraId="42D0A283">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8" w:type="pct"/>
                  <w:tcBorders>
                    <w:tl2br w:val="nil"/>
                    <w:tr2bl w:val="nil"/>
                  </w:tcBorders>
                  <w:vAlign w:val="center"/>
                </w:tcPr>
                <w:p w14:paraId="27552122">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3" w:type="pct"/>
                  <w:vMerge w:val="continue"/>
                  <w:tcBorders>
                    <w:tl2br w:val="nil"/>
                    <w:tr2bl w:val="nil"/>
                  </w:tcBorders>
                  <w:vAlign w:val="center"/>
                </w:tcPr>
                <w:p w14:paraId="22D3A0B3">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6F561F8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66D109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52DC997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095AB50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4#厂界北侧</w:t>
                  </w:r>
                </w:p>
              </w:tc>
              <w:tc>
                <w:tcPr>
                  <w:tcW w:w="585" w:type="pct"/>
                  <w:vMerge w:val="continue"/>
                  <w:tcBorders>
                    <w:tl2br w:val="nil"/>
                    <w:tr2bl w:val="nil"/>
                  </w:tcBorders>
                  <w:vAlign w:val="center"/>
                </w:tcPr>
                <w:p w14:paraId="277942C7">
                  <w:pPr>
                    <w:pStyle w:val="392"/>
                    <w:widowControl w:val="0"/>
                    <w:autoSpaceDE w:val="0"/>
                    <w:autoSpaceDN w:val="0"/>
                    <w:spacing w:line="240" w:lineRule="auto"/>
                    <w:ind w:firstLine="0" w:firstLineChars="0"/>
                    <w:jc w:val="center"/>
                    <w:rPr>
                      <w:rFonts w:hint="eastAsia" w:ascii="Times New Roman" w:hAnsi="Times New Roman" w:cs="Times New Roman"/>
                      <w:spacing w:val="3"/>
                      <w:sz w:val="21"/>
                      <w:szCs w:val="21"/>
                      <w:u w:val="none"/>
                      <w:lang w:eastAsia="zh-CN"/>
                    </w:rPr>
                  </w:pPr>
                </w:p>
              </w:tc>
              <w:tc>
                <w:tcPr>
                  <w:tcW w:w="690" w:type="pct"/>
                  <w:tcBorders>
                    <w:tl2br w:val="nil"/>
                    <w:tr2bl w:val="nil"/>
                  </w:tcBorders>
                  <w:vAlign w:val="center"/>
                </w:tcPr>
                <w:p w14:paraId="61111739">
                  <w:pPr>
                    <w:widowControl w:val="0"/>
                    <w:autoSpaceDE w:val="0"/>
                    <w:autoSpaceDN w:val="0"/>
                    <w:spacing w:line="240" w:lineRule="auto"/>
                    <w:ind w:firstLine="0" w:firstLineChars="0"/>
                    <w:jc w:val="center"/>
                    <w:rPr>
                      <w:rFonts w:hint="eastAsia"/>
                      <w:spacing w:val="-2"/>
                      <w:sz w:val="21"/>
                      <w:szCs w:val="21"/>
                      <w:u w:val="none"/>
                    </w:rPr>
                  </w:pPr>
                  <w:r>
                    <w:rPr>
                      <w:rFonts w:hint="eastAsia"/>
                      <w:spacing w:val="-2"/>
                      <w:sz w:val="21"/>
                      <w:szCs w:val="21"/>
                      <w:u w:val="none"/>
                      <w:lang w:val="en-US" w:eastAsia="zh-CN"/>
                    </w:rPr>
                    <w:t>ND</w:t>
                  </w:r>
                </w:p>
              </w:tc>
              <w:tc>
                <w:tcPr>
                  <w:tcW w:w="590" w:type="pct"/>
                  <w:tcBorders>
                    <w:tl2br w:val="nil"/>
                    <w:tr2bl w:val="nil"/>
                  </w:tcBorders>
                  <w:vAlign w:val="center"/>
                </w:tcPr>
                <w:p w14:paraId="36ECE386">
                  <w:pPr>
                    <w:widowControl w:val="0"/>
                    <w:autoSpaceDE w:val="0"/>
                    <w:autoSpaceDN w:val="0"/>
                    <w:spacing w:line="240" w:lineRule="auto"/>
                    <w:ind w:firstLine="0" w:firstLineChars="0"/>
                    <w:jc w:val="center"/>
                    <w:rPr>
                      <w:rFonts w:hint="eastAsia"/>
                      <w:spacing w:val="-2"/>
                      <w:sz w:val="21"/>
                      <w:szCs w:val="21"/>
                      <w:u w:val="none"/>
                    </w:rPr>
                  </w:pPr>
                  <w:r>
                    <w:rPr>
                      <w:rFonts w:hint="eastAsia"/>
                      <w:spacing w:val="-2"/>
                      <w:sz w:val="21"/>
                      <w:szCs w:val="21"/>
                      <w:u w:val="none"/>
                      <w:lang w:val="en-US" w:eastAsia="zh-CN"/>
                    </w:rPr>
                    <w:t>ND</w:t>
                  </w:r>
                </w:p>
              </w:tc>
              <w:tc>
                <w:tcPr>
                  <w:tcW w:w="638" w:type="pct"/>
                  <w:tcBorders>
                    <w:tl2br w:val="nil"/>
                    <w:tr2bl w:val="nil"/>
                  </w:tcBorders>
                  <w:vAlign w:val="center"/>
                </w:tcPr>
                <w:p w14:paraId="214105C5">
                  <w:pPr>
                    <w:widowControl w:val="0"/>
                    <w:autoSpaceDE w:val="0"/>
                    <w:autoSpaceDN w:val="0"/>
                    <w:spacing w:line="240" w:lineRule="auto"/>
                    <w:ind w:firstLine="0" w:firstLineChars="0"/>
                    <w:jc w:val="center"/>
                    <w:rPr>
                      <w:rFonts w:hint="eastAsia"/>
                      <w:spacing w:val="-2"/>
                      <w:sz w:val="21"/>
                      <w:szCs w:val="21"/>
                      <w:u w:val="none"/>
                    </w:rPr>
                  </w:pPr>
                  <w:r>
                    <w:rPr>
                      <w:rFonts w:hint="eastAsia"/>
                      <w:spacing w:val="-2"/>
                      <w:sz w:val="21"/>
                      <w:szCs w:val="21"/>
                      <w:u w:val="none"/>
                      <w:lang w:val="en-US" w:eastAsia="zh-CN"/>
                    </w:rPr>
                    <w:t>ND</w:t>
                  </w:r>
                </w:p>
              </w:tc>
              <w:tc>
                <w:tcPr>
                  <w:tcW w:w="633" w:type="pct"/>
                  <w:vMerge w:val="continue"/>
                  <w:tcBorders>
                    <w:tl2br w:val="nil"/>
                    <w:tr2bl w:val="nil"/>
                  </w:tcBorders>
                  <w:vAlign w:val="center"/>
                </w:tcPr>
                <w:p w14:paraId="71F21046">
                  <w:pPr>
                    <w:widowControl w:val="0"/>
                    <w:autoSpaceDE w:val="0"/>
                    <w:autoSpaceDN w:val="0"/>
                    <w:spacing w:line="240" w:lineRule="auto"/>
                    <w:ind w:firstLine="0" w:firstLineChars="0"/>
                    <w:jc w:val="center"/>
                    <w:rPr>
                      <w:rFonts w:hint="eastAsia"/>
                      <w:spacing w:val="-2"/>
                      <w:sz w:val="21"/>
                      <w:szCs w:val="21"/>
                      <w:u w:val="none"/>
                    </w:rPr>
                  </w:pPr>
                </w:p>
              </w:tc>
              <w:tc>
                <w:tcPr>
                  <w:tcW w:w="469" w:type="pct"/>
                  <w:tcBorders>
                    <w:tl2br w:val="nil"/>
                    <w:tr2bl w:val="nil"/>
                  </w:tcBorders>
                  <w:vAlign w:val="center"/>
                </w:tcPr>
                <w:p w14:paraId="69BA3E39">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达标</w:t>
                  </w:r>
                </w:p>
              </w:tc>
            </w:tr>
            <w:tr w14:paraId="4BD2BB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restart"/>
                  <w:tcBorders>
                    <w:tl2br w:val="nil"/>
                    <w:tr2bl w:val="nil"/>
                  </w:tcBorders>
                  <w:vAlign w:val="center"/>
                </w:tcPr>
                <w:p w14:paraId="31BEB3DC">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rFonts w:hint="eastAsia"/>
                      <w:b/>
                      <w:bCs/>
                      <w:snapToGrid w:val="0"/>
                      <w:color w:val="000000"/>
                      <w:spacing w:val="7"/>
                      <w:kern w:val="0"/>
                      <w:sz w:val="21"/>
                      <w:szCs w:val="21"/>
                      <w:u w:val="none"/>
                      <w:lang w:val="en-US" w:eastAsia="zh-CN"/>
                    </w:rPr>
                    <w:t>采样</w:t>
                  </w:r>
                  <w:r>
                    <w:rPr>
                      <w:b/>
                      <w:bCs/>
                      <w:snapToGrid w:val="0"/>
                      <w:color w:val="000000"/>
                      <w:spacing w:val="7"/>
                      <w:kern w:val="0"/>
                      <w:sz w:val="21"/>
                      <w:szCs w:val="21"/>
                      <w:u w:val="none"/>
                      <w:lang w:eastAsia="en-US"/>
                    </w:rPr>
                    <w:t>时间</w:t>
                  </w:r>
                </w:p>
              </w:tc>
              <w:tc>
                <w:tcPr>
                  <w:tcW w:w="1017" w:type="pct"/>
                  <w:vMerge w:val="restart"/>
                  <w:tcBorders>
                    <w:tl2br w:val="nil"/>
                    <w:tr2bl w:val="nil"/>
                  </w:tcBorders>
                  <w:vAlign w:val="center"/>
                </w:tcPr>
                <w:p w14:paraId="7C06DB9B">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b/>
                      <w:bCs/>
                      <w:snapToGrid w:val="0"/>
                      <w:color w:val="000000"/>
                      <w:spacing w:val="7"/>
                      <w:kern w:val="0"/>
                      <w:sz w:val="21"/>
                      <w:szCs w:val="21"/>
                      <w:u w:val="none"/>
                      <w:lang w:eastAsia="en-US"/>
                    </w:rPr>
                    <w:t>采样点位</w:t>
                  </w:r>
                </w:p>
              </w:tc>
              <w:tc>
                <w:tcPr>
                  <w:tcW w:w="585" w:type="pct"/>
                  <w:vMerge w:val="restart"/>
                  <w:tcBorders>
                    <w:tl2br w:val="nil"/>
                    <w:tr2bl w:val="nil"/>
                  </w:tcBorders>
                  <w:vAlign w:val="center"/>
                </w:tcPr>
                <w:p w14:paraId="2E23BD99">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b/>
                      <w:bCs/>
                      <w:snapToGrid w:val="0"/>
                      <w:color w:val="000000"/>
                      <w:spacing w:val="7"/>
                      <w:kern w:val="0"/>
                      <w:sz w:val="21"/>
                      <w:szCs w:val="21"/>
                      <w:u w:val="none"/>
                      <w:lang w:eastAsia="en-US"/>
                    </w:rPr>
                    <w:t>检测项目</w:t>
                  </w:r>
                </w:p>
              </w:tc>
              <w:tc>
                <w:tcPr>
                  <w:tcW w:w="1918" w:type="pct"/>
                  <w:gridSpan w:val="3"/>
                  <w:tcBorders>
                    <w:tl2br w:val="nil"/>
                    <w:tr2bl w:val="nil"/>
                  </w:tcBorders>
                  <w:vAlign w:val="center"/>
                </w:tcPr>
                <w:p w14:paraId="2C2D6CD3">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b/>
                      <w:bCs/>
                      <w:snapToGrid w:val="0"/>
                      <w:color w:val="000000"/>
                      <w:spacing w:val="7"/>
                      <w:kern w:val="0"/>
                      <w:sz w:val="21"/>
                      <w:szCs w:val="21"/>
                      <w:u w:val="none"/>
                      <w:lang w:eastAsia="en-US"/>
                    </w:rPr>
                    <w:t>检测结果（mg/m³）</w:t>
                  </w:r>
                </w:p>
              </w:tc>
              <w:tc>
                <w:tcPr>
                  <w:tcW w:w="633" w:type="pct"/>
                  <w:vMerge w:val="restart"/>
                  <w:tcBorders>
                    <w:tl2br w:val="nil"/>
                    <w:tr2bl w:val="nil"/>
                  </w:tcBorders>
                  <w:vAlign w:val="center"/>
                </w:tcPr>
                <w:p w14:paraId="65B4B71D">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标准限值</w:t>
                  </w:r>
                </w:p>
                <w:p w14:paraId="60E1B2EB">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排放浓度</w:t>
                  </w:r>
                </w:p>
                <w:p w14:paraId="4D99C3FA">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（mg/m³）</w:t>
                  </w:r>
                </w:p>
              </w:tc>
              <w:tc>
                <w:tcPr>
                  <w:tcW w:w="469" w:type="pct"/>
                  <w:vMerge w:val="restart"/>
                  <w:tcBorders>
                    <w:tl2br w:val="nil"/>
                    <w:tr2bl w:val="nil"/>
                  </w:tcBorders>
                  <w:vAlign w:val="center"/>
                </w:tcPr>
                <w:p w14:paraId="1F002929">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达标</w:t>
                  </w:r>
                </w:p>
                <w:p w14:paraId="6437CD7A">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判定</w:t>
                  </w:r>
                </w:p>
              </w:tc>
            </w:tr>
            <w:tr w14:paraId="20DDA4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E6B4DF4">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p>
              </w:tc>
              <w:tc>
                <w:tcPr>
                  <w:tcW w:w="1017" w:type="pct"/>
                  <w:vMerge w:val="continue"/>
                  <w:tcBorders>
                    <w:tl2br w:val="nil"/>
                    <w:tr2bl w:val="nil"/>
                  </w:tcBorders>
                  <w:vAlign w:val="center"/>
                </w:tcPr>
                <w:p w14:paraId="259A820D">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p>
              </w:tc>
              <w:tc>
                <w:tcPr>
                  <w:tcW w:w="585" w:type="pct"/>
                  <w:vMerge w:val="continue"/>
                  <w:tcBorders>
                    <w:tl2br w:val="nil"/>
                    <w:tr2bl w:val="nil"/>
                  </w:tcBorders>
                  <w:vAlign w:val="center"/>
                </w:tcPr>
                <w:p w14:paraId="337C02AB">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p>
              </w:tc>
              <w:tc>
                <w:tcPr>
                  <w:tcW w:w="690" w:type="pct"/>
                  <w:tcBorders>
                    <w:tl2br w:val="nil"/>
                    <w:tr2bl w:val="nil"/>
                  </w:tcBorders>
                  <w:vAlign w:val="center"/>
                </w:tcPr>
                <w:p w14:paraId="377F1AB6">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第1次</w:t>
                  </w:r>
                </w:p>
              </w:tc>
              <w:tc>
                <w:tcPr>
                  <w:tcW w:w="590" w:type="pct"/>
                  <w:tcBorders>
                    <w:tl2br w:val="nil"/>
                    <w:tr2bl w:val="nil"/>
                  </w:tcBorders>
                  <w:vAlign w:val="center"/>
                </w:tcPr>
                <w:p w14:paraId="223081A0">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第2次</w:t>
                  </w:r>
                </w:p>
              </w:tc>
              <w:tc>
                <w:tcPr>
                  <w:tcW w:w="638" w:type="pct"/>
                  <w:tcBorders>
                    <w:tl2br w:val="nil"/>
                    <w:tr2bl w:val="nil"/>
                  </w:tcBorders>
                  <w:vAlign w:val="center"/>
                </w:tcPr>
                <w:p w14:paraId="39E991DF">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第3次</w:t>
                  </w:r>
                </w:p>
              </w:tc>
              <w:tc>
                <w:tcPr>
                  <w:tcW w:w="633" w:type="pct"/>
                  <w:vMerge w:val="continue"/>
                  <w:tcBorders>
                    <w:tl2br w:val="nil"/>
                    <w:tr2bl w:val="nil"/>
                  </w:tcBorders>
                  <w:vAlign w:val="center"/>
                </w:tcPr>
                <w:p w14:paraId="508DDB1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469" w:type="pct"/>
                  <w:vMerge w:val="continue"/>
                  <w:tcBorders>
                    <w:tl2br w:val="nil"/>
                    <w:tr2bl w:val="nil"/>
                  </w:tcBorders>
                  <w:vAlign w:val="center"/>
                </w:tcPr>
                <w:p w14:paraId="6D1A312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r>
            <w:tr w14:paraId="24A8AB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restart"/>
                  <w:tcBorders>
                    <w:tl2br w:val="nil"/>
                    <w:tr2bl w:val="nil"/>
                  </w:tcBorders>
                  <w:vAlign w:val="center"/>
                </w:tcPr>
                <w:p w14:paraId="71F4074A">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snapToGrid w:val="0"/>
                      <w:color w:val="000000"/>
                      <w:spacing w:val="7"/>
                      <w:kern w:val="0"/>
                      <w:sz w:val="21"/>
                      <w:szCs w:val="21"/>
                      <w:u w:val="none"/>
                    </w:rPr>
                    <w:t>202</w:t>
                  </w:r>
                  <w:r>
                    <w:rPr>
                      <w:rFonts w:hint="eastAsia"/>
                      <w:snapToGrid w:val="0"/>
                      <w:color w:val="000000"/>
                      <w:spacing w:val="7"/>
                      <w:kern w:val="0"/>
                      <w:sz w:val="21"/>
                      <w:szCs w:val="21"/>
                      <w:u w:val="none"/>
                    </w:rPr>
                    <w:t>5.</w:t>
                  </w:r>
                  <w:r>
                    <w:rPr>
                      <w:rFonts w:hint="eastAsia"/>
                      <w:snapToGrid w:val="0"/>
                      <w:color w:val="000000"/>
                      <w:spacing w:val="7"/>
                      <w:kern w:val="0"/>
                      <w:sz w:val="21"/>
                      <w:szCs w:val="21"/>
                      <w:u w:val="none"/>
                      <w:lang w:val="en-US" w:eastAsia="zh-CN"/>
                    </w:rPr>
                    <w:t>4.19</w:t>
                  </w:r>
                </w:p>
              </w:tc>
              <w:tc>
                <w:tcPr>
                  <w:tcW w:w="1017" w:type="pct"/>
                  <w:tcBorders>
                    <w:tl2br w:val="nil"/>
                    <w:tr2bl w:val="nil"/>
                  </w:tcBorders>
                  <w:vAlign w:val="center"/>
                </w:tcPr>
                <w:p w14:paraId="39C8975F">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17#一号煤仓</w:t>
                  </w:r>
                </w:p>
              </w:tc>
              <w:tc>
                <w:tcPr>
                  <w:tcW w:w="585" w:type="pct"/>
                  <w:vMerge w:val="restart"/>
                  <w:tcBorders>
                    <w:tl2br w:val="nil"/>
                    <w:tr2bl w:val="nil"/>
                  </w:tcBorders>
                  <w:vAlign w:val="center"/>
                </w:tcPr>
                <w:p w14:paraId="12789E4A">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总悬浮颗粒物</w:t>
                  </w:r>
                </w:p>
              </w:tc>
              <w:tc>
                <w:tcPr>
                  <w:tcW w:w="690" w:type="pct"/>
                  <w:tcBorders>
                    <w:tl2br w:val="nil"/>
                    <w:tr2bl w:val="nil"/>
                  </w:tcBorders>
                  <w:vAlign w:val="center"/>
                </w:tcPr>
                <w:p w14:paraId="171AE7C9">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0.354</w:t>
                  </w:r>
                </w:p>
              </w:tc>
              <w:tc>
                <w:tcPr>
                  <w:tcW w:w="590" w:type="pct"/>
                  <w:tcBorders>
                    <w:tl2br w:val="nil"/>
                    <w:tr2bl w:val="nil"/>
                  </w:tcBorders>
                  <w:vAlign w:val="center"/>
                </w:tcPr>
                <w:p w14:paraId="7E3AC908">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0.360</w:t>
                  </w:r>
                </w:p>
              </w:tc>
              <w:tc>
                <w:tcPr>
                  <w:tcW w:w="638" w:type="pct"/>
                  <w:tcBorders>
                    <w:tl2br w:val="nil"/>
                    <w:tr2bl w:val="nil"/>
                  </w:tcBorders>
                  <w:vAlign w:val="center"/>
                </w:tcPr>
                <w:p w14:paraId="303F2EE5">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0.427</w:t>
                  </w:r>
                </w:p>
              </w:tc>
              <w:tc>
                <w:tcPr>
                  <w:tcW w:w="633" w:type="pct"/>
                  <w:vMerge w:val="restart"/>
                  <w:tcBorders>
                    <w:tl2br w:val="nil"/>
                    <w:tr2bl w:val="nil"/>
                  </w:tcBorders>
                  <w:vAlign w:val="center"/>
                </w:tcPr>
                <w:p w14:paraId="02F6CBC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1.0</w:t>
                  </w:r>
                </w:p>
              </w:tc>
              <w:tc>
                <w:tcPr>
                  <w:tcW w:w="469" w:type="pct"/>
                  <w:tcBorders>
                    <w:tl2br w:val="nil"/>
                    <w:tr2bl w:val="nil"/>
                  </w:tcBorders>
                  <w:vAlign w:val="center"/>
                </w:tcPr>
                <w:p w14:paraId="50F3664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698692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75BCFE2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E6FC9BB">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18#二号煤仓</w:t>
                  </w:r>
                </w:p>
              </w:tc>
              <w:tc>
                <w:tcPr>
                  <w:tcW w:w="585" w:type="pct"/>
                  <w:vMerge w:val="continue"/>
                  <w:tcBorders>
                    <w:tl2br w:val="nil"/>
                    <w:tr2bl w:val="nil"/>
                  </w:tcBorders>
                  <w:vAlign w:val="center"/>
                </w:tcPr>
                <w:p w14:paraId="519AEC90">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3F72443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0.350</w:t>
                  </w:r>
                </w:p>
              </w:tc>
              <w:tc>
                <w:tcPr>
                  <w:tcW w:w="590" w:type="pct"/>
                  <w:tcBorders>
                    <w:tl2br w:val="nil"/>
                    <w:tr2bl w:val="nil"/>
                  </w:tcBorders>
                  <w:vAlign w:val="center"/>
                </w:tcPr>
                <w:p w14:paraId="1DB03ED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0.317</w:t>
                  </w:r>
                </w:p>
              </w:tc>
              <w:tc>
                <w:tcPr>
                  <w:tcW w:w="638" w:type="pct"/>
                  <w:tcBorders>
                    <w:tl2br w:val="nil"/>
                    <w:tr2bl w:val="nil"/>
                  </w:tcBorders>
                  <w:vAlign w:val="center"/>
                </w:tcPr>
                <w:p w14:paraId="0D676273">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0.349</w:t>
                  </w:r>
                </w:p>
              </w:tc>
              <w:tc>
                <w:tcPr>
                  <w:tcW w:w="633" w:type="pct"/>
                  <w:vMerge w:val="continue"/>
                  <w:tcBorders>
                    <w:tl2br w:val="nil"/>
                    <w:tr2bl w:val="nil"/>
                  </w:tcBorders>
                  <w:vAlign w:val="center"/>
                </w:tcPr>
                <w:p w14:paraId="52388CEC">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5E832DF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26DD3D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AB10BC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251EBCD9">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19#二期灰库</w:t>
                  </w:r>
                </w:p>
              </w:tc>
              <w:tc>
                <w:tcPr>
                  <w:tcW w:w="585" w:type="pct"/>
                  <w:vMerge w:val="continue"/>
                  <w:tcBorders>
                    <w:tl2br w:val="nil"/>
                    <w:tr2bl w:val="nil"/>
                  </w:tcBorders>
                  <w:vAlign w:val="center"/>
                </w:tcPr>
                <w:p w14:paraId="273F9099">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4C9B0729">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0.395</w:t>
                  </w:r>
                </w:p>
              </w:tc>
              <w:tc>
                <w:tcPr>
                  <w:tcW w:w="590" w:type="pct"/>
                  <w:tcBorders>
                    <w:tl2br w:val="nil"/>
                    <w:tr2bl w:val="nil"/>
                  </w:tcBorders>
                  <w:vAlign w:val="center"/>
                </w:tcPr>
                <w:p w14:paraId="726E97F8">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0.411</w:t>
                  </w:r>
                </w:p>
              </w:tc>
              <w:tc>
                <w:tcPr>
                  <w:tcW w:w="638" w:type="pct"/>
                  <w:tcBorders>
                    <w:tl2br w:val="nil"/>
                    <w:tr2bl w:val="nil"/>
                  </w:tcBorders>
                  <w:vAlign w:val="center"/>
                </w:tcPr>
                <w:p w14:paraId="17C8EA6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0.387</w:t>
                  </w:r>
                </w:p>
              </w:tc>
              <w:tc>
                <w:tcPr>
                  <w:tcW w:w="633" w:type="pct"/>
                  <w:vMerge w:val="continue"/>
                  <w:tcBorders>
                    <w:tl2br w:val="nil"/>
                    <w:tr2bl w:val="nil"/>
                  </w:tcBorders>
                  <w:vAlign w:val="center"/>
                </w:tcPr>
                <w:p w14:paraId="11D514B6">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368852C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D04FA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1085304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099D8F3">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20#三期灰库</w:t>
                  </w:r>
                </w:p>
              </w:tc>
              <w:tc>
                <w:tcPr>
                  <w:tcW w:w="585" w:type="pct"/>
                  <w:vMerge w:val="continue"/>
                  <w:tcBorders>
                    <w:tl2br w:val="nil"/>
                    <w:tr2bl w:val="nil"/>
                  </w:tcBorders>
                  <w:vAlign w:val="center"/>
                </w:tcPr>
                <w:p w14:paraId="0924D539">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6514913F">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0.372</w:t>
                  </w:r>
                </w:p>
              </w:tc>
              <w:tc>
                <w:tcPr>
                  <w:tcW w:w="590" w:type="pct"/>
                  <w:tcBorders>
                    <w:tl2br w:val="nil"/>
                    <w:tr2bl w:val="nil"/>
                  </w:tcBorders>
                  <w:vAlign w:val="center"/>
                </w:tcPr>
                <w:p w14:paraId="6114F7CD">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0.316</w:t>
                  </w:r>
                </w:p>
              </w:tc>
              <w:tc>
                <w:tcPr>
                  <w:tcW w:w="638" w:type="pct"/>
                  <w:tcBorders>
                    <w:tl2br w:val="nil"/>
                    <w:tr2bl w:val="nil"/>
                  </w:tcBorders>
                  <w:vAlign w:val="center"/>
                </w:tcPr>
                <w:p w14:paraId="7C734C1C">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0.397</w:t>
                  </w:r>
                </w:p>
              </w:tc>
              <w:tc>
                <w:tcPr>
                  <w:tcW w:w="633" w:type="pct"/>
                  <w:vMerge w:val="continue"/>
                  <w:tcBorders>
                    <w:tl2br w:val="nil"/>
                    <w:tr2bl w:val="nil"/>
                  </w:tcBorders>
                  <w:vAlign w:val="center"/>
                </w:tcPr>
                <w:p w14:paraId="6E3BC9CD">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06B9B29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7032A1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313DAC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0BBC23DD">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9#一期油库东</w:t>
                  </w:r>
                </w:p>
              </w:tc>
              <w:tc>
                <w:tcPr>
                  <w:tcW w:w="585" w:type="pct"/>
                  <w:vMerge w:val="restart"/>
                  <w:tcBorders>
                    <w:tl2br w:val="nil"/>
                    <w:tr2bl w:val="nil"/>
                  </w:tcBorders>
                  <w:vAlign w:val="center"/>
                </w:tcPr>
                <w:p w14:paraId="4BB89187">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非甲烷总烃</w:t>
                  </w:r>
                </w:p>
              </w:tc>
              <w:tc>
                <w:tcPr>
                  <w:tcW w:w="690" w:type="pct"/>
                  <w:tcBorders>
                    <w:tl2br w:val="nil"/>
                    <w:tr2bl w:val="nil"/>
                  </w:tcBorders>
                  <w:vAlign w:val="center"/>
                </w:tcPr>
                <w:p w14:paraId="02B3C362">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1.13</w:t>
                  </w:r>
                </w:p>
              </w:tc>
              <w:tc>
                <w:tcPr>
                  <w:tcW w:w="590" w:type="pct"/>
                  <w:tcBorders>
                    <w:tl2br w:val="nil"/>
                    <w:tr2bl w:val="nil"/>
                  </w:tcBorders>
                  <w:vAlign w:val="center"/>
                </w:tcPr>
                <w:p w14:paraId="455B4A30">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1.23</w:t>
                  </w:r>
                </w:p>
              </w:tc>
              <w:tc>
                <w:tcPr>
                  <w:tcW w:w="638" w:type="pct"/>
                  <w:tcBorders>
                    <w:tl2br w:val="nil"/>
                    <w:tr2bl w:val="nil"/>
                  </w:tcBorders>
                  <w:vAlign w:val="center"/>
                </w:tcPr>
                <w:p w14:paraId="5A39E722">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0.94</w:t>
                  </w:r>
                </w:p>
              </w:tc>
              <w:tc>
                <w:tcPr>
                  <w:tcW w:w="633" w:type="pct"/>
                  <w:vMerge w:val="restart"/>
                  <w:tcBorders>
                    <w:tl2br w:val="nil"/>
                    <w:tr2bl w:val="nil"/>
                  </w:tcBorders>
                  <w:vAlign w:val="center"/>
                </w:tcPr>
                <w:p w14:paraId="7A64F01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4.0</w:t>
                  </w:r>
                </w:p>
              </w:tc>
              <w:tc>
                <w:tcPr>
                  <w:tcW w:w="469" w:type="pct"/>
                  <w:tcBorders>
                    <w:tl2br w:val="nil"/>
                    <w:tr2bl w:val="nil"/>
                  </w:tcBorders>
                  <w:vAlign w:val="center"/>
                </w:tcPr>
                <w:p w14:paraId="0D5AD1E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66F0C7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17B886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5B2C6F9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10#一期油库南</w:t>
                  </w:r>
                </w:p>
              </w:tc>
              <w:tc>
                <w:tcPr>
                  <w:tcW w:w="585" w:type="pct"/>
                  <w:vMerge w:val="continue"/>
                  <w:tcBorders>
                    <w:tl2br w:val="nil"/>
                    <w:tr2bl w:val="nil"/>
                  </w:tcBorders>
                  <w:vAlign w:val="center"/>
                </w:tcPr>
                <w:p w14:paraId="52C2F3F0">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1C151B7A">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1.49</w:t>
                  </w:r>
                </w:p>
              </w:tc>
              <w:tc>
                <w:tcPr>
                  <w:tcW w:w="590" w:type="pct"/>
                  <w:tcBorders>
                    <w:tl2br w:val="nil"/>
                    <w:tr2bl w:val="nil"/>
                  </w:tcBorders>
                  <w:vAlign w:val="center"/>
                </w:tcPr>
                <w:p w14:paraId="70CBD043">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1.34</w:t>
                  </w:r>
                </w:p>
              </w:tc>
              <w:tc>
                <w:tcPr>
                  <w:tcW w:w="638" w:type="pct"/>
                  <w:tcBorders>
                    <w:tl2br w:val="nil"/>
                    <w:tr2bl w:val="nil"/>
                  </w:tcBorders>
                  <w:vAlign w:val="center"/>
                </w:tcPr>
                <w:p w14:paraId="56019C57">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1.23</w:t>
                  </w:r>
                </w:p>
              </w:tc>
              <w:tc>
                <w:tcPr>
                  <w:tcW w:w="633" w:type="pct"/>
                  <w:vMerge w:val="continue"/>
                  <w:tcBorders>
                    <w:tl2br w:val="nil"/>
                    <w:tr2bl w:val="nil"/>
                  </w:tcBorders>
                  <w:vAlign w:val="center"/>
                </w:tcPr>
                <w:p w14:paraId="16D79524">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6781504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1CE81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3E11E83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500738D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11#一期油库西</w:t>
                  </w:r>
                </w:p>
              </w:tc>
              <w:tc>
                <w:tcPr>
                  <w:tcW w:w="585" w:type="pct"/>
                  <w:vMerge w:val="continue"/>
                  <w:tcBorders>
                    <w:tl2br w:val="nil"/>
                    <w:tr2bl w:val="nil"/>
                  </w:tcBorders>
                  <w:vAlign w:val="center"/>
                </w:tcPr>
                <w:p w14:paraId="401B566F">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73CFB61D">
                  <w:pPr>
                    <w:widowControl w:val="0"/>
                    <w:autoSpaceDE w:val="0"/>
                    <w:autoSpaceDN w:val="0"/>
                    <w:spacing w:line="240" w:lineRule="auto"/>
                    <w:ind w:firstLine="0" w:firstLineChars="0"/>
                    <w:jc w:val="center"/>
                    <w:rPr>
                      <w:rFonts w:hint="default" w:eastAsia="微软雅黑"/>
                      <w:spacing w:val="-2"/>
                      <w:sz w:val="21"/>
                      <w:szCs w:val="21"/>
                      <w:u w:val="none"/>
                      <w:lang w:val="en-US" w:eastAsia="zh-CN"/>
                    </w:rPr>
                  </w:pPr>
                  <w:r>
                    <w:rPr>
                      <w:rFonts w:hint="eastAsia" w:eastAsia="微软雅黑"/>
                      <w:spacing w:val="-2"/>
                      <w:sz w:val="21"/>
                      <w:szCs w:val="21"/>
                      <w:u w:val="none"/>
                      <w:lang w:val="en-US" w:eastAsia="zh-CN"/>
                    </w:rPr>
                    <w:t>1.22</w:t>
                  </w:r>
                </w:p>
              </w:tc>
              <w:tc>
                <w:tcPr>
                  <w:tcW w:w="590" w:type="pct"/>
                  <w:tcBorders>
                    <w:tl2br w:val="nil"/>
                    <w:tr2bl w:val="nil"/>
                  </w:tcBorders>
                  <w:vAlign w:val="center"/>
                </w:tcPr>
                <w:p w14:paraId="028A75E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1.21</w:t>
                  </w:r>
                </w:p>
              </w:tc>
              <w:tc>
                <w:tcPr>
                  <w:tcW w:w="638" w:type="pct"/>
                  <w:tcBorders>
                    <w:tl2br w:val="nil"/>
                    <w:tr2bl w:val="nil"/>
                  </w:tcBorders>
                  <w:vAlign w:val="center"/>
                </w:tcPr>
                <w:p w14:paraId="14DA63C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1.10</w:t>
                  </w:r>
                </w:p>
              </w:tc>
              <w:tc>
                <w:tcPr>
                  <w:tcW w:w="633" w:type="pct"/>
                  <w:vMerge w:val="continue"/>
                  <w:tcBorders>
                    <w:tl2br w:val="nil"/>
                    <w:tr2bl w:val="nil"/>
                  </w:tcBorders>
                  <w:vAlign w:val="center"/>
                </w:tcPr>
                <w:p w14:paraId="1931C37A">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2524DA1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595E0E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3A40CA7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2A31D4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12#一期油库北</w:t>
                  </w:r>
                </w:p>
              </w:tc>
              <w:tc>
                <w:tcPr>
                  <w:tcW w:w="585" w:type="pct"/>
                  <w:vMerge w:val="continue"/>
                  <w:tcBorders>
                    <w:tl2br w:val="nil"/>
                    <w:tr2bl w:val="nil"/>
                  </w:tcBorders>
                  <w:vAlign w:val="center"/>
                </w:tcPr>
                <w:p w14:paraId="26A6160A">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4CA845CA">
                  <w:pPr>
                    <w:widowControl w:val="0"/>
                    <w:autoSpaceDE w:val="0"/>
                    <w:autoSpaceDN w:val="0"/>
                    <w:spacing w:line="240" w:lineRule="auto"/>
                    <w:ind w:firstLine="0" w:firstLineChars="0"/>
                    <w:jc w:val="center"/>
                    <w:rPr>
                      <w:rFonts w:hint="default" w:eastAsia="微软雅黑"/>
                      <w:spacing w:val="-2"/>
                      <w:sz w:val="21"/>
                      <w:szCs w:val="21"/>
                      <w:u w:val="none"/>
                      <w:lang w:val="en-US" w:eastAsia="zh-CN"/>
                    </w:rPr>
                  </w:pPr>
                  <w:r>
                    <w:rPr>
                      <w:rFonts w:hint="eastAsia" w:eastAsia="微软雅黑"/>
                      <w:spacing w:val="-2"/>
                      <w:sz w:val="21"/>
                      <w:szCs w:val="21"/>
                      <w:u w:val="none"/>
                      <w:lang w:val="en-US" w:eastAsia="zh-CN"/>
                    </w:rPr>
                    <w:t>1.23</w:t>
                  </w:r>
                </w:p>
              </w:tc>
              <w:tc>
                <w:tcPr>
                  <w:tcW w:w="590" w:type="pct"/>
                  <w:tcBorders>
                    <w:tl2br w:val="nil"/>
                    <w:tr2bl w:val="nil"/>
                  </w:tcBorders>
                  <w:vAlign w:val="center"/>
                </w:tcPr>
                <w:p w14:paraId="6E8A2D2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1.08</w:t>
                  </w:r>
                </w:p>
              </w:tc>
              <w:tc>
                <w:tcPr>
                  <w:tcW w:w="638" w:type="pct"/>
                  <w:tcBorders>
                    <w:tl2br w:val="nil"/>
                    <w:tr2bl w:val="nil"/>
                  </w:tcBorders>
                  <w:vAlign w:val="center"/>
                </w:tcPr>
                <w:p w14:paraId="45F2F1AE">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1.00</w:t>
                  </w:r>
                </w:p>
              </w:tc>
              <w:tc>
                <w:tcPr>
                  <w:tcW w:w="633" w:type="pct"/>
                  <w:vMerge w:val="continue"/>
                  <w:tcBorders>
                    <w:tl2br w:val="nil"/>
                    <w:tr2bl w:val="nil"/>
                  </w:tcBorders>
                  <w:vAlign w:val="center"/>
                </w:tcPr>
                <w:p w14:paraId="5851BC45">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52B087F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790633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086B1ED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108B4A2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13#二期油库东</w:t>
                  </w:r>
                </w:p>
              </w:tc>
              <w:tc>
                <w:tcPr>
                  <w:tcW w:w="585" w:type="pct"/>
                  <w:vMerge w:val="continue"/>
                  <w:tcBorders>
                    <w:tl2br w:val="nil"/>
                    <w:tr2bl w:val="nil"/>
                  </w:tcBorders>
                  <w:vAlign w:val="center"/>
                </w:tcPr>
                <w:p w14:paraId="4AA822B7">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2F48A5F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1.25</w:t>
                  </w:r>
                </w:p>
              </w:tc>
              <w:tc>
                <w:tcPr>
                  <w:tcW w:w="590" w:type="pct"/>
                  <w:tcBorders>
                    <w:tl2br w:val="nil"/>
                    <w:tr2bl w:val="nil"/>
                  </w:tcBorders>
                  <w:vAlign w:val="center"/>
                </w:tcPr>
                <w:p w14:paraId="1112D1C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1.11</w:t>
                  </w:r>
                </w:p>
              </w:tc>
              <w:tc>
                <w:tcPr>
                  <w:tcW w:w="638" w:type="pct"/>
                  <w:tcBorders>
                    <w:tl2br w:val="nil"/>
                    <w:tr2bl w:val="nil"/>
                  </w:tcBorders>
                  <w:vAlign w:val="center"/>
                </w:tcPr>
                <w:p w14:paraId="1A05FD0F">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1.12</w:t>
                  </w:r>
                </w:p>
              </w:tc>
              <w:tc>
                <w:tcPr>
                  <w:tcW w:w="633" w:type="pct"/>
                  <w:vMerge w:val="continue"/>
                  <w:tcBorders>
                    <w:tl2br w:val="nil"/>
                    <w:tr2bl w:val="nil"/>
                  </w:tcBorders>
                  <w:vAlign w:val="center"/>
                </w:tcPr>
                <w:p w14:paraId="72C9EC68">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477F485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77CC70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7DE15B9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49831F4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14#二期油库南</w:t>
                  </w:r>
                </w:p>
              </w:tc>
              <w:tc>
                <w:tcPr>
                  <w:tcW w:w="585" w:type="pct"/>
                  <w:vMerge w:val="continue"/>
                  <w:tcBorders>
                    <w:tl2br w:val="nil"/>
                    <w:tr2bl w:val="nil"/>
                  </w:tcBorders>
                  <w:vAlign w:val="center"/>
                </w:tcPr>
                <w:p w14:paraId="46547B0E">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320196C3">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1.35</w:t>
                  </w:r>
                </w:p>
              </w:tc>
              <w:tc>
                <w:tcPr>
                  <w:tcW w:w="590" w:type="pct"/>
                  <w:tcBorders>
                    <w:tl2br w:val="nil"/>
                    <w:tr2bl w:val="nil"/>
                  </w:tcBorders>
                  <w:vAlign w:val="center"/>
                </w:tcPr>
                <w:p w14:paraId="0201860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1.08</w:t>
                  </w:r>
                </w:p>
              </w:tc>
              <w:tc>
                <w:tcPr>
                  <w:tcW w:w="638" w:type="pct"/>
                  <w:tcBorders>
                    <w:tl2br w:val="nil"/>
                    <w:tr2bl w:val="nil"/>
                  </w:tcBorders>
                  <w:vAlign w:val="center"/>
                </w:tcPr>
                <w:p w14:paraId="0F800740">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0.91</w:t>
                  </w:r>
                </w:p>
              </w:tc>
              <w:tc>
                <w:tcPr>
                  <w:tcW w:w="633" w:type="pct"/>
                  <w:vMerge w:val="continue"/>
                  <w:tcBorders>
                    <w:tl2br w:val="nil"/>
                    <w:tr2bl w:val="nil"/>
                  </w:tcBorders>
                  <w:vAlign w:val="center"/>
                </w:tcPr>
                <w:p w14:paraId="3DA2DF05">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2C52993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4BE372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790A8DC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24EF21A2">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spacing w:val="7"/>
                      <w:kern w:val="0"/>
                      <w:sz w:val="21"/>
                      <w:szCs w:val="21"/>
                      <w:u w:val="none"/>
                      <w:lang w:val="en-US"/>
                    </w:rPr>
                  </w:pPr>
                  <w:r>
                    <w:rPr>
                      <w:rFonts w:hint="eastAsia"/>
                      <w:snapToGrid w:val="0"/>
                      <w:color w:val="000000"/>
                      <w:spacing w:val="7"/>
                      <w:kern w:val="0"/>
                      <w:sz w:val="21"/>
                      <w:szCs w:val="21"/>
                      <w:u w:val="none"/>
                      <w:lang w:val="en-US" w:eastAsia="zh-CN"/>
                    </w:rPr>
                    <w:t>15#二期油库西</w:t>
                  </w:r>
                </w:p>
              </w:tc>
              <w:tc>
                <w:tcPr>
                  <w:tcW w:w="585" w:type="pct"/>
                  <w:vMerge w:val="continue"/>
                  <w:tcBorders>
                    <w:tl2br w:val="nil"/>
                    <w:tr2bl w:val="nil"/>
                  </w:tcBorders>
                  <w:vAlign w:val="center"/>
                </w:tcPr>
                <w:p w14:paraId="04E9F8D4">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1EFBA09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1.22</w:t>
                  </w:r>
                </w:p>
              </w:tc>
              <w:tc>
                <w:tcPr>
                  <w:tcW w:w="590" w:type="pct"/>
                  <w:tcBorders>
                    <w:tl2br w:val="nil"/>
                    <w:tr2bl w:val="nil"/>
                  </w:tcBorders>
                  <w:vAlign w:val="center"/>
                </w:tcPr>
                <w:p w14:paraId="364D07A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1.28</w:t>
                  </w:r>
                </w:p>
              </w:tc>
              <w:tc>
                <w:tcPr>
                  <w:tcW w:w="638" w:type="pct"/>
                  <w:tcBorders>
                    <w:tl2br w:val="nil"/>
                    <w:tr2bl w:val="nil"/>
                  </w:tcBorders>
                  <w:vAlign w:val="center"/>
                </w:tcPr>
                <w:p w14:paraId="442AF44C">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1.24</w:t>
                  </w:r>
                </w:p>
              </w:tc>
              <w:tc>
                <w:tcPr>
                  <w:tcW w:w="633" w:type="pct"/>
                  <w:vMerge w:val="continue"/>
                  <w:tcBorders>
                    <w:tl2br w:val="nil"/>
                    <w:tr2bl w:val="nil"/>
                  </w:tcBorders>
                  <w:vAlign w:val="center"/>
                </w:tcPr>
                <w:p w14:paraId="3EEAD9A8">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52ACD7E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7C185C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FADE5C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7D54243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16#二期油库北</w:t>
                  </w:r>
                </w:p>
              </w:tc>
              <w:tc>
                <w:tcPr>
                  <w:tcW w:w="585" w:type="pct"/>
                  <w:vMerge w:val="continue"/>
                  <w:tcBorders>
                    <w:tl2br w:val="nil"/>
                    <w:tr2bl w:val="nil"/>
                  </w:tcBorders>
                  <w:vAlign w:val="center"/>
                </w:tcPr>
                <w:p w14:paraId="1FFDF247">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6C444C5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1.42</w:t>
                  </w:r>
                </w:p>
              </w:tc>
              <w:tc>
                <w:tcPr>
                  <w:tcW w:w="590" w:type="pct"/>
                  <w:tcBorders>
                    <w:tl2br w:val="nil"/>
                    <w:tr2bl w:val="nil"/>
                  </w:tcBorders>
                  <w:vAlign w:val="center"/>
                </w:tcPr>
                <w:p w14:paraId="1332329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1.49</w:t>
                  </w:r>
                </w:p>
              </w:tc>
              <w:tc>
                <w:tcPr>
                  <w:tcW w:w="638" w:type="pct"/>
                  <w:tcBorders>
                    <w:tl2br w:val="nil"/>
                    <w:tr2bl w:val="nil"/>
                  </w:tcBorders>
                  <w:vAlign w:val="center"/>
                </w:tcPr>
                <w:p w14:paraId="07CBF505">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1.23</w:t>
                  </w:r>
                </w:p>
              </w:tc>
              <w:tc>
                <w:tcPr>
                  <w:tcW w:w="633" w:type="pct"/>
                  <w:vMerge w:val="continue"/>
                  <w:tcBorders>
                    <w:tl2br w:val="nil"/>
                    <w:tr2bl w:val="nil"/>
                  </w:tcBorders>
                  <w:vAlign w:val="center"/>
                </w:tcPr>
                <w:p w14:paraId="368387B3">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6EF9B16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01C442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restart"/>
                  <w:tcBorders>
                    <w:tl2br w:val="nil"/>
                    <w:tr2bl w:val="nil"/>
                  </w:tcBorders>
                  <w:vAlign w:val="center"/>
                </w:tcPr>
                <w:p w14:paraId="4D9F3D95">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2025.4.20</w:t>
                  </w:r>
                </w:p>
              </w:tc>
              <w:tc>
                <w:tcPr>
                  <w:tcW w:w="1017" w:type="pct"/>
                  <w:tcBorders>
                    <w:tl2br w:val="nil"/>
                    <w:tr2bl w:val="nil"/>
                  </w:tcBorders>
                  <w:shd w:val="clear" w:color="auto" w:fill="auto"/>
                  <w:vAlign w:val="center"/>
                </w:tcPr>
                <w:p w14:paraId="710A5192">
                  <w:pPr>
                    <w:widowControl w:val="0"/>
                    <w:wordWrap w:val="0"/>
                    <w:overflowPunct w:val="0"/>
                    <w:autoSpaceDE w:val="0"/>
                    <w:autoSpaceDN w:val="0"/>
                    <w:adjustRightInd w:val="0"/>
                    <w:snapToGrid w:val="0"/>
                    <w:spacing w:line="240" w:lineRule="auto"/>
                    <w:ind w:firstLine="0" w:firstLineChars="0"/>
                    <w:jc w:val="center"/>
                    <w:textAlignment w:val="baseline"/>
                    <w:rPr>
                      <w:rFonts w:hint="default"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1#厂界东侧</w:t>
                  </w:r>
                </w:p>
              </w:tc>
              <w:tc>
                <w:tcPr>
                  <w:tcW w:w="585" w:type="pct"/>
                  <w:vMerge w:val="restart"/>
                  <w:tcBorders>
                    <w:tl2br w:val="nil"/>
                    <w:tr2bl w:val="nil"/>
                  </w:tcBorders>
                  <w:vAlign w:val="center"/>
                </w:tcPr>
                <w:p w14:paraId="33E84314">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r>
                    <w:rPr>
                      <w:rFonts w:hint="eastAsia" w:ascii="Times New Roman" w:hAnsi="Times New Roman" w:cs="Times New Roman"/>
                      <w:spacing w:val="3"/>
                      <w:sz w:val="21"/>
                      <w:szCs w:val="21"/>
                      <w:u w:val="none"/>
                      <w:lang w:val="en-US" w:eastAsia="zh-CN"/>
                    </w:rPr>
                    <w:t>总悬浮颗粒物</w:t>
                  </w:r>
                </w:p>
              </w:tc>
              <w:tc>
                <w:tcPr>
                  <w:tcW w:w="690" w:type="pct"/>
                  <w:tcBorders>
                    <w:tl2br w:val="nil"/>
                    <w:tr2bl w:val="nil"/>
                  </w:tcBorders>
                  <w:vAlign w:val="center"/>
                </w:tcPr>
                <w:p w14:paraId="7062259D">
                  <w:pPr>
                    <w:widowControl w:val="0"/>
                    <w:autoSpaceDE w:val="0"/>
                    <w:autoSpaceDN w:val="0"/>
                    <w:spacing w:line="240" w:lineRule="auto"/>
                    <w:ind w:firstLine="0" w:firstLineChars="0"/>
                    <w:jc w:val="center"/>
                    <w:rPr>
                      <w:spacing w:val="4"/>
                      <w:sz w:val="21"/>
                      <w:szCs w:val="21"/>
                      <w:u w:val="none"/>
                    </w:rPr>
                  </w:pPr>
                  <w:r>
                    <w:rPr>
                      <w:rFonts w:hint="eastAsia"/>
                      <w:spacing w:val="-2"/>
                      <w:sz w:val="21"/>
                      <w:szCs w:val="21"/>
                      <w:u w:val="none"/>
                      <w:lang w:val="en-US" w:eastAsia="zh-CN"/>
                    </w:rPr>
                    <w:t>0.399</w:t>
                  </w:r>
                </w:p>
              </w:tc>
              <w:tc>
                <w:tcPr>
                  <w:tcW w:w="590" w:type="pct"/>
                  <w:tcBorders>
                    <w:tl2br w:val="nil"/>
                    <w:tr2bl w:val="nil"/>
                  </w:tcBorders>
                  <w:vAlign w:val="center"/>
                </w:tcPr>
                <w:p w14:paraId="0049DF97">
                  <w:pPr>
                    <w:widowControl w:val="0"/>
                    <w:autoSpaceDE w:val="0"/>
                    <w:autoSpaceDN w:val="0"/>
                    <w:spacing w:line="240" w:lineRule="auto"/>
                    <w:ind w:firstLine="0" w:firstLineChars="0"/>
                    <w:jc w:val="center"/>
                    <w:rPr>
                      <w:spacing w:val="4"/>
                      <w:sz w:val="21"/>
                      <w:szCs w:val="21"/>
                      <w:u w:val="none"/>
                    </w:rPr>
                  </w:pPr>
                  <w:r>
                    <w:rPr>
                      <w:rFonts w:hint="eastAsia"/>
                      <w:spacing w:val="-2"/>
                      <w:sz w:val="21"/>
                      <w:szCs w:val="21"/>
                      <w:u w:val="none"/>
                      <w:lang w:val="en-US" w:eastAsia="zh-CN"/>
                    </w:rPr>
                    <w:t>0.330</w:t>
                  </w:r>
                </w:p>
              </w:tc>
              <w:tc>
                <w:tcPr>
                  <w:tcW w:w="638" w:type="pct"/>
                  <w:tcBorders>
                    <w:tl2br w:val="nil"/>
                    <w:tr2bl w:val="nil"/>
                  </w:tcBorders>
                  <w:vAlign w:val="center"/>
                </w:tcPr>
                <w:p w14:paraId="2D135888">
                  <w:pPr>
                    <w:widowControl w:val="0"/>
                    <w:autoSpaceDE w:val="0"/>
                    <w:autoSpaceDN w:val="0"/>
                    <w:spacing w:line="240" w:lineRule="auto"/>
                    <w:ind w:firstLine="0" w:firstLineChars="0"/>
                    <w:jc w:val="center"/>
                    <w:rPr>
                      <w:spacing w:val="3"/>
                      <w:sz w:val="21"/>
                      <w:szCs w:val="21"/>
                      <w:u w:val="none"/>
                    </w:rPr>
                  </w:pPr>
                  <w:r>
                    <w:rPr>
                      <w:rFonts w:hint="eastAsia"/>
                      <w:spacing w:val="-2"/>
                      <w:sz w:val="21"/>
                      <w:szCs w:val="21"/>
                      <w:u w:val="none"/>
                      <w:lang w:val="en-US" w:eastAsia="zh-CN"/>
                    </w:rPr>
                    <w:t>0.430</w:t>
                  </w:r>
                </w:p>
              </w:tc>
              <w:tc>
                <w:tcPr>
                  <w:tcW w:w="633" w:type="pct"/>
                  <w:vMerge w:val="restart"/>
                  <w:tcBorders>
                    <w:tl2br w:val="nil"/>
                    <w:tr2bl w:val="nil"/>
                  </w:tcBorders>
                  <w:vAlign w:val="center"/>
                </w:tcPr>
                <w:p w14:paraId="5A38277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1.0</w:t>
                  </w:r>
                </w:p>
              </w:tc>
              <w:tc>
                <w:tcPr>
                  <w:tcW w:w="469" w:type="pct"/>
                  <w:tcBorders>
                    <w:tl2br w:val="nil"/>
                    <w:tr2bl w:val="nil"/>
                  </w:tcBorders>
                  <w:vAlign w:val="center"/>
                </w:tcPr>
                <w:p w14:paraId="374F8C4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7A850A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13EAF0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3CCC9022">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2#厂界南侧</w:t>
                  </w:r>
                </w:p>
              </w:tc>
              <w:tc>
                <w:tcPr>
                  <w:tcW w:w="585" w:type="pct"/>
                  <w:vMerge w:val="continue"/>
                  <w:tcBorders>
                    <w:tl2br w:val="nil"/>
                    <w:tr2bl w:val="nil"/>
                  </w:tcBorders>
                  <w:vAlign w:val="center"/>
                </w:tcPr>
                <w:p w14:paraId="0EC23FDF">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4D19077B">
                  <w:pPr>
                    <w:widowControl w:val="0"/>
                    <w:autoSpaceDE w:val="0"/>
                    <w:autoSpaceDN w:val="0"/>
                    <w:spacing w:line="240" w:lineRule="auto"/>
                    <w:ind w:firstLine="0" w:firstLineChars="0"/>
                    <w:jc w:val="center"/>
                    <w:rPr>
                      <w:spacing w:val="4"/>
                      <w:sz w:val="21"/>
                      <w:szCs w:val="21"/>
                      <w:u w:val="none"/>
                    </w:rPr>
                  </w:pPr>
                  <w:r>
                    <w:rPr>
                      <w:rFonts w:hint="eastAsia"/>
                      <w:spacing w:val="-2"/>
                      <w:sz w:val="21"/>
                      <w:szCs w:val="21"/>
                      <w:u w:val="none"/>
                      <w:lang w:val="en-US" w:eastAsia="zh-CN"/>
                    </w:rPr>
                    <w:t>0.317</w:t>
                  </w:r>
                </w:p>
              </w:tc>
              <w:tc>
                <w:tcPr>
                  <w:tcW w:w="590" w:type="pct"/>
                  <w:tcBorders>
                    <w:tl2br w:val="nil"/>
                    <w:tr2bl w:val="nil"/>
                  </w:tcBorders>
                  <w:vAlign w:val="center"/>
                </w:tcPr>
                <w:p w14:paraId="5440DFBC">
                  <w:pPr>
                    <w:widowControl w:val="0"/>
                    <w:autoSpaceDE w:val="0"/>
                    <w:autoSpaceDN w:val="0"/>
                    <w:spacing w:line="240" w:lineRule="auto"/>
                    <w:ind w:firstLine="0" w:firstLineChars="0"/>
                    <w:jc w:val="center"/>
                    <w:rPr>
                      <w:spacing w:val="4"/>
                      <w:sz w:val="21"/>
                      <w:szCs w:val="21"/>
                      <w:u w:val="none"/>
                    </w:rPr>
                  </w:pPr>
                  <w:r>
                    <w:rPr>
                      <w:rFonts w:hint="eastAsia"/>
                      <w:spacing w:val="-2"/>
                      <w:sz w:val="21"/>
                      <w:szCs w:val="21"/>
                      <w:u w:val="none"/>
                      <w:lang w:val="en-US" w:eastAsia="zh-CN"/>
                    </w:rPr>
                    <w:t>0.361</w:t>
                  </w:r>
                </w:p>
              </w:tc>
              <w:tc>
                <w:tcPr>
                  <w:tcW w:w="638" w:type="pct"/>
                  <w:tcBorders>
                    <w:tl2br w:val="nil"/>
                    <w:tr2bl w:val="nil"/>
                  </w:tcBorders>
                  <w:vAlign w:val="center"/>
                </w:tcPr>
                <w:p w14:paraId="57D41845">
                  <w:pPr>
                    <w:widowControl w:val="0"/>
                    <w:autoSpaceDE w:val="0"/>
                    <w:autoSpaceDN w:val="0"/>
                    <w:spacing w:line="240" w:lineRule="auto"/>
                    <w:ind w:firstLine="0" w:firstLineChars="0"/>
                    <w:jc w:val="center"/>
                    <w:rPr>
                      <w:spacing w:val="3"/>
                      <w:sz w:val="21"/>
                      <w:szCs w:val="21"/>
                      <w:u w:val="none"/>
                    </w:rPr>
                  </w:pPr>
                  <w:r>
                    <w:rPr>
                      <w:rFonts w:hint="eastAsia"/>
                      <w:spacing w:val="-2"/>
                      <w:sz w:val="21"/>
                      <w:szCs w:val="21"/>
                      <w:u w:val="none"/>
                      <w:lang w:val="en-US" w:eastAsia="zh-CN"/>
                    </w:rPr>
                    <w:t>0.313</w:t>
                  </w:r>
                </w:p>
              </w:tc>
              <w:tc>
                <w:tcPr>
                  <w:tcW w:w="633" w:type="pct"/>
                  <w:vMerge w:val="continue"/>
                  <w:tcBorders>
                    <w:tl2br w:val="nil"/>
                    <w:tr2bl w:val="nil"/>
                  </w:tcBorders>
                  <w:vAlign w:val="center"/>
                </w:tcPr>
                <w:p w14:paraId="7EB3FB42">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59BB1E4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668D6D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5CE9A9A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0B1F538D">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3#厂界西侧</w:t>
                  </w:r>
                </w:p>
              </w:tc>
              <w:tc>
                <w:tcPr>
                  <w:tcW w:w="585" w:type="pct"/>
                  <w:vMerge w:val="continue"/>
                  <w:tcBorders>
                    <w:tl2br w:val="nil"/>
                    <w:tr2bl w:val="nil"/>
                  </w:tcBorders>
                  <w:vAlign w:val="center"/>
                </w:tcPr>
                <w:p w14:paraId="4BD50BCF">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4732D7E5">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0.324</w:t>
                  </w:r>
                </w:p>
              </w:tc>
              <w:tc>
                <w:tcPr>
                  <w:tcW w:w="590" w:type="pct"/>
                  <w:tcBorders>
                    <w:tl2br w:val="nil"/>
                    <w:tr2bl w:val="nil"/>
                  </w:tcBorders>
                  <w:vAlign w:val="center"/>
                </w:tcPr>
                <w:p w14:paraId="049141EA">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0.332</w:t>
                  </w:r>
                </w:p>
              </w:tc>
              <w:tc>
                <w:tcPr>
                  <w:tcW w:w="638" w:type="pct"/>
                  <w:tcBorders>
                    <w:tl2br w:val="nil"/>
                    <w:tr2bl w:val="nil"/>
                  </w:tcBorders>
                  <w:vAlign w:val="center"/>
                </w:tcPr>
                <w:p w14:paraId="539A59B1">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0.343</w:t>
                  </w:r>
                </w:p>
              </w:tc>
              <w:tc>
                <w:tcPr>
                  <w:tcW w:w="633" w:type="pct"/>
                  <w:vMerge w:val="continue"/>
                  <w:tcBorders>
                    <w:tl2br w:val="nil"/>
                    <w:tr2bl w:val="nil"/>
                  </w:tcBorders>
                  <w:vAlign w:val="center"/>
                </w:tcPr>
                <w:p w14:paraId="636FB12B">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4EEC9E9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4A1C5E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5ABF4A8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779C1687">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4#厂界北侧</w:t>
                  </w:r>
                </w:p>
              </w:tc>
              <w:tc>
                <w:tcPr>
                  <w:tcW w:w="585" w:type="pct"/>
                  <w:vMerge w:val="continue"/>
                  <w:tcBorders>
                    <w:tl2br w:val="nil"/>
                    <w:tr2bl w:val="nil"/>
                  </w:tcBorders>
                  <w:vAlign w:val="center"/>
                </w:tcPr>
                <w:p w14:paraId="3A193D4B">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755130A6">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0.367</w:t>
                  </w:r>
                </w:p>
              </w:tc>
              <w:tc>
                <w:tcPr>
                  <w:tcW w:w="590" w:type="pct"/>
                  <w:tcBorders>
                    <w:tl2br w:val="nil"/>
                    <w:tr2bl w:val="nil"/>
                  </w:tcBorders>
                  <w:vAlign w:val="center"/>
                </w:tcPr>
                <w:p w14:paraId="46C4384E">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0.436</w:t>
                  </w:r>
                </w:p>
              </w:tc>
              <w:tc>
                <w:tcPr>
                  <w:tcW w:w="638" w:type="pct"/>
                  <w:tcBorders>
                    <w:tl2br w:val="nil"/>
                    <w:tr2bl w:val="nil"/>
                  </w:tcBorders>
                  <w:vAlign w:val="center"/>
                </w:tcPr>
                <w:p w14:paraId="70B0E6AB">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0.314</w:t>
                  </w:r>
                </w:p>
              </w:tc>
              <w:tc>
                <w:tcPr>
                  <w:tcW w:w="633" w:type="pct"/>
                  <w:vMerge w:val="continue"/>
                  <w:tcBorders>
                    <w:tl2br w:val="nil"/>
                    <w:tr2bl w:val="nil"/>
                  </w:tcBorders>
                  <w:vAlign w:val="center"/>
                </w:tcPr>
                <w:p w14:paraId="60C52CCB">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07545A6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32E7A8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3D5CB37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285D66A6">
                  <w:pPr>
                    <w:widowControl w:val="0"/>
                    <w:wordWrap w:val="0"/>
                    <w:overflowPunct w:val="0"/>
                    <w:autoSpaceDE w:val="0"/>
                    <w:autoSpaceDN w:val="0"/>
                    <w:adjustRightInd w:val="0"/>
                    <w:snapToGrid w:val="0"/>
                    <w:spacing w:line="240" w:lineRule="auto"/>
                    <w:ind w:firstLine="0" w:firstLineChars="0"/>
                    <w:jc w:val="center"/>
                    <w:textAlignment w:val="baseline"/>
                    <w:rPr>
                      <w:rFonts w:hint="default"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1#厂界东侧</w:t>
                  </w:r>
                </w:p>
              </w:tc>
              <w:tc>
                <w:tcPr>
                  <w:tcW w:w="585" w:type="pct"/>
                  <w:vMerge w:val="restart"/>
                  <w:tcBorders>
                    <w:tl2br w:val="nil"/>
                    <w:tr2bl w:val="nil"/>
                  </w:tcBorders>
                  <w:vAlign w:val="center"/>
                </w:tcPr>
                <w:p w14:paraId="2237AB4C">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氨</w:t>
                  </w:r>
                </w:p>
              </w:tc>
              <w:tc>
                <w:tcPr>
                  <w:tcW w:w="690" w:type="pct"/>
                  <w:tcBorders>
                    <w:tl2br w:val="nil"/>
                    <w:tr2bl w:val="nil"/>
                  </w:tcBorders>
                  <w:vAlign w:val="center"/>
                </w:tcPr>
                <w:p w14:paraId="4CB356E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590" w:type="pct"/>
                  <w:tcBorders>
                    <w:tl2br w:val="nil"/>
                    <w:tr2bl w:val="nil"/>
                  </w:tcBorders>
                  <w:vAlign w:val="center"/>
                </w:tcPr>
                <w:p w14:paraId="1719C30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638" w:type="pct"/>
                  <w:tcBorders>
                    <w:tl2br w:val="nil"/>
                    <w:tr2bl w:val="nil"/>
                  </w:tcBorders>
                  <w:vAlign w:val="center"/>
                </w:tcPr>
                <w:p w14:paraId="525B6E4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633" w:type="pct"/>
                  <w:vMerge w:val="restart"/>
                  <w:tcBorders>
                    <w:tl2br w:val="nil"/>
                    <w:tr2bl w:val="nil"/>
                  </w:tcBorders>
                  <w:vAlign w:val="center"/>
                </w:tcPr>
                <w:p w14:paraId="18A1B2D8">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2.0</w:t>
                  </w:r>
                </w:p>
              </w:tc>
              <w:tc>
                <w:tcPr>
                  <w:tcW w:w="469" w:type="pct"/>
                  <w:tcBorders>
                    <w:tl2br w:val="nil"/>
                    <w:tr2bl w:val="nil"/>
                  </w:tcBorders>
                  <w:vAlign w:val="center"/>
                </w:tcPr>
                <w:p w14:paraId="0E56CC4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4896A5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7C33F40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70264387">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2#厂界南侧</w:t>
                  </w:r>
                </w:p>
              </w:tc>
              <w:tc>
                <w:tcPr>
                  <w:tcW w:w="585" w:type="pct"/>
                  <w:vMerge w:val="continue"/>
                  <w:tcBorders>
                    <w:tl2br w:val="nil"/>
                    <w:tr2bl w:val="nil"/>
                  </w:tcBorders>
                  <w:vAlign w:val="center"/>
                </w:tcPr>
                <w:p w14:paraId="06F983DD">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2D44657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0.11</w:t>
                  </w:r>
                </w:p>
              </w:tc>
              <w:tc>
                <w:tcPr>
                  <w:tcW w:w="590" w:type="pct"/>
                  <w:tcBorders>
                    <w:tl2br w:val="nil"/>
                    <w:tr2bl w:val="nil"/>
                  </w:tcBorders>
                  <w:vAlign w:val="center"/>
                </w:tcPr>
                <w:p w14:paraId="33F5583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0.10</w:t>
                  </w:r>
                </w:p>
              </w:tc>
              <w:tc>
                <w:tcPr>
                  <w:tcW w:w="638" w:type="pct"/>
                  <w:tcBorders>
                    <w:tl2br w:val="nil"/>
                    <w:tr2bl w:val="nil"/>
                  </w:tcBorders>
                  <w:vAlign w:val="center"/>
                </w:tcPr>
                <w:p w14:paraId="664591C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633" w:type="pct"/>
                  <w:vMerge w:val="continue"/>
                  <w:tcBorders>
                    <w:tl2br w:val="nil"/>
                    <w:tr2bl w:val="nil"/>
                  </w:tcBorders>
                  <w:vAlign w:val="center"/>
                </w:tcPr>
                <w:p w14:paraId="15F6D67D">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398F46A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060455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565DAC7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62AF39C9">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3#厂界西侧</w:t>
                  </w:r>
                </w:p>
              </w:tc>
              <w:tc>
                <w:tcPr>
                  <w:tcW w:w="585" w:type="pct"/>
                  <w:vMerge w:val="continue"/>
                  <w:tcBorders>
                    <w:tl2br w:val="nil"/>
                    <w:tr2bl w:val="nil"/>
                  </w:tcBorders>
                  <w:vAlign w:val="center"/>
                </w:tcPr>
                <w:p w14:paraId="7748AFF4">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3A931EF9">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0.08</w:t>
                  </w:r>
                </w:p>
              </w:tc>
              <w:tc>
                <w:tcPr>
                  <w:tcW w:w="590" w:type="pct"/>
                  <w:tcBorders>
                    <w:tl2br w:val="nil"/>
                    <w:tr2bl w:val="nil"/>
                  </w:tcBorders>
                  <w:vAlign w:val="center"/>
                </w:tcPr>
                <w:p w14:paraId="39180FB3">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638" w:type="pct"/>
                  <w:tcBorders>
                    <w:tl2br w:val="nil"/>
                    <w:tr2bl w:val="nil"/>
                  </w:tcBorders>
                  <w:vAlign w:val="center"/>
                </w:tcPr>
                <w:p w14:paraId="6B1F0650">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0.10</w:t>
                  </w:r>
                </w:p>
              </w:tc>
              <w:tc>
                <w:tcPr>
                  <w:tcW w:w="633" w:type="pct"/>
                  <w:vMerge w:val="continue"/>
                  <w:tcBorders>
                    <w:tl2br w:val="nil"/>
                    <w:tr2bl w:val="nil"/>
                  </w:tcBorders>
                  <w:vAlign w:val="center"/>
                </w:tcPr>
                <w:p w14:paraId="2042256C">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24A26B8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3DB68D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F572E0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7E8CAEA2">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4#厂界北侧</w:t>
                  </w:r>
                </w:p>
              </w:tc>
              <w:tc>
                <w:tcPr>
                  <w:tcW w:w="585" w:type="pct"/>
                  <w:vMerge w:val="continue"/>
                  <w:tcBorders>
                    <w:tl2br w:val="nil"/>
                    <w:tr2bl w:val="nil"/>
                  </w:tcBorders>
                  <w:vAlign w:val="center"/>
                </w:tcPr>
                <w:p w14:paraId="761467C5">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07DDF89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590" w:type="pct"/>
                  <w:tcBorders>
                    <w:tl2br w:val="nil"/>
                    <w:tr2bl w:val="nil"/>
                  </w:tcBorders>
                  <w:vAlign w:val="center"/>
                </w:tcPr>
                <w:p w14:paraId="699579DC">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0.11</w:t>
                  </w:r>
                </w:p>
              </w:tc>
              <w:tc>
                <w:tcPr>
                  <w:tcW w:w="638" w:type="pct"/>
                  <w:tcBorders>
                    <w:tl2br w:val="nil"/>
                    <w:tr2bl w:val="nil"/>
                  </w:tcBorders>
                  <w:vAlign w:val="center"/>
                </w:tcPr>
                <w:p w14:paraId="2670ED0D">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0.10</w:t>
                  </w:r>
                </w:p>
              </w:tc>
              <w:tc>
                <w:tcPr>
                  <w:tcW w:w="633" w:type="pct"/>
                  <w:vMerge w:val="continue"/>
                  <w:tcBorders>
                    <w:tl2br w:val="nil"/>
                    <w:tr2bl w:val="nil"/>
                  </w:tcBorders>
                  <w:vAlign w:val="center"/>
                </w:tcPr>
                <w:p w14:paraId="5542D66D">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0028F11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248218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1F4CEE7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564C71C">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5#氨站厂界东</w:t>
                  </w:r>
                </w:p>
              </w:tc>
              <w:tc>
                <w:tcPr>
                  <w:tcW w:w="585" w:type="pct"/>
                  <w:vMerge w:val="continue"/>
                  <w:tcBorders>
                    <w:tl2br w:val="nil"/>
                    <w:tr2bl w:val="nil"/>
                  </w:tcBorders>
                  <w:vAlign w:val="center"/>
                </w:tcPr>
                <w:p w14:paraId="66375762">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74203F1D">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0.09</w:t>
                  </w:r>
                </w:p>
              </w:tc>
              <w:tc>
                <w:tcPr>
                  <w:tcW w:w="590" w:type="pct"/>
                  <w:tcBorders>
                    <w:tl2br w:val="nil"/>
                    <w:tr2bl w:val="nil"/>
                  </w:tcBorders>
                  <w:vAlign w:val="center"/>
                </w:tcPr>
                <w:p w14:paraId="142226B0">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0.10</w:t>
                  </w:r>
                </w:p>
              </w:tc>
              <w:tc>
                <w:tcPr>
                  <w:tcW w:w="638" w:type="pct"/>
                  <w:tcBorders>
                    <w:tl2br w:val="nil"/>
                    <w:tr2bl w:val="nil"/>
                  </w:tcBorders>
                  <w:vAlign w:val="center"/>
                </w:tcPr>
                <w:p w14:paraId="7D32D7D2">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0.10</w:t>
                  </w:r>
                </w:p>
              </w:tc>
              <w:tc>
                <w:tcPr>
                  <w:tcW w:w="633" w:type="pct"/>
                  <w:vMerge w:val="continue"/>
                  <w:tcBorders>
                    <w:tl2br w:val="nil"/>
                    <w:tr2bl w:val="nil"/>
                  </w:tcBorders>
                  <w:vAlign w:val="center"/>
                </w:tcPr>
                <w:p w14:paraId="228E81BC">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5013D93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40B3C8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2DF120C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1683A88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6#氨站厂界南</w:t>
                  </w:r>
                </w:p>
              </w:tc>
              <w:tc>
                <w:tcPr>
                  <w:tcW w:w="585" w:type="pct"/>
                  <w:vMerge w:val="continue"/>
                  <w:tcBorders>
                    <w:tl2br w:val="nil"/>
                    <w:tr2bl w:val="nil"/>
                  </w:tcBorders>
                  <w:vAlign w:val="center"/>
                </w:tcPr>
                <w:p w14:paraId="53E4C690">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0AA270C3">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0.09</w:t>
                  </w:r>
                </w:p>
              </w:tc>
              <w:tc>
                <w:tcPr>
                  <w:tcW w:w="590" w:type="pct"/>
                  <w:tcBorders>
                    <w:tl2br w:val="nil"/>
                    <w:tr2bl w:val="nil"/>
                  </w:tcBorders>
                  <w:vAlign w:val="center"/>
                </w:tcPr>
                <w:p w14:paraId="14CC9247">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0.08</w:t>
                  </w:r>
                </w:p>
              </w:tc>
              <w:tc>
                <w:tcPr>
                  <w:tcW w:w="638" w:type="pct"/>
                  <w:tcBorders>
                    <w:tl2br w:val="nil"/>
                    <w:tr2bl w:val="nil"/>
                  </w:tcBorders>
                  <w:vAlign w:val="center"/>
                </w:tcPr>
                <w:p w14:paraId="0714726E">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0.10</w:t>
                  </w:r>
                </w:p>
              </w:tc>
              <w:tc>
                <w:tcPr>
                  <w:tcW w:w="633" w:type="pct"/>
                  <w:vMerge w:val="continue"/>
                  <w:tcBorders>
                    <w:tl2br w:val="nil"/>
                    <w:tr2bl w:val="nil"/>
                  </w:tcBorders>
                  <w:vAlign w:val="center"/>
                </w:tcPr>
                <w:p w14:paraId="3676A820">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011C960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0B993C2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4C1B228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480892E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7#氨站厂界西</w:t>
                  </w:r>
                </w:p>
              </w:tc>
              <w:tc>
                <w:tcPr>
                  <w:tcW w:w="585" w:type="pct"/>
                  <w:vMerge w:val="continue"/>
                  <w:tcBorders>
                    <w:tl2br w:val="nil"/>
                    <w:tr2bl w:val="nil"/>
                  </w:tcBorders>
                  <w:vAlign w:val="center"/>
                </w:tcPr>
                <w:p w14:paraId="0BF94792">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753B6BB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590" w:type="pct"/>
                  <w:tcBorders>
                    <w:tl2br w:val="nil"/>
                    <w:tr2bl w:val="nil"/>
                  </w:tcBorders>
                  <w:vAlign w:val="center"/>
                </w:tcPr>
                <w:p w14:paraId="03A0A78D">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638" w:type="pct"/>
                  <w:tcBorders>
                    <w:tl2br w:val="nil"/>
                    <w:tr2bl w:val="nil"/>
                  </w:tcBorders>
                  <w:vAlign w:val="center"/>
                </w:tcPr>
                <w:p w14:paraId="45486BC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0.11</w:t>
                  </w:r>
                </w:p>
              </w:tc>
              <w:tc>
                <w:tcPr>
                  <w:tcW w:w="633" w:type="pct"/>
                  <w:vMerge w:val="continue"/>
                  <w:tcBorders>
                    <w:tl2br w:val="nil"/>
                    <w:tr2bl w:val="nil"/>
                  </w:tcBorders>
                  <w:vAlign w:val="center"/>
                </w:tcPr>
                <w:p w14:paraId="065B2A1B">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726AF07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42C3E1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10A5CCD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43AFDC5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8#氨站厂界北</w:t>
                  </w:r>
                </w:p>
              </w:tc>
              <w:tc>
                <w:tcPr>
                  <w:tcW w:w="585" w:type="pct"/>
                  <w:vMerge w:val="continue"/>
                  <w:tcBorders>
                    <w:tl2br w:val="nil"/>
                    <w:tr2bl w:val="nil"/>
                  </w:tcBorders>
                  <w:vAlign w:val="center"/>
                </w:tcPr>
                <w:p w14:paraId="4CA51B6C">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7519D6F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590" w:type="pct"/>
                  <w:tcBorders>
                    <w:tl2br w:val="nil"/>
                    <w:tr2bl w:val="nil"/>
                  </w:tcBorders>
                  <w:vAlign w:val="center"/>
                </w:tcPr>
                <w:p w14:paraId="7B580483">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0.11</w:t>
                  </w:r>
                </w:p>
              </w:tc>
              <w:tc>
                <w:tcPr>
                  <w:tcW w:w="638" w:type="pct"/>
                  <w:tcBorders>
                    <w:tl2br w:val="nil"/>
                    <w:tr2bl w:val="nil"/>
                  </w:tcBorders>
                  <w:vAlign w:val="center"/>
                </w:tcPr>
                <w:p w14:paraId="7AB2068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0.10</w:t>
                  </w:r>
                </w:p>
              </w:tc>
              <w:tc>
                <w:tcPr>
                  <w:tcW w:w="633" w:type="pct"/>
                  <w:vMerge w:val="continue"/>
                  <w:tcBorders>
                    <w:tl2br w:val="nil"/>
                    <w:tr2bl w:val="nil"/>
                  </w:tcBorders>
                  <w:vAlign w:val="center"/>
                </w:tcPr>
                <w:p w14:paraId="7F1A0682">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2478A0F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0EB292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FAACC5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066DE79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1#厂界东侧</w:t>
                  </w:r>
                </w:p>
              </w:tc>
              <w:tc>
                <w:tcPr>
                  <w:tcW w:w="585" w:type="pct"/>
                  <w:vMerge w:val="restart"/>
                  <w:tcBorders>
                    <w:tl2br w:val="nil"/>
                    <w:tr2bl w:val="nil"/>
                  </w:tcBorders>
                  <w:vAlign w:val="center"/>
                </w:tcPr>
                <w:p w14:paraId="415B7349">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硫化氢</w:t>
                  </w:r>
                </w:p>
              </w:tc>
              <w:tc>
                <w:tcPr>
                  <w:tcW w:w="690" w:type="pct"/>
                  <w:tcBorders>
                    <w:tl2br w:val="nil"/>
                    <w:tr2bl w:val="nil"/>
                  </w:tcBorders>
                  <w:vAlign w:val="center"/>
                </w:tcPr>
                <w:p w14:paraId="6C629E05">
                  <w:pPr>
                    <w:widowControl w:val="0"/>
                    <w:autoSpaceDE w:val="0"/>
                    <w:autoSpaceDN w:val="0"/>
                    <w:spacing w:line="240" w:lineRule="auto"/>
                    <w:ind w:firstLine="0" w:firstLineChars="0"/>
                    <w:jc w:val="center"/>
                    <w:rPr>
                      <w:rFonts w:hint="eastAsia" w:eastAsia="宋体"/>
                      <w:spacing w:val="-2"/>
                      <w:sz w:val="21"/>
                      <w:szCs w:val="21"/>
                      <w:u w:val="none"/>
                      <w:lang w:val="en-US" w:eastAsia="zh-CN"/>
                    </w:rPr>
                  </w:pPr>
                  <w:r>
                    <w:rPr>
                      <w:rFonts w:hint="eastAsia"/>
                      <w:spacing w:val="-2"/>
                      <w:sz w:val="21"/>
                      <w:szCs w:val="21"/>
                      <w:u w:val="none"/>
                      <w:lang w:val="en-US" w:eastAsia="zh-CN"/>
                    </w:rPr>
                    <w:t>ND</w:t>
                  </w:r>
                </w:p>
              </w:tc>
              <w:tc>
                <w:tcPr>
                  <w:tcW w:w="590" w:type="pct"/>
                  <w:tcBorders>
                    <w:tl2br w:val="nil"/>
                    <w:tr2bl w:val="nil"/>
                  </w:tcBorders>
                  <w:vAlign w:val="center"/>
                </w:tcPr>
                <w:p w14:paraId="1E55123D">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8" w:type="pct"/>
                  <w:tcBorders>
                    <w:tl2br w:val="nil"/>
                    <w:tr2bl w:val="nil"/>
                  </w:tcBorders>
                  <w:vAlign w:val="center"/>
                </w:tcPr>
                <w:p w14:paraId="40A981B5">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3" w:type="pct"/>
                  <w:vMerge w:val="restart"/>
                  <w:tcBorders>
                    <w:tl2br w:val="nil"/>
                    <w:tr2bl w:val="nil"/>
                  </w:tcBorders>
                  <w:vAlign w:val="center"/>
                </w:tcPr>
                <w:p w14:paraId="41E1C489">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0.10</w:t>
                  </w:r>
                </w:p>
              </w:tc>
              <w:tc>
                <w:tcPr>
                  <w:tcW w:w="469" w:type="pct"/>
                  <w:tcBorders>
                    <w:tl2br w:val="nil"/>
                    <w:tr2bl w:val="nil"/>
                  </w:tcBorders>
                  <w:vAlign w:val="center"/>
                </w:tcPr>
                <w:p w14:paraId="0D3D961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522757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73ADABB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8A0E8D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2#厂界南侧</w:t>
                  </w:r>
                </w:p>
              </w:tc>
              <w:tc>
                <w:tcPr>
                  <w:tcW w:w="585" w:type="pct"/>
                  <w:vMerge w:val="continue"/>
                  <w:tcBorders>
                    <w:tl2br w:val="nil"/>
                    <w:tr2bl w:val="nil"/>
                  </w:tcBorders>
                  <w:vAlign w:val="center"/>
                </w:tcPr>
                <w:p w14:paraId="0012436D">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57B1579B">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590" w:type="pct"/>
                  <w:tcBorders>
                    <w:tl2br w:val="nil"/>
                    <w:tr2bl w:val="nil"/>
                  </w:tcBorders>
                  <w:vAlign w:val="center"/>
                </w:tcPr>
                <w:p w14:paraId="497AB930">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8" w:type="pct"/>
                  <w:tcBorders>
                    <w:tl2br w:val="nil"/>
                    <w:tr2bl w:val="nil"/>
                  </w:tcBorders>
                  <w:vAlign w:val="center"/>
                </w:tcPr>
                <w:p w14:paraId="041F52CA">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3" w:type="pct"/>
                  <w:vMerge w:val="continue"/>
                  <w:tcBorders>
                    <w:tl2br w:val="nil"/>
                    <w:tr2bl w:val="nil"/>
                  </w:tcBorders>
                  <w:vAlign w:val="center"/>
                </w:tcPr>
                <w:p w14:paraId="40B7B586">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62BB9A9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43B86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4A4425C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336B28A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3#厂界西侧</w:t>
                  </w:r>
                </w:p>
              </w:tc>
              <w:tc>
                <w:tcPr>
                  <w:tcW w:w="585" w:type="pct"/>
                  <w:vMerge w:val="continue"/>
                  <w:tcBorders>
                    <w:tl2br w:val="nil"/>
                    <w:tr2bl w:val="nil"/>
                  </w:tcBorders>
                  <w:vAlign w:val="center"/>
                </w:tcPr>
                <w:p w14:paraId="31026555">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43F6343D">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590" w:type="pct"/>
                  <w:tcBorders>
                    <w:tl2br w:val="nil"/>
                    <w:tr2bl w:val="nil"/>
                  </w:tcBorders>
                  <w:vAlign w:val="center"/>
                </w:tcPr>
                <w:p w14:paraId="573ED124">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8" w:type="pct"/>
                  <w:tcBorders>
                    <w:tl2br w:val="nil"/>
                    <w:tr2bl w:val="nil"/>
                  </w:tcBorders>
                  <w:vAlign w:val="center"/>
                </w:tcPr>
                <w:p w14:paraId="1FEA28C6">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3" w:type="pct"/>
                  <w:vMerge w:val="continue"/>
                  <w:tcBorders>
                    <w:tl2br w:val="nil"/>
                    <w:tr2bl w:val="nil"/>
                  </w:tcBorders>
                  <w:vAlign w:val="center"/>
                </w:tcPr>
                <w:p w14:paraId="752AED79">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0AE527F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0F8AF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13B056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46216B4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4#厂界北侧</w:t>
                  </w:r>
                </w:p>
              </w:tc>
              <w:tc>
                <w:tcPr>
                  <w:tcW w:w="585" w:type="pct"/>
                  <w:vMerge w:val="continue"/>
                  <w:tcBorders>
                    <w:tl2br w:val="nil"/>
                    <w:tr2bl w:val="nil"/>
                  </w:tcBorders>
                  <w:vAlign w:val="center"/>
                </w:tcPr>
                <w:p w14:paraId="66B8082E">
                  <w:pPr>
                    <w:pStyle w:val="392"/>
                    <w:widowControl w:val="0"/>
                    <w:autoSpaceDE w:val="0"/>
                    <w:autoSpaceDN w:val="0"/>
                    <w:spacing w:line="240" w:lineRule="auto"/>
                    <w:ind w:firstLine="0" w:firstLineChars="0"/>
                    <w:jc w:val="center"/>
                    <w:rPr>
                      <w:rFonts w:hint="eastAsia" w:ascii="Times New Roman" w:hAnsi="Times New Roman" w:cs="Times New Roman"/>
                      <w:spacing w:val="3"/>
                      <w:sz w:val="21"/>
                      <w:szCs w:val="21"/>
                      <w:u w:val="none"/>
                      <w:lang w:eastAsia="zh-CN"/>
                    </w:rPr>
                  </w:pPr>
                </w:p>
              </w:tc>
              <w:tc>
                <w:tcPr>
                  <w:tcW w:w="690" w:type="pct"/>
                  <w:tcBorders>
                    <w:tl2br w:val="nil"/>
                    <w:tr2bl w:val="nil"/>
                  </w:tcBorders>
                  <w:vAlign w:val="center"/>
                </w:tcPr>
                <w:p w14:paraId="5807686E">
                  <w:pPr>
                    <w:widowControl w:val="0"/>
                    <w:autoSpaceDE w:val="0"/>
                    <w:autoSpaceDN w:val="0"/>
                    <w:spacing w:line="240" w:lineRule="auto"/>
                    <w:ind w:firstLine="0" w:firstLineChars="0"/>
                    <w:jc w:val="center"/>
                    <w:rPr>
                      <w:rFonts w:hint="eastAsia"/>
                      <w:spacing w:val="-2"/>
                      <w:sz w:val="21"/>
                      <w:szCs w:val="21"/>
                      <w:u w:val="none"/>
                    </w:rPr>
                  </w:pPr>
                  <w:r>
                    <w:rPr>
                      <w:rFonts w:hint="eastAsia"/>
                      <w:spacing w:val="-2"/>
                      <w:sz w:val="21"/>
                      <w:szCs w:val="21"/>
                      <w:u w:val="none"/>
                      <w:lang w:val="en-US" w:eastAsia="zh-CN"/>
                    </w:rPr>
                    <w:t>ND</w:t>
                  </w:r>
                </w:p>
              </w:tc>
              <w:tc>
                <w:tcPr>
                  <w:tcW w:w="590" w:type="pct"/>
                  <w:tcBorders>
                    <w:tl2br w:val="nil"/>
                    <w:tr2bl w:val="nil"/>
                  </w:tcBorders>
                  <w:vAlign w:val="center"/>
                </w:tcPr>
                <w:p w14:paraId="69CF10FD">
                  <w:pPr>
                    <w:widowControl w:val="0"/>
                    <w:autoSpaceDE w:val="0"/>
                    <w:autoSpaceDN w:val="0"/>
                    <w:spacing w:line="240" w:lineRule="auto"/>
                    <w:ind w:firstLine="0" w:firstLineChars="0"/>
                    <w:jc w:val="center"/>
                    <w:rPr>
                      <w:rFonts w:hint="eastAsia"/>
                      <w:spacing w:val="-2"/>
                      <w:sz w:val="21"/>
                      <w:szCs w:val="21"/>
                      <w:u w:val="none"/>
                    </w:rPr>
                  </w:pPr>
                  <w:r>
                    <w:rPr>
                      <w:rFonts w:hint="eastAsia"/>
                      <w:spacing w:val="-2"/>
                      <w:sz w:val="21"/>
                      <w:szCs w:val="21"/>
                      <w:u w:val="none"/>
                      <w:lang w:val="en-US" w:eastAsia="zh-CN"/>
                    </w:rPr>
                    <w:t>ND</w:t>
                  </w:r>
                </w:p>
              </w:tc>
              <w:tc>
                <w:tcPr>
                  <w:tcW w:w="638" w:type="pct"/>
                  <w:tcBorders>
                    <w:tl2br w:val="nil"/>
                    <w:tr2bl w:val="nil"/>
                  </w:tcBorders>
                  <w:vAlign w:val="center"/>
                </w:tcPr>
                <w:p w14:paraId="6B518DFF">
                  <w:pPr>
                    <w:widowControl w:val="0"/>
                    <w:autoSpaceDE w:val="0"/>
                    <w:autoSpaceDN w:val="0"/>
                    <w:spacing w:line="240" w:lineRule="auto"/>
                    <w:ind w:firstLine="0" w:firstLineChars="0"/>
                    <w:jc w:val="center"/>
                    <w:rPr>
                      <w:rFonts w:hint="eastAsia"/>
                      <w:spacing w:val="-2"/>
                      <w:sz w:val="21"/>
                      <w:szCs w:val="21"/>
                      <w:u w:val="none"/>
                    </w:rPr>
                  </w:pPr>
                  <w:r>
                    <w:rPr>
                      <w:rFonts w:hint="eastAsia"/>
                      <w:spacing w:val="-2"/>
                      <w:sz w:val="21"/>
                      <w:szCs w:val="21"/>
                      <w:u w:val="none"/>
                      <w:lang w:val="en-US" w:eastAsia="zh-CN"/>
                    </w:rPr>
                    <w:t>ND</w:t>
                  </w:r>
                </w:p>
              </w:tc>
              <w:tc>
                <w:tcPr>
                  <w:tcW w:w="633" w:type="pct"/>
                  <w:vMerge w:val="continue"/>
                  <w:tcBorders>
                    <w:tl2br w:val="nil"/>
                    <w:tr2bl w:val="nil"/>
                  </w:tcBorders>
                  <w:vAlign w:val="center"/>
                </w:tcPr>
                <w:p w14:paraId="565E0DF0">
                  <w:pPr>
                    <w:widowControl w:val="0"/>
                    <w:autoSpaceDE w:val="0"/>
                    <w:autoSpaceDN w:val="0"/>
                    <w:spacing w:line="240" w:lineRule="auto"/>
                    <w:ind w:firstLine="0" w:firstLineChars="0"/>
                    <w:jc w:val="center"/>
                    <w:rPr>
                      <w:rFonts w:hint="eastAsia"/>
                      <w:spacing w:val="-2"/>
                      <w:sz w:val="21"/>
                      <w:szCs w:val="21"/>
                      <w:u w:val="none"/>
                    </w:rPr>
                  </w:pPr>
                </w:p>
              </w:tc>
              <w:tc>
                <w:tcPr>
                  <w:tcW w:w="469" w:type="pct"/>
                  <w:tcBorders>
                    <w:tl2br w:val="nil"/>
                    <w:tr2bl w:val="nil"/>
                  </w:tcBorders>
                  <w:vAlign w:val="center"/>
                </w:tcPr>
                <w:p w14:paraId="425FAE9E">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达标</w:t>
                  </w:r>
                </w:p>
              </w:tc>
            </w:tr>
          </w:tbl>
          <w:p w14:paraId="57AAB0F1">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164" w:beforeLines="50" w:line="360" w:lineRule="auto"/>
              <w:jc w:val="both"/>
              <w:textAlignment w:val="auto"/>
              <w:rPr>
                <w:rFonts w:hint="eastAsia"/>
                <w:b/>
                <w:bCs/>
                <w:sz w:val="24"/>
                <w:highlight w:val="none"/>
                <w:u w:val="none"/>
                <w:lang w:val="en-US" w:eastAsia="zh-CN"/>
              </w:rPr>
            </w:pPr>
            <w:r>
              <w:rPr>
                <w:rFonts w:hint="eastAsia"/>
                <w:b/>
                <w:bCs/>
                <w:sz w:val="24"/>
                <w:highlight w:val="none"/>
                <w:u w:val="none"/>
                <w:lang w:val="en-US" w:eastAsia="zh-CN"/>
              </w:rPr>
              <w:t>1.2.3 噪声污染源排放情况</w:t>
            </w:r>
          </w:p>
          <w:p w14:paraId="02C86662">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highlight w:val="none"/>
                <w:u w:val="none"/>
                <w:lang w:val="en-US" w:eastAsia="zh-CN"/>
              </w:rPr>
            </w:pPr>
            <w:r>
              <w:rPr>
                <w:rFonts w:hint="eastAsia"/>
                <w:b w:val="0"/>
                <w:bCs w:val="0"/>
                <w:sz w:val="24"/>
                <w:highlight w:val="none"/>
                <w:u w:val="none"/>
                <w:lang w:val="en-US" w:eastAsia="zh-CN"/>
              </w:rPr>
              <w:t>根据湖南中测湘源检测有限公司于2025年12月1日出具的检测报告（详见附件9，报告编号：ZCXY2025100905-2），现有项目各厂界噪声均满足《工业企业厂界环境噪声排放标准》（GB12348-2008）2类标准限值，现有项目厂界噪声监测数据如下：</w:t>
            </w:r>
          </w:p>
          <w:p w14:paraId="7B93EC60">
            <w:pPr>
              <w:pStyle w:val="379"/>
              <w:keepNext w:val="0"/>
              <w:keepLines w:val="0"/>
              <w:pageBreakBefore w:val="0"/>
              <w:widowControl w:val="0"/>
              <w:numPr>
                <w:ilvl w:val="0"/>
                <w:numId w:val="18"/>
              </w:numPr>
              <w:tabs>
                <w:tab w:val="clear" w:pos="1139"/>
              </w:tabs>
              <w:kinsoku/>
              <w:wordWrap/>
              <w:overflowPunct/>
              <w:topLinePunct w:val="0"/>
              <w:autoSpaceDE/>
              <w:autoSpaceDN/>
              <w:bidi w:val="0"/>
              <w:adjustRightInd/>
              <w:snapToGrid/>
              <w:spacing w:line="240" w:lineRule="auto"/>
              <w:ind w:firstLineChars="0"/>
              <w:jc w:val="center"/>
              <w:textAlignment w:val="auto"/>
              <w:rPr>
                <w:rFonts w:hint="eastAsia" w:ascii="Times New Roman" w:hAnsi="Times New Roman" w:eastAsia="宋体" w:cs="Times New Roman"/>
                <w:b/>
                <w:sz w:val="24"/>
                <w:lang w:val="en-US" w:eastAsia="zh-CN"/>
              </w:rPr>
            </w:pPr>
            <w:r>
              <w:rPr>
                <w:rFonts w:hint="eastAsia" w:ascii="Times New Roman" w:hAnsi="Times New Roman" w:eastAsia="宋体" w:cs="Times New Roman"/>
                <w:b/>
                <w:sz w:val="24"/>
                <w:lang w:val="en-US" w:eastAsia="zh-CN"/>
              </w:rPr>
              <w:t>现有项目厂界噪声监测结果表</w:t>
            </w:r>
          </w:p>
          <w:tbl>
            <w:tblPr>
              <w:tblStyle w:val="175"/>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2420"/>
              <w:gridCol w:w="1314"/>
              <w:gridCol w:w="1321"/>
              <w:gridCol w:w="1314"/>
              <w:gridCol w:w="1315"/>
            </w:tblGrid>
            <w:tr w14:paraId="2B9A90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574" w:type="pct"/>
                  <w:vMerge w:val="restart"/>
                  <w:tcBorders>
                    <w:tl2br w:val="nil"/>
                    <w:tr2bl w:val="nil"/>
                  </w:tcBorders>
                  <w:vAlign w:val="center"/>
                </w:tcPr>
                <w:p w14:paraId="49A77127">
                  <w:pPr>
                    <w:widowControl w:val="0"/>
                    <w:autoSpaceDE w:val="0"/>
                    <w:autoSpaceDN w:val="0"/>
                    <w:adjustRightInd w:val="0"/>
                    <w:snapToGrid w:val="0"/>
                    <w:spacing w:line="240" w:lineRule="auto"/>
                    <w:ind w:firstLine="0" w:firstLineChars="0"/>
                    <w:jc w:val="center"/>
                    <w:rPr>
                      <w:b/>
                      <w:sz w:val="21"/>
                      <w:szCs w:val="21"/>
                      <w:u w:val="none"/>
                    </w:rPr>
                  </w:pPr>
                  <w:r>
                    <w:rPr>
                      <w:rFonts w:hint="eastAsia"/>
                      <w:b/>
                      <w:sz w:val="21"/>
                      <w:szCs w:val="21"/>
                      <w:u w:val="none"/>
                    </w:rPr>
                    <w:t>检测点位</w:t>
                  </w:r>
                </w:p>
              </w:tc>
              <w:tc>
                <w:tcPr>
                  <w:tcW w:w="2569" w:type="pct"/>
                  <w:gridSpan w:val="3"/>
                  <w:tcBorders>
                    <w:tl2br w:val="nil"/>
                    <w:tr2bl w:val="nil"/>
                  </w:tcBorders>
                  <w:vAlign w:val="center"/>
                </w:tcPr>
                <w:p w14:paraId="13A7A5E2">
                  <w:pPr>
                    <w:widowControl w:val="0"/>
                    <w:autoSpaceDE w:val="0"/>
                    <w:autoSpaceDN w:val="0"/>
                    <w:adjustRightInd w:val="0"/>
                    <w:snapToGrid w:val="0"/>
                    <w:spacing w:line="240" w:lineRule="auto"/>
                    <w:ind w:firstLine="0" w:firstLineChars="0"/>
                    <w:jc w:val="center"/>
                    <w:rPr>
                      <w:rFonts w:hint="eastAsia"/>
                      <w:b/>
                      <w:sz w:val="21"/>
                      <w:szCs w:val="21"/>
                      <w:u w:val="none"/>
                    </w:rPr>
                  </w:pPr>
                  <w:r>
                    <w:rPr>
                      <w:rFonts w:hint="eastAsia"/>
                      <w:b/>
                      <w:sz w:val="21"/>
                      <w:szCs w:val="21"/>
                      <w:u w:val="none"/>
                    </w:rPr>
                    <w:t>202</w:t>
                  </w:r>
                  <w:r>
                    <w:rPr>
                      <w:rFonts w:hint="eastAsia"/>
                      <w:b/>
                      <w:sz w:val="21"/>
                      <w:szCs w:val="21"/>
                      <w:u w:val="none"/>
                      <w:lang w:val="en-US" w:eastAsia="zh-CN"/>
                    </w:rPr>
                    <w:t>5.11.18</w:t>
                  </w:r>
                </w:p>
              </w:tc>
              <w:tc>
                <w:tcPr>
                  <w:tcW w:w="855" w:type="pct"/>
                  <w:vMerge w:val="restart"/>
                  <w:tcBorders>
                    <w:tl2br w:val="nil"/>
                    <w:tr2bl w:val="nil"/>
                  </w:tcBorders>
                  <w:vAlign w:val="center"/>
                </w:tcPr>
                <w:p w14:paraId="7A731286">
                  <w:pPr>
                    <w:widowControl w:val="0"/>
                    <w:autoSpaceDE w:val="0"/>
                    <w:autoSpaceDN w:val="0"/>
                    <w:adjustRightInd w:val="0"/>
                    <w:snapToGrid w:val="0"/>
                    <w:spacing w:line="240" w:lineRule="auto"/>
                    <w:ind w:firstLine="0" w:firstLineChars="0"/>
                    <w:jc w:val="center"/>
                    <w:rPr>
                      <w:b/>
                      <w:sz w:val="21"/>
                      <w:szCs w:val="21"/>
                      <w:u w:val="none"/>
                    </w:rPr>
                  </w:pPr>
                  <w:r>
                    <w:rPr>
                      <w:rFonts w:hint="eastAsia"/>
                      <w:b/>
                      <w:sz w:val="21"/>
                      <w:szCs w:val="21"/>
                      <w:u w:val="none"/>
                    </w:rPr>
                    <w:t>评价结果</w:t>
                  </w:r>
                </w:p>
              </w:tc>
            </w:tr>
            <w:tr w14:paraId="451824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574" w:type="pct"/>
                  <w:vMerge w:val="continue"/>
                  <w:tcBorders>
                    <w:tl2br w:val="nil"/>
                    <w:tr2bl w:val="nil"/>
                  </w:tcBorders>
                  <w:vAlign w:val="center"/>
                </w:tcPr>
                <w:p w14:paraId="63B48DF5">
                  <w:pPr>
                    <w:widowControl w:val="0"/>
                    <w:autoSpaceDE w:val="0"/>
                    <w:autoSpaceDN w:val="0"/>
                    <w:adjustRightInd w:val="0"/>
                    <w:snapToGrid w:val="0"/>
                    <w:spacing w:line="240" w:lineRule="auto"/>
                    <w:ind w:firstLine="0" w:firstLineChars="0"/>
                    <w:jc w:val="center"/>
                    <w:rPr>
                      <w:b/>
                      <w:sz w:val="21"/>
                      <w:szCs w:val="21"/>
                      <w:u w:val="none"/>
                    </w:rPr>
                  </w:pPr>
                </w:p>
              </w:tc>
              <w:tc>
                <w:tcPr>
                  <w:tcW w:w="855" w:type="pct"/>
                  <w:tcBorders>
                    <w:tl2br w:val="nil"/>
                    <w:tr2bl w:val="nil"/>
                  </w:tcBorders>
                  <w:vAlign w:val="center"/>
                </w:tcPr>
                <w:p w14:paraId="20B6CCC4">
                  <w:pPr>
                    <w:widowControl w:val="0"/>
                    <w:autoSpaceDE w:val="0"/>
                    <w:autoSpaceDN w:val="0"/>
                    <w:adjustRightInd w:val="0"/>
                    <w:snapToGrid w:val="0"/>
                    <w:spacing w:line="240" w:lineRule="auto"/>
                    <w:ind w:firstLine="0" w:firstLineChars="0"/>
                    <w:jc w:val="center"/>
                    <w:rPr>
                      <w:rFonts w:hint="eastAsia" w:eastAsia="宋体"/>
                      <w:b/>
                      <w:sz w:val="21"/>
                      <w:szCs w:val="21"/>
                      <w:u w:val="none"/>
                      <w:lang w:val="en-US" w:eastAsia="zh-CN"/>
                    </w:rPr>
                  </w:pPr>
                  <w:r>
                    <w:rPr>
                      <w:rFonts w:hint="eastAsia"/>
                      <w:b/>
                      <w:sz w:val="21"/>
                      <w:szCs w:val="21"/>
                      <w:u w:val="none"/>
                    </w:rPr>
                    <w:t>昼间</w:t>
                  </w:r>
                  <w:r>
                    <w:rPr>
                      <w:rFonts w:hint="eastAsia"/>
                      <w:b/>
                      <w:sz w:val="21"/>
                      <w:szCs w:val="21"/>
                      <w:u w:val="none"/>
                      <w:lang w:val="en-US" w:eastAsia="zh-CN"/>
                    </w:rPr>
                    <w:t>Leq</w:t>
                  </w:r>
                </w:p>
              </w:tc>
              <w:tc>
                <w:tcPr>
                  <w:tcW w:w="859" w:type="pct"/>
                  <w:tcBorders>
                    <w:tl2br w:val="nil"/>
                    <w:tr2bl w:val="nil"/>
                  </w:tcBorders>
                  <w:vAlign w:val="center"/>
                </w:tcPr>
                <w:p w14:paraId="1FDA5019">
                  <w:pPr>
                    <w:widowControl w:val="0"/>
                    <w:autoSpaceDE w:val="0"/>
                    <w:autoSpaceDN w:val="0"/>
                    <w:adjustRightInd w:val="0"/>
                    <w:snapToGrid w:val="0"/>
                    <w:spacing w:line="240" w:lineRule="auto"/>
                    <w:ind w:firstLine="0" w:firstLineChars="0"/>
                    <w:jc w:val="center"/>
                    <w:rPr>
                      <w:rFonts w:hint="eastAsia" w:eastAsia="宋体"/>
                      <w:bCs/>
                      <w:sz w:val="21"/>
                      <w:szCs w:val="21"/>
                      <w:u w:val="none"/>
                      <w:lang w:val="en-US" w:eastAsia="zh-CN"/>
                    </w:rPr>
                  </w:pPr>
                  <w:r>
                    <w:rPr>
                      <w:rFonts w:hint="eastAsia"/>
                      <w:b/>
                      <w:sz w:val="21"/>
                      <w:szCs w:val="21"/>
                      <w:u w:val="none"/>
                    </w:rPr>
                    <w:t>夜间</w:t>
                  </w:r>
                  <w:r>
                    <w:rPr>
                      <w:rFonts w:hint="eastAsia"/>
                      <w:b/>
                      <w:sz w:val="21"/>
                      <w:szCs w:val="21"/>
                      <w:u w:val="none"/>
                      <w:lang w:val="en-US" w:eastAsia="zh-CN"/>
                    </w:rPr>
                    <w:t>Leq</w:t>
                  </w:r>
                </w:p>
              </w:tc>
              <w:tc>
                <w:tcPr>
                  <w:tcW w:w="855" w:type="pct"/>
                  <w:tcBorders>
                    <w:tl2br w:val="nil"/>
                    <w:tr2bl w:val="nil"/>
                  </w:tcBorders>
                  <w:vAlign w:val="center"/>
                </w:tcPr>
                <w:p w14:paraId="561EC785">
                  <w:pPr>
                    <w:widowControl w:val="0"/>
                    <w:autoSpaceDE w:val="0"/>
                    <w:autoSpaceDN w:val="0"/>
                    <w:adjustRightInd w:val="0"/>
                    <w:snapToGrid w:val="0"/>
                    <w:spacing w:line="240" w:lineRule="auto"/>
                    <w:ind w:firstLine="0" w:firstLineChars="0"/>
                    <w:jc w:val="center"/>
                    <w:rPr>
                      <w:rFonts w:hint="eastAsia" w:eastAsia="宋体"/>
                      <w:b/>
                      <w:sz w:val="21"/>
                      <w:szCs w:val="21"/>
                      <w:u w:val="none"/>
                      <w:lang w:val="en-US" w:eastAsia="zh-CN"/>
                    </w:rPr>
                  </w:pPr>
                  <w:r>
                    <w:rPr>
                      <w:rFonts w:hint="eastAsia"/>
                      <w:b/>
                      <w:sz w:val="21"/>
                      <w:szCs w:val="21"/>
                      <w:u w:val="none"/>
                      <w:lang w:val="en-US" w:eastAsia="zh-CN"/>
                    </w:rPr>
                    <w:t>偶发噪声</w:t>
                  </w:r>
                </w:p>
              </w:tc>
              <w:tc>
                <w:tcPr>
                  <w:tcW w:w="855" w:type="pct"/>
                  <w:vMerge w:val="continue"/>
                  <w:tcBorders>
                    <w:tl2br w:val="nil"/>
                    <w:tr2bl w:val="nil"/>
                  </w:tcBorders>
                  <w:vAlign w:val="center"/>
                </w:tcPr>
                <w:p w14:paraId="5A9019F9">
                  <w:pPr>
                    <w:widowControl w:val="0"/>
                    <w:autoSpaceDE w:val="0"/>
                    <w:autoSpaceDN w:val="0"/>
                    <w:adjustRightInd w:val="0"/>
                    <w:snapToGrid w:val="0"/>
                    <w:spacing w:line="240" w:lineRule="auto"/>
                    <w:ind w:firstLine="0" w:firstLineChars="0"/>
                    <w:jc w:val="center"/>
                    <w:rPr>
                      <w:bCs/>
                      <w:sz w:val="21"/>
                      <w:szCs w:val="21"/>
                      <w:u w:val="none"/>
                    </w:rPr>
                  </w:pPr>
                </w:p>
              </w:tc>
            </w:tr>
            <w:tr w14:paraId="458CF7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574" w:type="pct"/>
                  <w:tcBorders>
                    <w:tl2br w:val="nil"/>
                    <w:tr2bl w:val="nil"/>
                  </w:tcBorders>
                  <w:vAlign w:val="center"/>
                </w:tcPr>
                <w:p w14:paraId="4A45CF6F">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厂界东侧外1m</w:t>
                  </w:r>
                </w:p>
              </w:tc>
              <w:tc>
                <w:tcPr>
                  <w:tcW w:w="855" w:type="pct"/>
                  <w:tcBorders>
                    <w:tl2br w:val="nil"/>
                    <w:tr2bl w:val="nil"/>
                  </w:tcBorders>
                  <w:vAlign w:val="center"/>
                </w:tcPr>
                <w:p w14:paraId="7333A352">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57.8</w:t>
                  </w:r>
                </w:p>
              </w:tc>
              <w:tc>
                <w:tcPr>
                  <w:tcW w:w="859" w:type="pct"/>
                  <w:tcBorders>
                    <w:tl2br w:val="nil"/>
                    <w:tr2bl w:val="nil"/>
                  </w:tcBorders>
                  <w:vAlign w:val="center"/>
                </w:tcPr>
                <w:p w14:paraId="1F0D845E">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47.4</w:t>
                  </w:r>
                </w:p>
              </w:tc>
              <w:tc>
                <w:tcPr>
                  <w:tcW w:w="855" w:type="pct"/>
                  <w:tcBorders>
                    <w:tl2br w:val="nil"/>
                    <w:tr2bl w:val="nil"/>
                  </w:tcBorders>
                  <w:vAlign w:val="center"/>
                </w:tcPr>
                <w:p w14:paraId="5EBF0513">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57.1</w:t>
                  </w:r>
                </w:p>
              </w:tc>
              <w:tc>
                <w:tcPr>
                  <w:tcW w:w="855" w:type="pct"/>
                  <w:tcBorders>
                    <w:tl2br w:val="nil"/>
                    <w:tr2bl w:val="nil"/>
                  </w:tcBorders>
                  <w:vAlign w:val="center"/>
                </w:tcPr>
                <w:p w14:paraId="649BBC20">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达标</w:t>
                  </w:r>
                </w:p>
              </w:tc>
            </w:tr>
            <w:tr w14:paraId="6F9BA0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574" w:type="pct"/>
                  <w:tcBorders>
                    <w:tl2br w:val="nil"/>
                    <w:tr2bl w:val="nil"/>
                  </w:tcBorders>
                  <w:vAlign w:val="center"/>
                </w:tcPr>
                <w:p w14:paraId="4BFB49AF">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厂界南侧外1m</w:t>
                  </w:r>
                </w:p>
              </w:tc>
              <w:tc>
                <w:tcPr>
                  <w:tcW w:w="855" w:type="pct"/>
                  <w:tcBorders>
                    <w:tl2br w:val="nil"/>
                    <w:tr2bl w:val="nil"/>
                  </w:tcBorders>
                  <w:vAlign w:val="center"/>
                </w:tcPr>
                <w:p w14:paraId="0246ABAD">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55.5</w:t>
                  </w:r>
                </w:p>
              </w:tc>
              <w:tc>
                <w:tcPr>
                  <w:tcW w:w="859" w:type="pct"/>
                  <w:tcBorders>
                    <w:tl2br w:val="nil"/>
                    <w:tr2bl w:val="nil"/>
                  </w:tcBorders>
                  <w:vAlign w:val="center"/>
                </w:tcPr>
                <w:p w14:paraId="6C34AAF1">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47.2</w:t>
                  </w:r>
                </w:p>
              </w:tc>
              <w:tc>
                <w:tcPr>
                  <w:tcW w:w="855" w:type="pct"/>
                  <w:tcBorders>
                    <w:tl2br w:val="nil"/>
                    <w:tr2bl w:val="nil"/>
                  </w:tcBorders>
                  <w:vAlign w:val="center"/>
                </w:tcPr>
                <w:p w14:paraId="67AA6121">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54.4</w:t>
                  </w:r>
                </w:p>
              </w:tc>
              <w:tc>
                <w:tcPr>
                  <w:tcW w:w="855" w:type="pct"/>
                  <w:tcBorders>
                    <w:tl2br w:val="nil"/>
                    <w:tr2bl w:val="nil"/>
                  </w:tcBorders>
                  <w:vAlign w:val="center"/>
                </w:tcPr>
                <w:p w14:paraId="3B8EC801">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达标</w:t>
                  </w:r>
                </w:p>
              </w:tc>
            </w:tr>
            <w:tr w14:paraId="502F40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574" w:type="pct"/>
                  <w:tcBorders>
                    <w:tl2br w:val="nil"/>
                    <w:tr2bl w:val="nil"/>
                  </w:tcBorders>
                  <w:vAlign w:val="center"/>
                </w:tcPr>
                <w:p w14:paraId="4076F13D">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厂界西侧外1m</w:t>
                  </w:r>
                </w:p>
              </w:tc>
              <w:tc>
                <w:tcPr>
                  <w:tcW w:w="855" w:type="pct"/>
                  <w:tcBorders>
                    <w:tl2br w:val="nil"/>
                    <w:tr2bl w:val="nil"/>
                  </w:tcBorders>
                  <w:vAlign w:val="center"/>
                </w:tcPr>
                <w:p w14:paraId="2E11786B">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55.2</w:t>
                  </w:r>
                </w:p>
              </w:tc>
              <w:tc>
                <w:tcPr>
                  <w:tcW w:w="859" w:type="pct"/>
                  <w:tcBorders>
                    <w:tl2br w:val="nil"/>
                    <w:tr2bl w:val="nil"/>
                  </w:tcBorders>
                  <w:vAlign w:val="center"/>
                </w:tcPr>
                <w:p w14:paraId="6F4570BE">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48.2</w:t>
                  </w:r>
                </w:p>
              </w:tc>
              <w:tc>
                <w:tcPr>
                  <w:tcW w:w="855" w:type="pct"/>
                  <w:tcBorders>
                    <w:tl2br w:val="nil"/>
                    <w:tr2bl w:val="nil"/>
                  </w:tcBorders>
                  <w:vAlign w:val="center"/>
                </w:tcPr>
                <w:p w14:paraId="079B5733">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60.4</w:t>
                  </w:r>
                </w:p>
              </w:tc>
              <w:tc>
                <w:tcPr>
                  <w:tcW w:w="855" w:type="pct"/>
                  <w:tcBorders>
                    <w:tl2br w:val="nil"/>
                    <w:tr2bl w:val="nil"/>
                  </w:tcBorders>
                  <w:vAlign w:val="center"/>
                </w:tcPr>
                <w:p w14:paraId="56031AFD">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达标</w:t>
                  </w:r>
                </w:p>
              </w:tc>
            </w:tr>
            <w:tr w14:paraId="35C2D4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574" w:type="pct"/>
                  <w:tcBorders>
                    <w:tl2br w:val="nil"/>
                    <w:tr2bl w:val="nil"/>
                  </w:tcBorders>
                  <w:vAlign w:val="center"/>
                </w:tcPr>
                <w:p w14:paraId="3FC6060F">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厂界北侧外1m</w:t>
                  </w:r>
                </w:p>
              </w:tc>
              <w:tc>
                <w:tcPr>
                  <w:tcW w:w="855" w:type="pct"/>
                  <w:tcBorders>
                    <w:tl2br w:val="nil"/>
                    <w:tr2bl w:val="nil"/>
                  </w:tcBorders>
                  <w:vAlign w:val="center"/>
                </w:tcPr>
                <w:p w14:paraId="2AE33D19">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56.1</w:t>
                  </w:r>
                </w:p>
              </w:tc>
              <w:tc>
                <w:tcPr>
                  <w:tcW w:w="859" w:type="pct"/>
                  <w:tcBorders>
                    <w:tl2br w:val="nil"/>
                    <w:tr2bl w:val="nil"/>
                  </w:tcBorders>
                  <w:vAlign w:val="center"/>
                </w:tcPr>
                <w:p w14:paraId="6AABC524">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47.4</w:t>
                  </w:r>
                </w:p>
              </w:tc>
              <w:tc>
                <w:tcPr>
                  <w:tcW w:w="855" w:type="pct"/>
                  <w:tcBorders>
                    <w:tl2br w:val="nil"/>
                    <w:tr2bl w:val="nil"/>
                  </w:tcBorders>
                  <w:vAlign w:val="center"/>
                </w:tcPr>
                <w:p w14:paraId="6EB26F83">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56.3</w:t>
                  </w:r>
                </w:p>
              </w:tc>
              <w:tc>
                <w:tcPr>
                  <w:tcW w:w="855" w:type="pct"/>
                  <w:tcBorders>
                    <w:tl2br w:val="nil"/>
                    <w:tr2bl w:val="nil"/>
                  </w:tcBorders>
                  <w:vAlign w:val="center"/>
                </w:tcPr>
                <w:p w14:paraId="5AB6E6D8">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达标</w:t>
                  </w:r>
                </w:p>
              </w:tc>
            </w:tr>
            <w:tr w14:paraId="7880F5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574" w:type="pct"/>
                  <w:tcBorders>
                    <w:tl2br w:val="nil"/>
                    <w:tr2bl w:val="nil"/>
                  </w:tcBorders>
                  <w:vAlign w:val="center"/>
                </w:tcPr>
                <w:p w14:paraId="0E5DDDEF">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标准限值</w:t>
                  </w:r>
                </w:p>
              </w:tc>
              <w:tc>
                <w:tcPr>
                  <w:tcW w:w="855" w:type="pct"/>
                  <w:tcBorders>
                    <w:tl2br w:val="nil"/>
                    <w:tr2bl w:val="nil"/>
                  </w:tcBorders>
                  <w:vAlign w:val="center"/>
                </w:tcPr>
                <w:p w14:paraId="4217C13D">
                  <w:pPr>
                    <w:widowControl w:val="0"/>
                    <w:autoSpaceDE w:val="0"/>
                    <w:autoSpaceDN w:val="0"/>
                    <w:spacing w:line="240" w:lineRule="auto"/>
                    <w:ind w:firstLine="0" w:firstLineChars="0"/>
                    <w:jc w:val="center"/>
                    <w:rPr>
                      <w:bCs/>
                      <w:sz w:val="21"/>
                      <w:szCs w:val="21"/>
                      <w:u w:val="none"/>
                    </w:rPr>
                  </w:pPr>
                  <w:r>
                    <w:rPr>
                      <w:rFonts w:hint="eastAsia"/>
                      <w:bCs/>
                      <w:sz w:val="21"/>
                      <w:szCs w:val="21"/>
                      <w:u w:val="none"/>
                    </w:rPr>
                    <w:t>65</w:t>
                  </w:r>
                </w:p>
              </w:tc>
              <w:tc>
                <w:tcPr>
                  <w:tcW w:w="859" w:type="pct"/>
                  <w:tcBorders>
                    <w:tl2br w:val="nil"/>
                    <w:tr2bl w:val="nil"/>
                  </w:tcBorders>
                  <w:vAlign w:val="center"/>
                </w:tcPr>
                <w:p w14:paraId="245D0978">
                  <w:pPr>
                    <w:widowControl w:val="0"/>
                    <w:autoSpaceDE w:val="0"/>
                    <w:autoSpaceDN w:val="0"/>
                    <w:spacing w:line="240" w:lineRule="auto"/>
                    <w:ind w:firstLine="0" w:firstLineChars="0"/>
                    <w:jc w:val="center"/>
                    <w:rPr>
                      <w:bCs/>
                      <w:sz w:val="21"/>
                      <w:szCs w:val="21"/>
                      <w:u w:val="none"/>
                    </w:rPr>
                  </w:pPr>
                  <w:r>
                    <w:rPr>
                      <w:rFonts w:hint="eastAsia"/>
                      <w:bCs/>
                      <w:sz w:val="21"/>
                      <w:szCs w:val="21"/>
                      <w:u w:val="none"/>
                    </w:rPr>
                    <w:t>55</w:t>
                  </w:r>
                </w:p>
              </w:tc>
              <w:tc>
                <w:tcPr>
                  <w:tcW w:w="855" w:type="pct"/>
                  <w:tcBorders>
                    <w:tl2br w:val="nil"/>
                    <w:tr2bl w:val="nil"/>
                  </w:tcBorders>
                  <w:vAlign w:val="center"/>
                </w:tcPr>
                <w:p w14:paraId="326B9B9F">
                  <w:pPr>
                    <w:widowControl w:val="0"/>
                    <w:autoSpaceDE w:val="0"/>
                    <w:autoSpaceDN w:val="0"/>
                    <w:spacing w:line="240" w:lineRule="auto"/>
                    <w:ind w:firstLine="0" w:firstLineChars="0"/>
                    <w:jc w:val="center"/>
                    <w:rPr>
                      <w:rFonts w:hint="eastAsia" w:eastAsia="宋体"/>
                      <w:bCs/>
                      <w:sz w:val="21"/>
                      <w:szCs w:val="21"/>
                      <w:u w:val="none"/>
                      <w:lang w:val="en-US" w:eastAsia="zh-CN"/>
                    </w:rPr>
                  </w:pPr>
                  <w:r>
                    <w:rPr>
                      <w:rFonts w:hint="eastAsia"/>
                      <w:bCs/>
                      <w:sz w:val="21"/>
                      <w:szCs w:val="21"/>
                      <w:u w:val="none"/>
                      <w:lang w:val="en-US" w:eastAsia="zh-CN"/>
                    </w:rPr>
                    <w:t>/</w:t>
                  </w:r>
                </w:p>
              </w:tc>
              <w:tc>
                <w:tcPr>
                  <w:tcW w:w="855" w:type="pct"/>
                  <w:tcBorders>
                    <w:tl2br w:val="nil"/>
                    <w:tr2bl w:val="nil"/>
                  </w:tcBorders>
                  <w:vAlign w:val="center"/>
                </w:tcPr>
                <w:p w14:paraId="2040FEF0">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w:t>
                  </w:r>
                </w:p>
              </w:tc>
            </w:tr>
          </w:tbl>
          <w:p w14:paraId="09D1BD7B">
            <w:pPr>
              <w:pStyle w:val="379"/>
              <w:keepNext w:val="0"/>
              <w:keepLines w:val="0"/>
              <w:pageBreakBefore w:val="0"/>
              <w:widowControl w:val="0"/>
              <w:numPr>
                <w:ilvl w:val="0"/>
                <w:numId w:val="18"/>
              </w:numPr>
              <w:tabs>
                <w:tab w:val="clear" w:pos="1139"/>
              </w:tabs>
              <w:kinsoku/>
              <w:wordWrap/>
              <w:overflowPunct/>
              <w:topLinePunct w:val="0"/>
              <w:autoSpaceDE/>
              <w:autoSpaceDN/>
              <w:bidi w:val="0"/>
              <w:adjustRightInd/>
              <w:snapToGrid/>
              <w:spacing w:before="164" w:beforeLines="50" w:line="240" w:lineRule="auto"/>
              <w:ind w:firstLineChars="0"/>
              <w:jc w:val="center"/>
              <w:textAlignment w:val="auto"/>
              <w:rPr>
                <w:rFonts w:hint="default"/>
                <w:b w:val="0"/>
                <w:bCs w:val="0"/>
                <w:sz w:val="24"/>
                <w:highlight w:val="none"/>
                <w:u w:val="none"/>
                <w:lang w:val="en-US" w:eastAsia="zh-CN"/>
              </w:rPr>
            </w:pPr>
            <w:r>
              <w:rPr>
                <w:rFonts w:hint="eastAsia"/>
                <w:b/>
                <w:bCs/>
                <w:sz w:val="24"/>
                <w:highlight w:val="none"/>
                <w:u w:val="none"/>
                <w:lang w:val="en-US" w:eastAsia="zh-CN"/>
              </w:rPr>
              <w:t>现有项目环境噪声监测结果表</w:t>
            </w:r>
          </w:p>
          <w:tbl>
            <w:tblPr>
              <w:tblStyle w:val="175"/>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2919"/>
              <w:gridCol w:w="1587"/>
              <w:gridCol w:w="1591"/>
              <w:gridCol w:w="1587"/>
            </w:tblGrid>
            <w:tr w14:paraId="71BDED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899" w:type="pct"/>
                  <w:vMerge w:val="restart"/>
                  <w:tcBorders>
                    <w:tl2br w:val="nil"/>
                    <w:tr2bl w:val="nil"/>
                  </w:tcBorders>
                  <w:vAlign w:val="center"/>
                </w:tcPr>
                <w:p w14:paraId="38F3965E">
                  <w:pPr>
                    <w:widowControl w:val="0"/>
                    <w:autoSpaceDE w:val="0"/>
                    <w:autoSpaceDN w:val="0"/>
                    <w:adjustRightInd w:val="0"/>
                    <w:snapToGrid w:val="0"/>
                    <w:spacing w:line="240" w:lineRule="auto"/>
                    <w:ind w:firstLine="0" w:firstLineChars="0"/>
                    <w:jc w:val="center"/>
                    <w:rPr>
                      <w:b/>
                      <w:sz w:val="21"/>
                      <w:szCs w:val="21"/>
                      <w:u w:val="none"/>
                    </w:rPr>
                  </w:pPr>
                  <w:r>
                    <w:rPr>
                      <w:rFonts w:hint="eastAsia"/>
                      <w:b/>
                      <w:sz w:val="21"/>
                      <w:szCs w:val="21"/>
                      <w:u w:val="none"/>
                    </w:rPr>
                    <w:t>检测点位</w:t>
                  </w:r>
                </w:p>
              </w:tc>
              <w:tc>
                <w:tcPr>
                  <w:tcW w:w="2067" w:type="pct"/>
                  <w:gridSpan w:val="2"/>
                  <w:tcBorders>
                    <w:tl2br w:val="nil"/>
                    <w:tr2bl w:val="nil"/>
                  </w:tcBorders>
                  <w:vAlign w:val="center"/>
                </w:tcPr>
                <w:p w14:paraId="4576DDC4">
                  <w:pPr>
                    <w:widowControl w:val="0"/>
                    <w:autoSpaceDE w:val="0"/>
                    <w:autoSpaceDN w:val="0"/>
                    <w:adjustRightInd w:val="0"/>
                    <w:snapToGrid w:val="0"/>
                    <w:spacing w:line="240" w:lineRule="auto"/>
                    <w:ind w:firstLine="0" w:firstLineChars="0"/>
                    <w:jc w:val="center"/>
                    <w:rPr>
                      <w:rFonts w:hint="default" w:eastAsia="宋体"/>
                      <w:b/>
                      <w:sz w:val="21"/>
                      <w:szCs w:val="21"/>
                      <w:u w:val="none"/>
                      <w:lang w:val="en-US" w:eastAsia="zh-CN"/>
                    </w:rPr>
                  </w:pPr>
                  <w:r>
                    <w:rPr>
                      <w:rFonts w:hint="eastAsia"/>
                      <w:b/>
                      <w:sz w:val="21"/>
                      <w:szCs w:val="21"/>
                      <w:u w:val="none"/>
                    </w:rPr>
                    <w:t>202</w:t>
                  </w:r>
                  <w:r>
                    <w:rPr>
                      <w:rFonts w:hint="eastAsia"/>
                      <w:b/>
                      <w:sz w:val="21"/>
                      <w:szCs w:val="21"/>
                      <w:u w:val="none"/>
                      <w:lang w:val="en-US" w:eastAsia="zh-CN"/>
                    </w:rPr>
                    <w:t>5.11.18</w:t>
                  </w:r>
                </w:p>
              </w:tc>
              <w:tc>
                <w:tcPr>
                  <w:tcW w:w="1032" w:type="pct"/>
                  <w:vMerge w:val="restart"/>
                  <w:tcBorders>
                    <w:tl2br w:val="nil"/>
                    <w:tr2bl w:val="nil"/>
                  </w:tcBorders>
                  <w:vAlign w:val="center"/>
                </w:tcPr>
                <w:p w14:paraId="0E9BD4CF">
                  <w:pPr>
                    <w:widowControl w:val="0"/>
                    <w:autoSpaceDE w:val="0"/>
                    <w:autoSpaceDN w:val="0"/>
                    <w:adjustRightInd w:val="0"/>
                    <w:snapToGrid w:val="0"/>
                    <w:spacing w:line="240" w:lineRule="auto"/>
                    <w:ind w:firstLine="0" w:firstLineChars="0"/>
                    <w:jc w:val="center"/>
                    <w:rPr>
                      <w:b/>
                      <w:sz w:val="21"/>
                      <w:szCs w:val="21"/>
                      <w:u w:val="none"/>
                    </w:rPr>
                  </w:pPr>
                  <w:r>
                    <w:rPr>
                      <w:rFonts w:hint="eastAsia"/>
                      <w:b/>
                      <w:sz w:val="21"/>
                      <w:szCs w:val="21"/>
                      <w:u w:val="none"/>
                    </w:rPr>
                    <w:t>评价结果</w:t>
                  </w:r>
                </w:p>
              </w:tc>
            </w:tr>
            <w:tr w14:paraId="3CC89F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899" w:type="pct"/>
                  <w:vMerge w:val="continue"/>
                  <w:tcBorders>
                    <w:tl2br w:val="nil"/>
                    <w:tr2bl w:val="nil"/>
                  </w:tcBorders>
                  <w:vAlign w:val="center"/>
                </w:tcPr>
                <w:p w14:paraId="1320977D">
                  <w:pPr>
                    <w:widowControl w:val="0"/>
                    <w:autoSpaceDE w:val="0"/>
                    <w:autoSpaceDN w:val="0"/>
                    <w:adjustRightInd w:val="0"/>
                    <w:snapToGrid w:val="0"/>
                    <w:spacing w:line="240" w:lineRule="auto"/>
                    <w:ind w:firstLine="0" w:firstLineChars="0"/>
                    <w:jc w:val="center"/>
                    <w:rPr>
                      <w:b/>
                      <w:sz w:val="21"/>
                      <w:szCs w:val="21"/>
                      <w:u w:val="none"/>
                    </w:rPr>
                  </w:pPr>
                </w:p>
              </w:tc>
              <w:tc>
                <w:tcPr>
                  <w:tcW w:w="1032" w:type="pct"/>
                  <w:tcBorders>
                    <w:tl2br w:val="nil"/>
                    <w:tr2bl w:val="nil"/>
                  </w:tcBorders>
                  <w:vAlign w:val="center"/>
                </w:tcPr>
                <w:p w14:paraId="66A7A442">
                  <w:pPr>
                    <w:widowControl w:val="0"/>
                    <w:autoSpaceDE w:val="0"/>
                    <w:autoSpaceDN w:val="0"/>
                    <w:adjustRightInd w:val="0"/>
                    <w:snapToGrid w:val="0"/>
                    <w:spacing w:line="240" w:lineRule="auto"/>
                    <w:ind w:firstLine="0" w:firstLineChars="0"/>
                    <w:jc w:val="center"/>
                    <w:rPr>
                      <w:rFonts w:hint="default"/>
                      <w:b/>
                      <w:sz w:val="21"/>
                      <w:szCs w:val="21"/>
                      <w:u w:val="none"/>
                      <w:lang w:val="en-US" w:eastAsia="zh-CN"/>
                    </w:rPr>
                  </w:pPr>
                  <w:r>
                    <w:rPr>
                      <w:rFonts w:hint="eastAsia"/>
                      <w:b/>
                      <w:sz w:val="21"/>
                      <w:szCs w:val="21"/>
                      <w:u w:val="none"/>
                    </w:rPr>
                    <w:t>昼间</w:t>
                  </w:r>
                  <w:r>
                    <w:rPr>
                      <w:rFonts w:hint="eastAsia"/>
                      <w:b/>
                      <w:sz w:val="21"/>
                      <w:szCs w:val="21"/>
                      <w:u w:val="none"/>
                      <w:lang w:val="en-US" w:eastAsia="zh-CN"/>
                    </w:rPr>
                    <w:t>Leq</w:t>
                  </w:r>
                </w:p>
              </w:tc>
              <w:tc>
                <w:tcPr>
                  <w:tcW w:w="1035" w:type="pct"/>
                  <w:tcBorders>
                    <w:tl2br w:val="nil"/>
                    <w:tr2bl w:val="nil"/>
                  </w:tcBorders>
                  <w:vAlign w:val="center"/>
                </w:tcPr>
                <w:p w14:paraId="677C8BC0">
                  <w:pPr>
                    <w:widowControl w:val="0"/>
                    <w:autoSpaceDE w:val="0"/>
                    <w:autoSpaceDN w:val="0"/>
                    <w:adjustRightInd w:val="0"/>
                    <w:snapToGrid w:val="0"/>
                    <w:spacing w:line="240" w:lineRule="auto"/>
                    <w:ind w:firstLine="0" w:firstLineChars="0"/>
                    <w:jc w:val="center"/>
                    <w:rPr>
                      <w:rFonts w:hint="default"/>
                      <w:b/>
                      <w:sz w:val="21"/>
                      <w:szCs w:val="21"/>
                      <w:u w:val="none"/>
                      <w:lang w:val="en-US" w:eastAsia="zh-CN"/>
                    </w:rPr>
                  </w:pPr>
                  <w:r>
                    <w:rPr>
                      <w:rFonts w:hint="eastAsia"/>
                      <w:b/>
                      <w:sz w:val="21"/>
                      <w:szCs w:val="21"/>
                      <w:u w:val="none"/>
                    </w:rPr>
                    <w:t>夜间</w:t>
                  </w:r>
                  <w:r>
                    <w:rPr>
                      <w:rFonts w:hint="eastAsia"/>
                      <w:b/>
                      <w:sz w:val="21"/>
                      <w:szCs w:val="21"/>
                      <w:u w:val="none"/>
                      <w:lang w:val="en-US" w:eastAsia="zh-CN"/>
                    </w:rPr>
                    <w:t>Leq</w:t>
                  </w:r>
                </w:p>
              </w:tc>
              <w:tc>
                <w:tcPr>
                  <w:tcW w:w="1032" w:type="pct"/>
                  <w:vMerge w:val="continue"/>
                  <w:tcBorders>
                    <w:tl2br w:val="nil"/>
                    <w:tr2bl w:val="nil"/>
                  </w:tcBorders>
                  <w:vAlign w:val="center"/>
                </w:tcPr>
                <w:p w14:paraId="36B70057">
                  <w:pPr>
                    <w:widowControl w:val="0"/>
                    <w:autoSpaceDE w:val="0"/>
                    <w:autoSpaceDN w:val="0"/>
                    <w:adjustRightInd w:val="0"/>
                    <w:snapToGrid w:val="0"/>
                    <w:spacing w:line="240" w:lineRule="auto"/>
                    <w:ind w:firstLine="0" w:firstLineChars="0"/>
                    <w:jc w:val="center"/>
                    <w:rPr>
                      <w:bCs/>
                      <w:sz w:val="21"/>
                      <w:szCs w:val="21"/>
                      <w:u w:val="none"/>
                    </w:rPr>
                  </w:pPr>
                </w:p>
              </w:tc>
            </w:tr>
            <w:tr w14:paraId="15B553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899" w:type="pct"/>
                  <w:tcBorders>
                    <w:tl2br w:val="nil"/>
                    <w:tr2bl w:val="nil"/>
                  </w:tcBorders>
                  <w:vAlign w:val="center"/>
                </w:tcPr>
                <w:p w14:paraId="7B77F711">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厂界东侧外1m</w:t>
                  </w:r>
                </w:p>
              </w:tc>
              <w:tc>
                <w:tcPr>
                  <w:tcW w:w="1032" w:type="pct"/>
                  <w:tcBorders>
                    <w:tl2br w:val="nil"/>
                    <w:tr2bl w:val="nil"/>
                  </w:tcBorders>
                  <w:vAlign w:val="center"/>
                </w:tcPr>
                <w:p w14:paraId="6361ABC9">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54.3</w:t>
                  </w:r>
                </w:p>
              </w:tc>
              <w:tc>
                <w:tcPr>
                  <w:tcW w:w="1035" w:type="pct"/>
                  <w:tcBorders>
                    <w:tl2br w:val="nil"/>
                    <w:tr2bl w:val="nil"/>
                  </w:tcBorders>
                  <w:vAlign w:val="center"/>
                </w:tcPr>
                <w:p w14:paraId="51F1E464">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45.1</w:t>
                  </w:r>
                </w:p>
              </w:tc>
              <w:tc>
                <w:tcPr>
                  <w:tcW w:w="1032" w:type="pct"/>
                  <w:tcBorders>
                    <w:tl2br w:val="nil"/>
                    <w:tr2bl w:val="nil"/>
                  </w:tcBorders>
                  <w:vAlign w:val="center"/>
                </w:tcPr>
                <w:p w14:paraId="64CB9146">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达标</w:t>
                  </w:r>
                </w:p>
              </w:tc>
            </w:tr>
            <w:tr w14:paraId="6B8F1C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899" w:type="pct"/>
                  <w:tcBorders>
                    <w:tl2br w:val="nil"/>
                    <w:tr2bl w:val="nil"/>
                  </w:tcBorders>
                  <w:vAlign w:val="center"/>
                </w:tcPr>
                <w:p w14:paraId="168D1B49">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厂界南侧外1m</w:t>
                  </w:r>
                </w:p>
              </w:tc>
              <w:tc>
                <w:tcPr>
                  <w:tcW w:w="1032" w:type="pct"/>
                  <w:tcBorders>
                    <w:tl2br w:val="nil"/>
                    <w:tr2bl w:val="nil"/>
                  </w:tcBorders>
                  <w:vAlign w:val="center"/>
                </w:tcPr>
                <w:p w14:paraId="6DCFAEBE">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54.7</w:t>
                  </w:r>
                </w:p>
              </w:tc>
              <w:tc>
                <w:tcPr>
                  <w:tcW w:w="1035" w:type="pct"/>
                  <w:tcBorders>
                    <w:tl2br w:val="nil"/>
                    <w:tr2bl w:val="nil"/>
                  </w:tcBorders>
                  <w:vAlign w:val="center"/>
                </w:tcPr>
                <w:p w14:paraId="1C33787F">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45.7</w:t>
                  </w:r>
                </w:p>
              </w:tc>
              <w:tc>
                <w:tcPr>
                  <w:tcW w:w="1032" w:type="pct"/>
                  <w:tcBorders>
                    <w:tl2br w:val="nil"/>
                    <w:tr2bl w:val="nil"/>
                  </w:tcBorders>
                  <w:vAlign w:val="center"/>
                </w:tcPr>
                <w:p w14:paraId="01868634">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达标</w:t>
                  </w:r>
                </w:p>
              </w:tc>
            </w:tr>
            <w:tr w14:paraId="2659B2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899" w:type="pct"/>
                  <w:tcBorders>
                    <w:tl2br w:val="nil"/>
                    <w:tr2bl w:val="nil"/>
                  </w:tcBorders>
                  <w:vAlign w:val="center"/>
                </w:tcPr>
                <w:p w14:paraId="709DE8B0">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标准限值</w:t>
                  </w:r>
                </w:p>
              </w:tc>
              <w:tc>
                <w:tcPr>
                  <w:tcW w:w="1032" w:type="pct"/>
                  <w:tcBorders>
                    <w:tl2br w:val="nil"/>
                    <w:tr2bl w:val="nil"/>
                  </w:tcBorders>
                  <w:vAlign w:val="center"/>
                </w:tcPr>
                <w:p w14:paraId="16EFD74B">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60</w:t>
                  </w:r>
                </w:p>
              </w:tc>
              <w:tc>
                <w:tcPr>
                  <w:tcW w:w="1035" w:type="pct"/>
                  <w:tcBorders>
                    <w:tl2br w:val="nil"/>
                    <w:tr2bl w:val="nil"/>
                  </w:tcBorders>
                  <w:vAlign w:val="center"/>
                </w:tcPr>
                <w:p w14:paraId="6FF433D2">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50</w:t>
                  </w:r>
                </w:p>
              </w:tc>
              <w:tc>
                <w:tcPr>
                  <w:tcW w:w="1032" w:type="pct"/>
                  <w:tcBorders>
                    <w:tl2br w:val="nil"/>
                    <w:tr2bl w:val="nil"/>
                  </w:tcBorders>
                  <w:vAlign w:val="center"/>
                </w:tcPr>
                <w:p w14:paraId="6A7711B4">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w:t>
                  </w:r>
                </w:p>
              </w:tc>
            </w:tr>
          </w:tbl>
          <w:p w14:paraId="06557328">
            <w:pPr>
              <w:pStyle w:val="160"/>
              <w:spacing w:before="120" w:beforeLines="50"/>
              <w:ind w:firstLine="0" w:firstLineChars="0"/>
              <w:outlineLvl w:val="3"/>
              <w:rPr>
                <w:rFonts w:hint="default"/>
                <w:b/>
                <w:bCs/>
                <w:color w:val="auto"/>
                <w:u w:val="none"/>
              </w:rPr>
            </w:pPr>
            <w:r>
              <w:rPr>
                <w:b/>
                <w:bCs/>
                <w:color w:val="auto"/>
                <w:u w:val="none"/>
              </w:rPr>
              <w:t xml:space="preserve">1.2.4 </w:t>
            </w:r>
            <w:r>
              <w:rPr>
                <w:rFonts w:hint="default"/>
                <w:b/>
                <w:bCs/>
                <w:color w:val="auto"/>
                <w:u w:val="none"/>
              </w:rPr>
              <w:t>固废产生处置情况</w:t>
            </w:r>
          </w:p>
          <w:p w14:paraId="70FCF316">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360" w:lineRule="auto"/>
              <w:ind w:leftChars="0" w:firstLine="480" w:firstLineChars="200"/>
              <w:jc w:val="both"/>
              <w:textAlignment w:val="auto"/>
              <w:rPr>
                <w:rFonts w:hint="default"/>
                <w:b w:val="0"/>
                <w:bCs w:val="0"/>
                <w:sz w:val="24"/>
                <w:highlight w:val="none"/>
                <w:u w:val="none"/>
                <w:lang w:val="en-US" w:eastAsia="zh-CN"/>
              </w:rPr>
            </w:pPr>
            <w:r>
              <w:rPr>
                <w:rFonts w:hint="eastAsia"/>
                <w:b w:val="0"/>
                <w:bCs w:val="0"/>
                <w:sz w:val="24"/>
                <w:highlight w:val="none"/>
                <w:u w:val="none"/>
                <w:lang w:val="en-US" w:eastAsia="zh-CN"/>
              </w:rPr>
              <w:t>现有项目生产期间产生的固体废物主要为锅炉灰渣、脱硫石膏、粉煤灰、废催化剂、废油、生活垃圾，其中锅炉灰渣、脱硫石膏和粉煤灰为一般固体废物，锅炉灰渣在干灰场装车外售，粉煤灰在灰库装车外售，脱硫石膏在石膏仓库装车外售；废油和废催化剂为危险废物，暂存于危废暂存间，委托有资质单位处置。</w:t>
            </w:r>
          </w:p>
          <w:p w14:paraId="42FB32E1">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360" w:lineRule="auto"/>
              <w:ind w:leftChars="0" w:firstLine="480" w:firstLineChars="200"/>
              <w:jc w:val="both"/>
              <w:textAlignment w:val="auto"/>
              <w:rPr>
                <w:rFonts w:hint="eastAsia" w:ascii="Segoe UI" w:hAnsi="Segoe UI" w:eastAsia="宋体" w:cs="Segoe UI"/>
                <w:i w:val="0"/>
                <w:iCs w:val="0"/>
                <w:caps w:val="0"/>
                <w:color w:val="0F1115"/>
                <w:spacing w:val="0"/>
                <w:sz w:val="24"/>
                <w:szCs w:val="24"/>
                <w:u w:val="single"/>
                <w:shd w:val="clear" w:fill="FFFFFF"/>
                <w:lang w:val="en-US" w:eastAsia="zh-CN"/>
              </w:rPr>
            </w:pPr>
            <w:r>
              <w:rPr>
                <w:rFonts w:hint="eastAsia"/>
                <w:u w:val="single"/>
                <w:lang w:val="en-US" w:eastAsia="zh-CN"/>
              </w:rPr>
              <w:t>本项目以粉煤灰为原料，通过分选设备对粉煤灰进行分级处理，根据岳阳市</w:t>
            </w:r>
            <w:r>
              <w:rPr>
                <w:rFonts w:ascii="Segoe UI" w:hAnsi="Segoe UI" w:eastAsia="Segoe UI" w:cs="Segoe UI"/>
                <w:i w:val="0"/>
                <w:iCs w:val="0"/>
                <w:caps w:val="0"/>
                <w:color w:val="0F1115"/>
                <w:spacing w:val="0"/>
                <w:sz w:val="24"/>
                <w:szCs w:val="24"/>
                <w:u w:val="single"/>
                <w:shd w:val="clear" w:fill="FFFFFF"/>
              </w:rPr>
              <w:t>工业和信息化局公示的《岳阳市工业固体废物资源综合利用评价</w:t>
            </w:r>
            <w:r>
              <w:rPr>
                <w:rFonts w:hint="eastAsia" w:ascii="Segoe UI" w:hAnsi="Segoe UI" w:eastAsia="宋体" w:cs="Segoe UI"/>
                <w:i w:val="0"/>
                <w:iCs w:val="0"/>
                <w:caps w:val="0"/>
                <w:color w:val="0F1115"/>
                <w:spacing w:val="0"/>
                <w:sz w:val="24"/>
                <w:szCs w:val="24"/>
                <w:u w:val="single"/>
                <w:shd w:val="clear" w:fill="FFFFFF"/>
                <w:lang w:val="en-US" w:eastAsia="zh-CN"/>
              </w:rPr>
              <w:t>的备案公示</w:t>
            </w:r>
            <w:r>
              <w:rPr>
                <w:rFonts w:ascii="Segoe UI" w:hAnsi="Segoe UI" w:eastAsia="Segoe UI" w:cs="Segoe UI"/>
                <w:i w:val="0"/>
                <w:iCs w:val="0"/>
                <w:caps w:val="0"/>
                <w:color w:val="0F1115"/>
                <w:spacing w:val="0"/>
                <w:sz w:val="24"/>
                <w:szCs w:val="24"/>
                <w:u w:val="single"/>
                <w:shd w:val="clear" w:fill="FFFFFF"/>
              </w:rPr>
              <w:t>》</w:t>
            </w:r>
            <w:r>
              <w:rPr>
                <w:rFonts w:hint="default" w:ascii="Times New Roman" w:hAnsi="Times New Roman" w:eastAsia="宋体" w:cs="Times New Roman"/>
                <w:i w:val="0"/>
                <w:iCs w:val="0"/>
                <w:caps w:val="0"/>
                <w:color w:val="0F1115"/>
                <w:spacing w:val="0"/>
                <w:sz w:val="24"/>
                <w:szCs w:val="24"/>
                <w:u w:val="single"/>
                <w:shd w:val="clear" w:fill="FFFFFF"/>
                <w:lang w:eastAsia="zh-CN"/>
              </w:rPr>
              <w:t>（https://jxw.yueyang.gov.cn/7249/7252/content_2327021.html、https://jxw.yueyang.gov.cn/7249/7252/content_2373954.html）</w:t>
            </w:r>
            <w:r>
              <w:rPr>
                <w:rFonts w:ascii="Times New Roman" w:hAnsi="Times New Roman" w:eastAsia="Segoe UI" w:cs="Times New Roman"/>
                <w:i w:val="0"/>
                <w:iCs w:val="0"/>
                <w:caps w:val="0"/>
                <w:color w:val="0F1115"/>
                <w:spacing w:val="0"/>
                <w:sz w:val="24"/>
                <w:szCs w:val="24"/>
                <w:u w:val="single"/>
                <w:shd w:val="clear" w:fill="FFFFFF"/>
              </w:rPr>
              <w:t>，</w:t>
            </w:r>
            <w:r>
              <w:rPr>
                <w:rFonts w:hint="eastAsia" w:ascii="Times New Roman" w:hAnsi="Times New Roman" w:eastAsia="宋体" w:cs="Times New Roman"/>
                <w:i w:val="0"/>
                <w:iCs w:val="0"/>
                <w:caps w:val="0"/>
                <w:color w:val="0F1115"/>
                <w:spacing w:val="0"/>
                <w:sz w:val="24"/>
                <w:szCs w:val="24"/>
                <w:u w:val="single"/>
                <w:shd w:val="clear" w:fill="FFFFFF"/>
                <w:lang w:val="en-US" w:eastAsia="zh-CN"/>
              </w:rPr>
              <w:t>2022~2025年</w:t>
            </w:r>
            <w:r>
              <w:rPr>
                <w:rFonts w:ascii="Segoe UI" w:hAnsi="Segoe UI" w:eastAsia="Segoe UI" w:cs="Segoe UI"/>
                <w:i w:val="0"/>
                <w:iCs w:val="0"/>
                <w:caps w:val="0"/>
                <w:color w:val="0F1115"/>
                <w:spacing w:val="0"/>
                <w:sz w:val="24"/>
                <w:szCs w:val="24"/>
                <w:u w:val="single"/>
                <w:shd w:val="clear" w:fill="FFFFFF"/>
              </w:rPr>
              <w:t>华能湖南岳阳发电有限责任公司近年粉煤灰实际</w:t>
            </w:r>
            <w:r>
              <w:rPr>
                <w:rFonts w:hint="eastAsia" w:ascii="Segoe UI" w:hAnsi="Segoe UI" w:eastAsia="宋体" w:cs="Segoe UI"/>
                <w:i w:val="0"/>
                <w:iCs w:val="0"/>
                <w:caps w:val="0"/>
                <w:color w:val="0F1115"/>
                <w:spacing w:val="0"/>
                <w:sz w:val="24"/>
                <w:szCs w:val="24"/>
                <w:u w:val="single"/>
                <w:shd w:val="clear" w:fill="FFFFFF"/>
                <w:lang w:val="en-US" w:eastAsia="zh-CN"/>
              </w:rPr>
              <w:t>产生量见下表：</w:t>
            </w:r>
          </w:p>
          <w:p w14:paraId="6A6B7975">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360" w:lineRule="auto"/>
              <w:ind w:leftChars="0" w:firstLine="480" w:firstLineChars="200"/>
              <w:jc w:val="both"/>
              <w:textAlignment w:val="auto"/>
              <w:rPr>
                <w:rFonts w:hint="eastAsia" w:ascii="Segoe UI" w:hAnsi="Segoe UI" w:eastAsia="宋体" w:cs="Segoe UI"/>
                <w:i w:val="0"/>
                <w:iCs w:val="0"/>
                <w:caps w:val="0"/>
                <w:color w:val="0F1115"/>
                <w:spacing w:val="0"/>
                <w:sz w:val="24"/>
                <w:szCs w:val="24"/>
                <w:u w:val="single"/>
                <w:shd w:val="clear" w:fill="FFFFFF"/>
                <w:lang w:val="en-US" w:eastAsia="zh-CN"/>
              </w:rPr>
            </w:pPr>
          </w:p>
          <w:p w14:paraId="1772ED1E">
            <w:pPr>
              <w:pStyle w:val="379"/>
              <w:keepNext w:val="0"/>
              <w:keepLines w:val="0"/>
              <w:pageBreakBefore w:val="0"/>
              <w:widowControl w:val="0"/>
              <w:numPr>
                <w:ilvl w:val="0"/>
                <w:numId w:val="18"/>
              </w:numPr>
              <w:tabs>
                <w:tab w:val="clear" w:pos="1139"/>
              </w:tabs>
              <w:kinsoku/>
              <w:wordWrap/>
              <w:overflowPunct/>
              <w:topLinePunct w:val="0"/>
              <w:autoSpaceDE/>
              <w:autoSpaceDN/>
              <w:bidi w:val="0"/>
              <w:adjustRightInd/>
              <w:snapToGrid/>
              <w:spacing w:before="0" w:beforeLines="0" w:line="240" w:lineRule="auto"/>
              <w:ind w:leftChars="0" w:firstLine="0" w:firstLineChars="0"/>
              <w:jc w:val="center"/>
              <w:textAlignment w:val="auto"/>
              <w:rPr>
                <w:rFonts w:hint="eastAsia" w:ascii="Times New Roman" w:hAnsi="Times New Roman" w:eastAsia="宋体" w:cs="Times New Roman"/>
                <w:b/>
                <w:bCs/>
                <w:i w:val="0"/>
                <w:iCs w:val="0"/>
                <w:caps w:val="0"/>
                <w:spacing w:val="0"/>
                <w:sz w:val="24"/>
                <w:szCs w:val="24"/>
                <w:highlight w:val="none"/>
                <w:u w:val="single"/>
                <w:shd w:val="clear"/>
                <w:lang w:val="en-US" w:eastAsia="zh-CN"/>
              </w:rPr>
            </w:pPr>
            <w:r>
              <w:rPr>
                <w:rFonts w:hint="eastAsia" w:cs="Times New Roman"/>
                <w:b/>
                <w:bCs/>
                <w:i w:val="0"/>
                <w:iCs w:val="0"/>
                <w:caps w:val="0"/>
                <w:spacing w:val="0"/>
                <w:sz w:val="24"/>
                <w:szCs w:val="24"/>
                <w:highlight w:val="none"/>
                <w:u w:val="single"/>
                <w:shd w:val="clear"/>
                <w:lang w:val="en-US" w:eastAsia="zh-CN"/>
              </w:rPr>
              <w:t>粉煤灰年产生量统计表</w:t>
            </w:r>
          </w:p>
          <w:tbl>
            <w:tblPr>
              <w:tblStyle w:val="32"/>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00"/>
              <w:gridCol w:w="1942"/>
              <w:gridCol w:w="1902"/>
              <w:gridCol w:w="1943"/>
            </w:tblGrid>
            <w:tr w14:paraId="3DB27B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020" w:type="dxa"/>
                  <w:tcBorders>
                    <w:tl2br w:val="nil"/>
                    <w:tr2bl w:val="nil"/>
                  </w:tcBorders>
                  <w:vAlign w:val="center"/>
                </w:tcPr>
                <w:p w14:paraId="6647E75D">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年份</w:t>
                  </w:r>
                </w:p>
              </w:tc>
              <w:tc>
                <w:tcPr>
                  <w:tcW w:w="2020" w:type="dxa"/>
                  <w:tcBorders>
                    <w:tl2br w:val="nil"/>
                    <w:tr2bl w:val="nil"/>
                  </w:tcBorders>
                  <w:vAlign w:val="center"/>
                </w:tcPr>
                <w:p w14:paraId="3E290F97">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粉煤灰产生量</w:t>
                  </w:r>
                </w:p>
              </w:tc>
              <w:tc>
                <w:tcPr>
                  <w:tcW w:w="2021" w:type="dxa"/>
                  <w:tcBorders>
                    <w:tl2br w:val="nil"/>
                    <w:tr2bl w:val="nil"/>
                  </w:tcBorders>
                  <w:vAlign w:val="center"/>
                </w:tcPr>
                <w:p w14:paraId="40023A2A">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年份</w:t>
                  </w:r>
                </w:p>
              </w:tc>
              <w:tc>
                <w:tcPr>
                  <w:tcW w:w="2021" w:type="dxa"/>
                  <w:tcBorders>
                    <w:tl2br w:val="nil"/>
                    <w:tr2bl w:val="nil"/>
                  </w:tcBorders>
                  <w:vAlign w:val="center"/>
                </w:tcPr>
                <w:p w14:paraId="7C9F5B62">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粉煤灰产生量</w:t>
                  </w:r>
                </w:p>
              </w:tc>
            </w:tr>
            <w:tr w14:paraId="041AA2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020" w:type="dxa"/>
                  <w:tcBorders>
                    <w:tl2br w:val="nil"/>
                    <w:tr2bl w:val="nil"/>
                  </w:tcBorders>
                  <w:vAlign w:val="center"/>
                </w:tcPr>
                <w:p w14:paraId="49B77E3D">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i w:val="0"/>
                      <w:iCs w:val="0"/>
                      <w:caps w:val="0"/>
                      <w:color w:val="0F1115"/>
                      <w:spacing w:val="0"/>
                      <w:sz w:val="21"/>
                      <w:szCs w:val="21"/>
                      <w:u w:val="single"/>
                      <w:shd w:val="clear" w:fill="FFFFFF"/>
                      <w:vertAlign w:val="baseline"/>
                      <w:lang w:val="en-US" w:eastAsia="zh-CN"/>
                    </w:rPr>
                    <w:t>2022</w:t>
                  </w:r>
                </w:p>
              </w:tc>
              <w:tc>
                <w:tcPr>
                  <w:tcW w:w="2020" w:type="dxa"/>
                  <w:tcBorders>
                    <w:tl2br w:val="nil"/>
                    <w:tr2bl w:val="nil"/>
                  </w:tcBorders>
                  <w:vAlign w:val="center"/>
                </w:tcPr>
                <w:p w14:paraId="2AC55DAF">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i w:val="0"/>
                      <w:iCs w:val="0"/>
                      <w:caps w:val="0"/>
                      <w:color w:val="0F1115"/>
                      <w:spacing w:val="0"/>
                      <w:sz w:val="21"/>
                      <w:szCs w:val="21"/>
                      <w:u w:val="single"/>
                      <w:shd w:val="clear" w:fill="FFFFFF"/>
                      <w:vertAlign w:val="baseline"/>
                      <w:lang w:val="en-US" w:eastAsia="zh-CN"/>
                    </w:rPr>
                    <w:t>808366.94</w:t>
                  </w:r>
                </w:p>
              </w:tc>
              <w:tc>
                <w:tcPr>
                  <w:tcW w:w="2021" w:type="dxa"/>
                  <w:tcBorders>
                    <w:tl2br w:val="nil"/>
                    <w:tr2bl w:val="nil"/>
                  </w:tcBorders>
                  <w:vAlign w:val="center"/>
                </w:tcPr>
                <w:p w14:paraId="694EB36E">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i w:val="0"/>
                      <w:iCs w:val="0"/>
                      <w:caps w:val="0"/>
                      <w:color w:val="0F1115"/>
                      <w:spacing w:val="0"/>
                      <w:sz w:val="21"/>
                      <w:szCs w:val="21"/>
                      <w:u w:val="single"/>
                      <w:shd w:val="clear" w:fill="FFFFFF"/>
                      <w:vertAlign w:val="baseline"/>
                      <w:lang w:val="en-US" w:eastAsia="zh-CN"/>
                    </w:rPr>
                    <w:t>2024</w:t>
                  </w:r>
                </w:p>
              </w:tc>
              <w:tc>
                <w:tcPr>
                  <w:tcW w:w="2021" w:type="dxa"/>
                  <w:tcBorders>
                    <w:tl2br w:val="nil"/>
                    <w:tr2bl w:val="nil"/>
                  </w:tcBorders>
                  <w:vAlign w:val="center"/>
                </w:tcPr>
                <w:p w14:paraId="3A179B78">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i w:val="0"/>
                      <w:iCs w:val="0"/>
                      <w:caps w:val="0"/>
                      <w:color w:val="0F1115"/>
                      <w:spacing w:val="0"/>
                      <w:sz w:val="21"/>
                      <w:szCs w:val="21"/>
                      <w:u w:val="single"/>
                      <w:shd w:val="clear" w:fill="FFFFFF"/>
                      <w:vertAlign w:val="baseline"/>
                      <w:lang w:val="en-US" w:eastAsia="zh-CN"/>
                    </w:rPr>
                    <w:t>766240.46</w:t>
                  </w:r>
                </w:p>
              </w:tc>
            </w:tr>
            <w:tr w14:paraId="345766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020" w:type="dxa"/>
                  <w:tcBorders>
                    <w:tl2br w:val="nil"/>
                    <w:tr2bl w:val="nil"/>
                  </w:tcBorders>
                  <w:vAlign w:val="center"/>
                </w:tcPr>
                <w:p w14:paraId="311A80BF">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i w:val="0"/>
                      <w:iCs w:val="0"/>
                      <w:caps w:val="0"/>
                      <w:color w:val="0F1115"/>
                      <w:spacing w:val="0"/>
                      <w:sz w:val="21"/>
                      <w:szCs w:val="21"/>
                      <w:u w:val="single"/>
                      <w:shd w:val="clear" w:fill="FFFFFF"/>
                      <w:vertAlign w:val="baseline"/>
                      <w:lang w:val="en-US" w:eastAsia="zh-CN"/>
                    </w:rPr>
                    <w:t>2023</w:t>
                  </w:r>
                </w:p>
              </w:tc>
              <w:tc>
                <w:tcPr>
                  <w:tcW w:w="2020" w:type="dxa"/>
                  <w:tcBorders>
                    <w:tl2br w:val="nil"/>
                    <w:tr2bl w:val="nil"/>
                  </w:tcBorders>
                  <w:vAlign w:val="center"/>
                </w:tcPr>
                <w:p w14:paraId="11CD03BD">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i w:val="0"/>
                      <w:iCs w:val="0"/>
                      <w:caps w:val="0"/>
                      <w:color w:val="0F1115"/>
                      <w:spacing w:val="0"/>
                      <w:sz w:val="21"/>
                      <w:szCs w:val="21"/>
                      <w:u w:val="single"/>
                      <w:shd w:val="clear" w:fill="FFFFFF"/>
                      <w:vertAlign w:val="baseline"/>
                      <w:lang w:val="en-US" w:eastAsia="zh-CN"/>
                    </w:rPr>
                    <w:t>621270.47</w:t>
                  </w:r>
                </w:p>
              </w:tc>
              <w:tc>
                <w:tcPr>
                  <w:tcW w:w="2021" w:type="dxa"/>
                  <w:tcBorders>
                    <w:tl2br w:val="nil"/>
                    <w:tr2bl w:val="nil"/>
                  </w:tcBorders>
                  <w:vAlign w:val="center"/>
                </w:tcPr>
                <w:p w14:paraId="47824168">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i w:val="0"/>
                      <w:iCs w:val="0"/>
                      <w:caps w:val="0"/>
                      <w:color w:val="0F1115"/>
                      <w:spacing w:val="0"/>
                      <w:sz w:val="21"/>
                      <w:szCs w:val="21"/>
                      <w:u w:val="single"/>
                      <w:shd w:val="clear" w:fill="FFFFFF"/>
                      <w:vertAlign w:val="baseline"/>
                      <w:lang w:val="en-US" w:eastAsia="zh-CN"/>
                    </w:rPr>
                    <w:t>2025</w:t>
                  </w:r>
                </w:p>
              </w:tc>
              <w:tc>
                <w:tcPr>
                  <w:tcW w:w="2021" w:type="dxa"/>
                  <w:tcBorders>
                    <w:tl2br w:val="nil"/>
                    <w:tr2bl w:val="nil"/>
                  </w:tcBorders>
                  <w:vAlign w:val="center"/>
                </w:tcPr>
                <w:p w14:paraId="2AFE6185">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i w:val="0"/>
                      <w:iCs w:val="0"/>
                      <w:caps w:val="0"/>
                      <w:color w:val="0F1115"/>
                      <w:spacing w:val="0"/>
                      <w:sz w:val="21"/>
                      <w:szCs w:val="21"/>
                      <w:u w:val="single"/>
                      <w:shd w:val="clear" w:fill="FFFFFF"/>
                      <w:vertAlign w:val="baseline"/>
                      <w:lang w:val="en-US" w:eastAsia="zh-CN"/>
                    </w:rPr>
                    <w:t>569419.98</w:t>
                  </w:r>
                </w:p>
              </w:tc>
            </w:tr>
          </w:tbl>
          <w:p w14:paraId="0C061CC3">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164" w:beforeLines="50" w:line="360" w:lineRule="auto"/>
              <w:ind w:leftChars="0" w:firstLine="480" w:firstLineChars="200"/>
              <w:jc w:val="both"/>
              <w:textAlignment w:val="auto"/>
              <w:rPr>
                <w:rFonts w:hint="eastAsia" w:ascii="Segoe UI" w:hAnsi="Segoe UI" w:eastAsia="宋体" w:cs="Segoe UI"/>
                <w:i w:val="0"/>
                <w:iCs w:val="0"/>
                <w:caps w:val="0"/>
                <w:color w:val="0F1115"/>
                <w:spacing w:val="0"/>
                <w:sz w:val="24"/>
                <w:szCs w:val="24"/>
                <w:u w:val="single"/>
                <w:shd w:val="clear" w:fill="FFFFFF"/>
                <w:lang w:val="en-US" w:eastAsia="zh-CN"/>
              </w:rPr>
            </w:pPr>
            <w:r>
              <w:rPr>
                <w:rFonts w:hint="eastAsia" w:ascii="Segoe UI" w:hAnsi="Segoe UI" w:eastAsia="宋体" w:cs="Segoe UI"/>
                <w:i w:val="0"/>
                <w:iCs w:val="0"/>
                <w:caps w:val="0"/>
                <w:color w:val="0F1115"/>
                <w:spacing w:val="0"/>
                <w:sz w:val="24"/>
                <w:szCs w:val="24"/>
                <w:u w:val="single"/>
                <w:shd w:val="clear" w:fill="FFFFFF"/>
                <w:lang w:val="en-US" w:eastAsia="zh-CN"/>
              </w:rPr>
              <w:t>华能湖南岳阳发电有限责任公司机组配置情况见下表：</w:t>
            </w:r>
          </w:p>
          <w:p w14:paraId="5F723904">
            <w:pPr>
              <w:pStyle w:val="379"/>
              <w:keepNext w:val="0"/>
              <w:keepLines w:val="0"/>
              <w:pageBreakBefore w:val="0"/>
              <w:widowControl w:val="0"/>
              <w:numPr>
                <w:ilvl w:val="0"/>
                <w:numId w:val="18"/>
              </w:numPr>
              <w:tabs>
                <w:tab w:val="clear" w:pos="1139"/>
              </w:tabs>
              <w:kinsoku/>
              <w:wordWrap/>
              <w:overflowPunct/>
              <w:topLinePunct w:val="0"/>
              <w:autoSpaceDE/>
              <w:autoSpaceDN/>
              <w:bidi w:val="0"/>
              <w:adjustRightInd/>
              <w:snapToGrid/>
              <w:spacing w:before="0" w:beforeLines="0" w:line="240" w:lineRule="auto"/>
              <w:ind w:leftChars="0" w:firstLine="0" w:firstLineChars="0"/>
              <w:jc w:val="center"/>
              <w:textAlignment w:val="auto"/>
              <w:rPr>
                <w:rFonts w:hint="eastAsia" w:ascii="Times New Roman" w:hAnsi="Times New Roman" w:eastAsia="宋体" w:cs="Times New Roman"/>
                <w:b/>
                <w:bCs/>
                <w:i w:val="0"/>
                <w:iCs w:val="0"/>
                <w:caps w:val="0"/>
                <w:spacing w:val="0"/>
                <w:sz w:val="24"/>
                <w:szCs w:val="24"/>
                <w:highlight w:val="none"/>
                <w:u w:val="single"/>
                <w:shd w:val="clear"/>
                <w:lang w:val="en-US" w:eastAsia="zh-CN"/>
              </w:rPr>
            </w:pPr>
            <w:r>
              <w:rPr>
                <w:rFonts w:hint="eastAsia" w:cs="Times New Roman"/>
                <w:b/>
                <w:bCs/>
                <w:i w:val="0"/>
                <w:iCs w:val="0"/>
                <w:caps w:val="0"/>
                <w:spacing w:val="0"/>
                <w:sz w:val="24"/>
                <w:szCs w:val="24"/>
                <w:highlight w:val="none"/>
                <w:u w:val="single"/>
                <w:shd w:val="clear"/>
                <w:lang w:val="en-US" w:eastAsia="zh-CN"/>
              </w:rPr>
              <w:t>机组配置一览表</w:t>
            </w:r>
          </w:p>
          <w:tbl>
            <w:tblPr>
              <w:tblStyle w:val="32"/>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61"/>
              <w:gridCol w:w="2118"/>
              <w:gridCol w:w="2032"/>
              <w:gridCol w:w="2176"/>
            </w:tblGrid>
            <w:tr w14:paraId="2D072B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34" w:type="dxa"/>
                  <w:tcBorders>
                    <w:tl2br w:val="nil"/>
                    <w:tr2bl w:val="nil"/>
                  </w:tcBorders>
                  <w:vAlign w:val="center"/>
                </w:tcPr>
                <w:p w14:paraId="513974D1">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期次</w:t>
                  </w:r>
                </w:p>
              </w:tc>
              <w:tc>
                <w:tcPr>
                  <w:tcW w:w="2182" w:type="dxa"/>
                  <w:tcBorders>
                    <w:tl2br w:val="nil"/>
                    <w:tr2bl w:val="nil"/>
                  </w:tcBorders>
                  <w:vAlign w:val="center"/>
                </w:tcPr>
                <w:p w14:paraId="613A8639">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机组配置</w:t>
                  </w:r>
                </w:p>
              </w:tc>
              <w:tc>
                <w:tcPr>
                  <w:tcW w:w="2141" w:type="dxa"/>
                  <w:tcBorders>
                    <w:tl2br w:val="nil"/>
                    <w:tr2bl w:val="nil"/>
                  </w:tcBorders>
                  <w:vAlign w:val="center"/>
                </w:tcPr>
                <w:p w14:paraId="6A062B6C">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投产时间</w:t>
                  </w:r>
                </w:p>
              </w:tc>
              <w:tc>
                <w:tcPr>
                  <w:tcW w:w="2295" w:type="dxa"/>
                  <w:tcBorders>
                    <w:tl2br w:val="nil"/>
                    <w:tr2bl w:val="nil"/>
                  </w:tcBorders>
                  <w:vAlign w:val="center"/>
                </w:tcPr>
                <w:p w14:paraId="58FDE7E4">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u w:val="single"/>
                      <w:shd w:val="clear" w:fill="FFFFFF"/>
                      <w:vertAlign w:val="baseline"/>
                      <w:lang w:val="en-US" w:eastAsia="zh-CN"/>
                    </w:rPr>
                    <w:t>备注</w:t>
                  </w:r>
                </w:p>
              </w:tc>
            </w:tr>
            <w:tr w14:paraId="52D11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34" w:type="dxa"/>
                  <w:tcBorders>
                    <w:tl2br w:val="nil"/>
                    <w:tr2bl w:val="nil"/>
                  </w:tcBorders>
                  <w:vAlign w:val="center"/>
                </w:tcPr>
                <w:p w14:paraId="5E1E700F">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一期</w:t>
                  </w:r>
                </w:p>
              </w:tc>
              <w:tc>
                <w:tcPr>
                  <w:tcW w:w="2182" w:type="dxa"/>
                  <w:tcBorders>
                    <w:tl2br w:val="nil"/>
                    <w:tr2bl w:val="nil"/>
                  </w:tcBorders>
                  <w:vAlign w:val="center"/>
                </w:tcPr>
                <w:p w14:paraId="67621290">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2</w:t>
                  </w: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w:t>
                  </w: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362.5MW</w:t>
                  </w:r>
                </w:p>
              </w:tc>
              <w:tc>
                <w:tcPr>
                  <w:tcW w:w="2141" w:type="dxa"/>
                  <w:tcBorders>
                    <w:tl2br w:val="nil"/>
                    <w:tr2bl w:val="nil"/>
                  </w:tcBorders>
                  <w:vAlign w:val="center"/>
                </w:tcPr>
                <w:p w14:paraId="4A580082">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1991年</w:t>
                  </w:r>
                </w:p>
              </w:tc>
              <w:tc>
                <w:tcPr>
                  <w:tcW w:w="2295" w:type="dxa"/>
                  <w:tcBorders>
                    <w:tl2br w:val="nil"/>
                    <w:tr2bl w:val="nil"/>
                  </w:tcBorders>
                  <w:vAlign w:val="center"/>
                </w:tcPr>
                <w:p w14:paraId="1941C9D6">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sz w:val="21"/>
                      <w:szCs w:val="21"/>
                      <w:highlight w:val="none"/>
                      <w:u w:val="single"/>
                      <w:vertAlign w:val="baseline"/>
                      <w:lang w:val="en-US" w:eastAsia="zh-CN"/>
                    </w:rPr>
                    <w:t>2025年12月31日关停2#机组</w:t>
                  </w:r>
                </w:p>
              </w:tc>
            </w:tr>
            <w:tr w14:paraId="4405AB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34" w:type="dxa"/>
                  <w:tcBorders>
                    <w:tl2br w:val="nil"/>
                    <w:tr2bl w:val="nil"/>
                  </w:tcBorders>
                  <w:vAlign w:val="center"/>
                </w:tcPr>
                <w:p w14:paraId="5C082508">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二期</w:t>
                  </w:r>
                </w:p>
              </w:tc>
              <w:tc>
                <w:tcPr>
                  <w:tcW w:w="2182" w:type="dxa"/>
                  <w:tcBorders>
                    <w:tl2br w:val="nil"/>
                    <w:tr2bl w:val="nil"/>
                  </w:tcBorders>
                  <w:vAlign w:val="center"/>
                </w:tcPr>
                <w:p w14:paraId="4DAFF1C5">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2</w:t>
                  </w: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w:t>
                  </w:r>
                  <w:r>
                    <w:rPr>
                      <w:rFonts w:hint="eastAsia" w:cs="Times New Roman"/>
                      <w:b w:val="0"/>
                      <w:bCs w:val="0"/>
                      <w:i w:val="0"/>
                      <w:iCs w:val="0"/>
                      <w:caps w:val="0"/>
                      <w:color w:val="0F1115"/>
                      <w:spacing w:val="0"/>
                      <w:sz w:val="21"/>
                      <w:szCs w:val="21"/>
                      <w:u w:val="single"/>
                      <w:shd w:val="clear" w:fill="FFFFFF"/>
                      <w:vertAlign w:val="baseline"/>
                      <w:lang w:val="en-US" w:eastAsia="zh-CN"/>
                    </w:rPr>
                    <w:t>300</w:t>
                  </w: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MW</w:t>
                  </w:r>
                </w:p>
              </w:tc>
              <w:tc>
                <w:tcPr>
                  <w:tcW w:w="2141" w:type="dxa"/>
                  <w:tcBorders>
                    <w:tl2br w:val="nil"/>
                    <w:tr2bl w:val="nil"/>
                  </w:tcBorders>
                  <w:vAlign w:val="center"/>
                </w:tcPr>
                <w:p w14:paraId="347313AE">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2006年</w:t>
                  </w:r>
                </w:p>
              </w:tc>
              <w:tc>
                <w:tcPr>
                  <w:tcW w:w="2295" w:type="dxa"/>
                  <w:tcBorders>
                    <w:tl2br w:val="nil"/>
                    <w:tr2bl w:val="nil"/>
                  </w:tcBorders>
                  <w:vAlign w:val="center"/>
                </w:tcPr>
                <w:p w14:paraId="37C7AA88">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cs="Times New Roman"/>
                      <w:b w:val="0"/>
                      <w:bCs w:val="0"/>
                      <w:i w:val="0"/>
                      <w:iCs w:val="0"/>
                      <w:caps w:val="0"/>
                      <w:color w:val="0F1115"/>
                      <w:spacing w:val="0"/>
                      <w:sz w:val="21"/>
                      <w:szCs w:val="21"/>
                      <w:u w:val="single"/>
                      <w:shd w:val="clear" w:fill="FFFFFF"/>
                      <w:vertAlign w:val="baseline"/>
                      <w:lang w:val="en-US" w:eastAsia="zh-CN"/>
                    </w:rPr>
                    <w:t>/</w:t>
                  </w:r>
                </w:p>
              </w:tc>
            </w:tr>
            <w:tr w14:paraId="0A0EE4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34" w:type="dxa"/>
                  <w:tcBorders>
                    <w:tl2br w:val="nil"/>
                    <w:tr2bl w:val="nil"/>
                  </w:tcBorders>
                  <w:vAlign w:val="center"/>
                </w:tcPr>
                <w:p w14:paraId="5BB0E4CB">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三期</w:t>
                  </w:r>
                </w:p>
              </w:tc>
              <w:tc>
                <w:tcPr>
                  <w:tcW w:w="2182" w:type="dxa"/>
                  <w:tcBorders>
                    <w:tl2br w:val="nil"/>
                    <w:tr2bl w:val="nil"/>
                  </w:tcBorders>
                  <w:vAlign w:val="center"/>
                </w:tcPr>
                <w:p w14:paraId="44047E1B">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2</w:t>
                  </w:r>
                  <w:r>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w:t>
                  </w:r>
                  <w:r>
                    <w:rPr>
                      <w:rFonts w:hint="eastAsia" w:cs="Times New Roman"/>
                      <w:b w:val="0"/>
                      <w:bCs w:val="0"/>
                      <w:i w:val="0"/>
                      <w:iCs w:val="0"/>
                      <w:caps w:val="0"/>
                      <w:color w:val="0F1115"/>
                      <w:spacing w:val="0"/>
                      <w:sz w:val="21"/>
                      <w:szCs w:val="21"/>
                      <w:u w:val="single"/>
                      <w:shd w:val="clear" w:fill="FFFFFF"/>
                      <w:vertAlign w:val="baseline"/>
                      <w:lang w:val="en-US" w:eastAsia="zh-CN"/>
                    </w:rPr>
                    <w:t>600</w:t>
                  </w: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MW</w:t>
                  </w:r>
                </w:p>
              </w:tc>
              <w:tc>
                <w:tcPr>
                  <w:tcW w:w="2141" w:type="dxa"/>
                  <w:tcBorders>
                    <w:tl2br w:val="nil"/>
                    <w:tr2bl w:val="nil"/>
                  </w:tcBorders>
                  <w:vAlign w:val="center"/>
                </w:tcPr>
                <w:p w14:paraId="5ACD80A7">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2011年</w:t>
                  </w:r>
                </w:p>
              </w:tc>
              <w:tc>
                <w:tcPr>
                  <w:tcW w:w="2295" w:type="dxa"/>
                  <w:tcBorders>
                    <w:tl2br w:val="nil"/>
                    <w:tr2bl w:val="nil"/>
                  </w:tcBorders>
                  <w:vAlign w:val="center"/>
                </w:tcPr>
                <w:p w14:paraId="65E1CC5A">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u w:val="single"/>
                      <w:shd w:val="clear" w:fill="FFFFFF"/>
                      <w:vertAlign w:val="baseline"/>
                      <w:lang w:val="en-US" w:eastAsia="zh-CN"/>
                    </w:rPr>
                    <w:t>/</w:t>
                  </w:r>
                </w:p>
              </w:tc>
            </w:tr>
          </w:tbl>
          <w:p w14:paraId="30597618">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164" w:beforeLines="50" w:line="360" w:lineRule="auto"/>
              <w:ind w:leftChars="0" w:firstLine="480" w:firstLineChars="200"/>
              <w:jc w:val="both"/>
              <w:textAlignment w:val="auto"/>
              <w:rPr>
                <w:rFonts w:hint="default" w:ascii="Times New Roman" w:hAnsi="Times New Roman" w:eastAsia="Segoe UI" w:cs="Times New Roman"/>
                <w:b w:val="0"/>
                <w:bCs w:val="0"/>
                <w:i w:val="0"/>
                <w:iCs w:val="0"/>
                <w:caps w:val="0"/>
                <w:color w:val="0F1115"/>
                <w:spacing w:val="0"/>
                <w:sz w:val="24"/>
                <w:szCs w:val="24"/>
                <w:u w:val="single"/>
                <w:shd w:val="clear" w:fill="FFFFFF"/>
              </w:rPr>
            </w:pPr>
            <w:r>
              <w:rPr>
                <w:rFonts w:ascii="Times New Roman" w:hAnsi="Times New Roman" w:eastAsia="Segoe UI" w:cs="Times New Roman"/>
                <w:b w:val="0"/>
                <w:bCs w:val="0"/>
                <w:i w:val="0"/>
                <w:iCs w:val="0"/>
                <w:caps w:val="0"/>
                <w:color w:val="0F1115"/>
                <w:spacing w:val="0"/>
                <w:sz w:val="24"/>
                <w:szCs w:val="24"/>
                <w:u w:val="single"/>
                <w:shd w:val="clear" w:fill="FFFFFF"/>
              </w:rPr>
              <w:t>粉煤灰的产生量与燃煤消耗量直接相关，而燃煤消耗量取决于发电机组的实际运行负荷。火电厂粉煤灰产灰系数一般为每万千瓦装机容量年产生粉煤灰约0.3万～0.5万吨（视煤质、燃烧工况及除尘效率而异）。</w:t>
            </w:r>
            <w:r>
              <w:rPr>
                <w:rFonts w:hint="eastAsia" w:ascii="Times New Roman" w:hAnsi="Times New Roman" w:eastAsia="宋体" w:cs="Times New Roman"/>
                <w:b w:val="0"/>
                <w:bCs w:val="0"/>
                <w:i w:val="0"/>
                <w:iCs w:val="0"/>
                <w:caps w:val="0"/>
                <w:color w:val="0F1115"/>
                <w:spacing w:val="0"/>
                <w:sz w:val="24"/>
                <w:szCs w:val="24"/>
                <w:u w:val="single"/>
                <w:shd w:val="clear" w:fill="FFFFFF"/>
                <w:lang w:val="en-US" w:eastAsia="zh-CN"/>
              </w:rPr>
              <w:t>根据建设单位提供资料，</w:t>
            </w:r>
            <w:r>
              <w:rPr>
                <w:rFonts w:hint="eastAsia" w:cs="Times New Roman"/>
                <w:b w:val="0"/>
                <w:bCs w:val="0"/>
                <w:i w:val="0"/>
                <w:iCs w:val="0"/>
                <w:caps w:val="0"/>
                <w:color w:val="0F1115"/>
                <w:spacing w:val="0"/>
                <w:sz w:val="24"/>
                <w:szCs w:val="24"/>
                <w:u w:val="single"/>
                <w:shd w:val="clear" w:fill="FFFFFF"/>
                <w:lang w:val="en-US" w:eastAsia="zh-CN"/>
              </w:rPr>
              <w:t>一</w:t>
            </w:r>
            <w:r>
              <w:rPr>
                <w:rFonts w:hint="eastAsia" w:ascii="Times New Roman" w:hAnsi="Times New Roman" w:eastAsia="宋体" w:cs="Times New Roman"/>
                <w:b w:val="0"/>
                <w:bCs w:val="0"/>
                <w:i w:val="0"/>
                <w:iCs w:val="0"/>
                <w:caps w:val="0"/>
                <w:color w:val="0F1115"/>
                <w:spacing w:val="0"/>
                <w:sz w:val="24"/>
                <w:szCs w:val="24"/>
                <w:u w:val="single"/>
                <w:shd w:val="clear" w:fill="FFFFFF"/>
                <w:lang w:val="en-US" w:eastAsia="zh-CN"/>
              </w:rPr>
              <w:t>期</w:t>
            </w:r>
            <w:r>
              <w:rPr>
                <w:rFonts w:hint="eastAsia" w:cs="Times New Roman"/>
                <w:b w:val="0"/>
                <w:bCs w:val="0"/>
                <w:i w:val="0"/>
                <w:iCs w:val="0"/>
                <w:caps w:val="0"/>
                <w:color w:val="0F1115"/>
                <w:spacing w:val="0"/>
                <w:sz w:val="24"/>
                <w:szCs w:val="24"/>
                <w:u w:val="single"/>
                <w:shd w:val="clear" w:fill="FFFFFF"/>
                <w:lang w:val="en-US" w:eastAsia="zh-CN"/>
              </w:rPr>
              <w:t>2#机组</w:t>
            </w:r>
            <w:r>
              <w:rPr>
                <w:rFonts w:hint="eastAsia" w:ascii="Times New Roman" w:hAnsi="Times New Roman" w:eastAsia="宋体" w:cs="Times New Roman"/>
                <w:b w:val="0"/>
                <w:bCs w:val="0"/>
                <w:i w:val="0"/>
                <w:iCs w:val="0"/>
                <w:caps w:val="0"/>
                <w:color w:val="0F1115"/>
                <w:spacing w:val="0"/>
                <w:sz w:val="24"/>
                <w:szCs w:val="24"/>
                <w:u w:val="single"/>
                <w:shd w:val="clear" w:fill="FFFFFF"/>
                <w:lang w:val="en-US" w:eastAsia="zh-CN"/>
              </w:rPr>
              <w:t>已于2025年12月31日关停，本项目</w:t>
            </w:r>
            <w:r>
              <w:rPr>
                <w:rFonts w:ascii="Times New Roman" w:hAnsi="Times New Roman" w:eastAsia="Segoe UI" w:cs="Times New Roman"/>
                <w:b w:val="0"/>
                <w:bCs w:val="0"/>
                <w:i w:val="0"/>
                <w:iCs w:val="0"/>
                <w:caps w:val="0"/>
                <w:color w:val="0F1115"/>
                <w:spacing w:val="0"/>
                <w:sz w:val="24"/>
                <w:szCs w:val="24"/>
                <w:u w:val="single"/>
                <w:shd w:val="clear" w:fill="FFFFFF"/>
              </w:rPr>
              <w:t>按电厂</w:t>
            </w:r>
            <w:r>
              <w:rPr>
                <w:rFonts w:hint="eastAsia" w:cs="Times New Roman"/>
                <w:b w:val="0"/>
                <w:bCs w:val="0"/>
                <w:i w:val="0"/>
                <w:iCs w:val="0"/>
                <w:caps w:val="0"/>
                <w:color w:val="0F1115"/>
                <w:spacing w:val="0"/>
                <w:sz w:val="24"/>
                <w:szCs w:val="24"/>
                <w:u w:val="single"/>
                <w:shd w:val="clear" w:fill="FFFFFF"/>
                <w:lang w:val="en-US" w:eastAsia="zh-CN"/>
              </w:rPr>
              <w:t>216</w:t>
            </w:r>
            <w:r>
              <w:rPr>
                <w:rFonts w:hint="eastAsia" w:ascii="Times New Roman" w:hAnsi="Times New Roman" w:eastAsia="宋体" w:cs="Times New Roman"/>
                <w:b w:val="0"/>
                <w:bCs w:val="0"/>
                <w:i w:val="0"/>
                <w:iCs w:val="0"/>
                <w:caps w:val="0"/>
                <w:color w:val="0F1115"/>
                <w:spacing w:val="0"/>
                <w:sz w:val="24"/>
                <w:szCs w:val="24"/>
                <w:u w:val="single"/>
                <w:shd w:val="clear" w:fill="FFFFFF"/>
                <w:lang w:val="en-US" w:eastAsia="zh-CN"/>
              </w:rPr>
              <w:t>.</w:t>
            </w:r>
            <w:r>
              <w:rPr>
                <w:rFonts w:hint="eastAsia" w:cs="Times New Roman"/>
                <w:b w:val="0"/>
                <w:bCs w:val="0"/>
                <w:i w:val="0"/>
                <w:iCs w:val="0"/>
                <w:caps w:val="0"/>
                <w:color w:val="0F1115"/>
                <w:spacing w:val="0"/>
                <w:sz w:val="24"/>
                <w:szCs w:val="24"/>
                <w:u w:val="single"/>
                <w:shd w:val="clear" w:fill="FFFFFF"/>
                <w:lang w:val="en-US" w:eastAsia="zh-CN"/>
              </w:rPr>
              <w:t>2</w:t>
            </w:r>
            <w:r>
              <w:rPr>
                <w:rFonts w:hint="eastAsia" w:ascii="Times New Roman" w:hAnsi="Times New Roman" w:eastAsia="宋体" w:cs="Times New Roman"/>
                <w:b w:val="0"/>
                <w:bCs w:val="0"/>
                <w:i w:val="0"/>
                <w:iCs w:val="0"/>
                <w:caps w:val="0"/>
                <w:color w:val="0F1115"/>
                <w:spacing w:val="0"/>
                <w:sz w:val="24"/>
                <w:szCs w:val="24"/>
                <w:u w:val="single"/>
                <w:shd w:val="clear" w:fill="FFFFFF"/>
                <w:lang w:val="en-US" w:eastAsia="zh-CN"/>
              </w:rPr>
              <w:t>5</w:t>
            </w:r>
            <w:r>
              <w:rPr>
                <w:rFonts w:ascii="Times New Roman" w:hAnsi="Times New Roman" w:eastAsia="Segoe UI" w:cs="Times New Roman"/>
                <w:b w:val="0"/>
                <w:bCs w:val="0"/>
                <w:i w:val="0"/>
                <w:iCs w:val="0"/>
                <w:caps w:val="0"/>
                <w:color w:val="0F1115"/>
                <w:spacing w:val="0"/>
                <w:sz w:val="24"/>
                <w:szCs w:val="24"/>
                <w:u w:val="single"/>
                <w:shd w:val="clear" w:fill="FFFFFF"/>
              </w:rPr>
              <w:t>万千瓦总装机容量及行业平均产灰系数估算，电厂在</w:t>
            </w:r>
            <w:r>
              <w:rPr>
                <w:rFonts w:hint="default" w:ascii="Times New Roman" w:hAnsi="Times New Roman" w:eastAsia="Segoe UI" w:cs="Times New Roman"/>
                <w:b w:val="0"/>
                <w:bCs w:val="0"/>
                <w:i w:val="0"/>
                <w:iCs w:val="0"/>
                <w:caps w:val="0"/>
                <w:color w:val="0F1115"/>
                <w:spacing w:val="0"/>
                <w:sz w:val="24"/>
                <w:szCs w:val="24"/>
                <w:u w:val="single"/>
                <w:shd w:val="clear" w:fill="FFFFFF"/>
              </w:rPr>
              <w:t>满负荷运行条件下，年粉煤灰理论产生量约为：</w:t>
            </w:r>
          </w:p>
          <w:p w14:paraId="40DAEC33">
            <w:pPr>
              <w:pStyle w:val="25"/>
              <w:keepNext w:val="0"/>
              <w:keepLines w:val="0"/>
              <w:widowControl/>
              <w:suppressLineNumbers w:val="0"/>
              <w:spacing w:before="0" w:beforeAutospacing="0" w:after="0" w:afterAutospacing="0"/>
              <w:ind w:left="0" w:right="0"/>
              <w:rPr>
                <w:rFonts w:ascii="Times New Roman" w:hAnsi="Times New Roman" w:cs="Times New Roman"/>
                <w:b w:val="0"/>
                <w:bCs w:val="0"/>
                <w:u w:val="single"/>
              </w:rPr>
            </w:pPr>
            <w:r>
              <w:rPr>
                <w:rFonts w:ascii="Times New Roman" w:hAnsi="Times New Roman" w:eastAsia="Segoe UI" w:cs="Times New Roman"/>
                <w:b w:val="0"/>
                <w:bCs w:val="0"/>
                <w:i w:val="0"/>
                <w:iCs w:val="0"/>
                <w:caps w:val="0"/>
                <w:color w:val="0F1115"/>
                <w:spacing w:val="0"/>
                <w:sz w:val="24"/>
                <w:szCs w:val="24"/>
                <w:u w:val="single"/>
                <w:shd w:val="clear" w:fill="FFFFFF"/>
              </w:rPr>
              <w:t>按保守系数0.3万吨/万千瓦估算：</w:t>
            </w:r>
            <w:r>
              <w:rPr>
                <w:rFonts w:hint="eastAsia" w:cs="Times New Roman"/>
                <w:b w:val="0"/>
                <w:bCs w:val="0"/>
                <w:i w:val="0"/>
                <w:iCs w:val="0"/>
                <w:caps w:val="0"/>
                <w:color w:val="0F1115"/>
                <w:spacing w:val="0"/>
                <w:sz w:val="24"/>
                <w:szCs w:val="24"/>
                <w:u w:val="single"/>
                <w:shd w:val="clear" w:fill="FFFFFF"/>
                <w:lang w:val="en-US" w:eastAsia="zh-CN"/>
              </w:rPr>
              <w:t>216</w:t>
            </w:r>
            <w:r>
              <w:rPr>
                <w:rFonts w:hint="eastAsia" w:ascii="Times New Roman" w:hAnsi="Times New Roman" w:eastAsia="宋体" w:cs="Times New Roman"/>
                <w:b w:val="0"/>
                <w:bCs w:val="0"/>
                <w:i w:val="0"/>
                <w:iCs w:val="0"/>
                <w:caps w:val="0"/>
                <w:color w:val="0F1115"/>
                <w:spacing w:val="0"/>
                <w:sz w:val="24"/>
                <w:szCs w:val="24"/>
                <w:u w:val="single"/>
                <w:shd w:val="clear" w:fill="FFFFFF"/>
                <w:lang w:val="en-US" w:eastAsia="zh-CN"/>
              </w:rPr>
              <w:t>.</w:t>
            </w:r>
            <w:r>
              <w:rPr>
                <w:rFonts w:hint="eastAsia" w:cs="Times New Roman"/>
                <w:b w:val="0"/>
                <w:bCs w:val="0"/>
                <w:i w:val="0"/>
                <w:iCs w:val="0"/>
                <w:caps w:val="0"/>
                <w:color w:val="0F1115"/>
                <w:spacing w:val="0"/>
                <w:sz w:val="24"/>
                <w:szCs w:val="24"/>
                <w:u w:val="single"/>
                <w:shd w:val="clear" w:fill="FFFFFF"/>
                <w:lang w:val="en-US" w:eastAsia="zh-CN"/>
              </w:rPr>
              <w:t>2</w:t>
            </w:r>
            <w:r>
              <w:rPr>
                <w:rFonts w:hint="eastAsia" w:ascii="Times New Roman" w:hAnsi="Times New Roman" w:eastAsia="宋体" w:cs="Times New Roman"/>
                <w:b w:val="0"/>
                <w:bCs w:val="0"/>
                <w:i w:val="0"/>
                <w:iCs w:val="0"/>
                <w:caps w:val="0"/>
                <w:color w:val="0F1115"/>
                <w:spacing w:val="0"/>
                <w:sz w:val="24"/>
                <w:szCs w:val="24"/>
                <w:u w:val="single"/>
                <w:shd w:val="clear" w:fill="FFFFFF"/>
                <w:lang w:val="en-US" w:eastAsia="zh-CN"/>
              </w:rPr>
              <w:t>5</w:t>
            </w:r>
            <w:r>
              <w:rPr>
                <w:rFonts w:ascii="Times New Roman" w:hAnsi="Times New Roman" w:eastAsia="Segoe UI" w:cs="Times New Roman"/>
                <w:b w:val="0"/>
                <w:bCs w:val="0"/>
                <w:i w:val="0"/>
                <w:iCs w:val="0"/>
                <w:caps w:val="0"/>
                <w:color w:val="0F1115"/>
                <w:spacing w:val="0"/>
                <w:sz w:val="24"/>
                <w:szCs w:val="24"/>
                <w:u w:val="single"/>
                <w:shd w:val="clear" w:fill="FFFFFF"/>
              </w:rPr>
              <w:t>×0.3≈</w:t>
            </w:r>
            <w:r>
              <w:rPr>
                <w:rFonts w:hint="eastAsia" w:cs="Times New Roman"/>
                <w:b w:val="0"/>
                <w:bCs w:val="0"/>
                <w:i w:val="0"/>
                <w:iCs w:val="0"/>
                <w:caps w:val="0"/>
                <w:color w:val="0F1115"/>
                <w:spacing w:val="0"/>
                <w:sz w:val="24"/>
                <w:szCs w:val="24"/>
                <w:u w:val="single"/>
                <w:shd w:val="clear" w:fill="FFFFFF"/>
                <w:lang w:val="en-US" w:eastAsia="zh-CN"/>
              </w:rPr>
              <w:t>64.875</w:t>
            </w:r>
            <w:r>
              <w:rPr>
                <w:rFonts w:hint="default" w:ascii="Times New Roman" w:hAnsi="Times New Roman" w:eastAsia="Segoe UI" w:cs="Times New Roman"/>
                <w:b w:val="0"/>
                <w:bCs w:val="0"/>
                <w:i w:val="0"/>
                <w:iCs w:val="0"/>
                <w:caps w:val="0"/>
                <w:color w:val="0F1115"/>
                <w:spacing w:val="0"/>
                <w:sz w:val="24"/>
                <w:szCs w:val="24"/>
                <w:u w:val="single"/>
                <w:shd w:val="clear" w:fill="FFFFFF"/>
              </w:rPr>
              <w:t>万吨/年</w:t>
            </w:r>
          </w:p>
          <w:p w14:paraId="21C9DE49">
            <w:pPr>
              <w:pStyle w:val="25"/>
              <w:keepNext w:val="0"/>
              <w:keepLines w:val="0"/>
              <w:widowControl/>
              <w:suppressLineNumbers w:val="0"/>
              <w:spacing w:before="0" w:beforeAutospacing="0" w:after="0" w:afterAutospacing="0"/>
              <w:ind w:left="0" w:right="0"/>
              <w:rPr>
                <w:rFonts w:ascii="Times New Roman" w:hAnsi="Times New Roman" w:cs="Times New Roman"/>
                <w:b w:val="0"/>
                <w:bCs w:val="0"/>
                <w:u w:val="single"/>
              </w:rPr>
            </w:pPr>
            <w:r>
              <w:rPr>
                <w:rFonts w:hint="default" w:ascii="Times New Roman" w:hAnsi="Times New Roman" w:eastAsia="Segoe UI" w:cs="Times New Roman"/>
                <w:b w:val="0"/>
                <w:bCs w:val="0"/>
                <w:i w:val="0"/>
                <w:iCs w:val="0"/>
                <w:caps w:val="0"/>
                <w:color w:val="0F1115"/>
                <w:spacing w:val="0"/>
                <w:sz w:val="24"/>
                <w:szCs w:val="24"/>
                <w:u w:val="single"/>
                <w:shd w:val="clear" w:fill="FFFFFF"/>
              </w:rPr>
              <w:t>按中等系数0.</w:t>
            </w:r>
            <w:r>
              <w:rPr>
                <w:rFonts w:hint="eastAsia" w:ascii="Times New Roman" w:hAnsi="Times New Roman" w:eastAsia="宋体" w:cs="Times New Roman"/>
                <w:b w:val="0"/>
                <w:bCs w:val="0"/>
                <w:i w:val="0"/>
                <w:iCs w:val="0"/>
                <w:caps w:val="0"/>
                <w:color w:val="0F1115"/>
                <w:spacing w:val="0"/>
                <w:sz w:val="24"/>
                <w:szCs w:val="24"/>
                <w:u w:val="single"/>
                <w:shd w:val="clear" w:fill="FFFFFF"/>
                <w:lang w:val="en-US" w:eastAsia="zh-CN"/>
              </w:rPr>
              <w:t>4</w:t>
            </w:r>
            <w:r>
              <w:rPr>
                <w:rFonts w:hint="default" w:ascii="Times New Roman" w:hAnsi="Times New Roman" w:eastAsia="Segoe UI" w:cs="Times New Roman"/>
                <w:b w:val="0"/>
                <w:bCs w:val="0"/>
                <w:i w:val="0"/>
                <w:iCs w:val="0"/>
                <w:caps w:val="0"/>
                <w:color w:val="0F1115"/>
                <w:spacing w:val="0"/>
                <w:sz w:val="24"/>
                <w:szCs w:val="24"/>
                <w:u w:val="single"/>
                <w:shd w:val="clear" w:fill="FFFFFF"/>
              </w:rPr>
              <w:t>万吨/万千瓦估算：</w:t>
            </w:r>
            <w:r>
              <w:rPr>
                <w:rFonts w:hint="eastAsia" w:cs="Times New Roman"/>
                <w:b w:val="0"/>
                <w:bCs w:val="0"/>
                <w:i w:val="0"/>
                <w:iCs w:val="0"/>
                <w:caps w:val="0"/>
                <w:color w:val="0F1115"/>
                <w:spacing w:val="0"/>
                <w:sz w:val="24"/>
                <w:szCs w:val="24"/>
                <w:u w:val="single"/>
                <w:shd w:val="clear" w:fill="FFFFFF"/>
                <w:lang w:val="en-US" w:eastAsia="zh-CN"/>
              </w:rPr>
              <w:t>216</w:t>
            </w:r>
            <w:r>
              <w:rPr>
                <w:rFonts w:hint="eastAsia" w:ascii="Times New Roman" w:hAnsi="Times New Roman" w:eastAsia="宋体" w:cs="Times New Roman"/>
                <w:b w:val="0"/>
                <w:bCs w:val="0"/>
                <w:i w:val="0"/>
                <w:iCs w:val="0"/>
                <w:caps w:val="0"/>
                <w:color w:val="0F1115"/>
                <w:spacing w:val="0"/>
                <w:sz w:val="24"/>
                <w:szCs w:val="24"/>
                <w:u w:val="single"/>
                <w:shd w:val="clear" w:fill="FFFFFF"/>
                <w:lang w:val="en-US" w:eastAsia="zh-CN"/>
              </w:rPr>
              <w:t>.</w:t>
            </w:r>
            <w:r>
              <w:rPr>
                <w:rFonts w:hint="eastAsia" w:cs="Times New Roman"/>
                <w:b w:val="0"/>
                <w:bCs w:val="0"/>
                <w:i w:val="0"/>
                <w:iCs w:val="0"/>
                <w:caps w:val="0"/>
                <w:color w:val="0F1115"/>
                <w:spacing w:val="0"/>
                <w:sz w:val="24"/>
                <w:szCs w:val="24"/>
                <w:u w:val="single"/>
                <w:shd w:val="clear" w:fill="FFFFFF"/>
                <w:lang w:val="en-US" w:eastAsia="zh-CN"/>
              </w:rPr>
              <w:t>2</w:t>
            </w:r>
            <w:r>
              <w:rPr>
                <w:rFonts w:hint="eastAsia" w:ascii="Times New Roman" w:hAnsi="Times New Roman" w:eastAsia="宋体" w:cs="Times New Roman"/>
                <w:b w:val="0"/>
                <w:bCs w:val="0"/>
                <w:i w:val="0"/>
                <w:iCs w:val="0"/>
                <w:caps w:val="0"/>
                <w:color w:val="0F1115"/>
                <w:spacing w:val="0"/>
                <w:sz w:val="24"/>
                <w:szCs w:val="24"/>
                <w:u w:val="single"/>
                <w:shd w:val="clear" w:fill="FFFFFF"/>
                <w:lang w:val="en-US" w:eastAsia="zh-CN"/>
              </w:rPr>
              <w:t>5</w:t>
            </w:r>
            <w:r>
              <w:rPr>
                <w:rFonts w:hint="default" w:ascii="Times New Roman" w:hAnsi="Times New Roman" w:eastAsia="Segoe UI" w:cs="Times New Roman"/>
                <w:b w:val="0"/>
                <w:bCs w:val="0"/>
                <w:i w:val="0"/>
                <w:iCs w:val="0"/>
                <w:caps w:val="0"/>
                <w:color w:val="0F1115"/>
                <w:spacing w:val="0"/>
                <w:sz w:val="24"/>
                <w:szCs w:val="24"/>
                <w:u w:val="single"/>
                <w:shd w:val="clear" w:fill="FFFFFF"/>
              </w:rPr>
              <w:t>×</w:t>
            </w:r>
            <w:r>
              <w:rPr>
                <w:rFonts w:hint="eastAsia" w:eastAsia="宋体" w:cs="Times New Roman"/>
                <w:b w:val="0"/>
                <w:bCs w:val="0"/>
                <w:i w:val="0"/>
                <w:iCs w:val="0"/>
                <w:caps w:val="0"/>
                <w:color w:val="0F1115"/>
                <w:spacing w:val="0"/>
                <w:sz w:val="24"/>
                <w:szCs w:val="24"/>
                <w:u w:val="single"/>
                <w:shd w:val="clear" w:fill="FFFFFF"/>
                <w:lang w:val="en-US" w:eastAsia="zh-CN"/>
              </w:rPr>
              <w:t>0.4</w:t>
            </w:r>
            <w:r>
              <w:rPr>
                <w:rFonts w:hint="default" w:ascii="Times New Roman" w:hAnsi="Times New Roman" w:eastAsia="Segoe UI" w:cs="Times New Roman"/>
                <w:b w:val="0"/>
                <w:bCs w:val="0"/>
                <w:i w:val="0"/>
                <w:iCs w:val="0"/>
                <w:caps w:val="0"/>
                <w:color w:val="0F1115"/>
                <w:spacing w:val="0"/>
                <w:sz w:val="24"/>
                <w:szCs w:val="24"/>
                <w:u w:val="single"/>
                <w:shd w:val="clear" w:fill="FFFFFF"/>
              </w:rPr>
              <w:t>≈</w:t>
            </w:r>
            <w:r>
              <w:rPr>
                <w:rFonts w:hint="eastAsia" w:cs="Times New Roman"/>
                <w:b w:val="0"/>
                <w:bCs w:val="0"/>
                <w:i w:val="0"/>
                <w:iCs w:val="0"/>
                <w:caps w:val="0"/>
                <w:color w:val="0F1115"/>
                <w:spacing w:val="0"/>
                <w:sz w:val="24"/>
                <w:szCs w:val="24"/>
                <w:u w:val="single"/>
                <w:shd w:val="clear" w:fill="FFFFFF"/>
                <w:lang w:val="en-US" w:eastAsia="zh-CN"/>
              </w:rPr>
              <w:t>86.5</w:t>
            </w:r>
            <w:r>
              <w:rPr>
                <w:rFonts w:hint="default" w:ascii="Times New Roman" w:hAnsi="Times New Roman" w:eastAsia="Segoe UI" w:cs="Times New Roman"/>
                <w:b w:val="0"/>
                <w:bCs w:val="0"/>
                <w:i w:val="0"/>
                <w:iCs w:val="0"/>
                <w:caps w:val="0"/>
                <w:color w:val="0F1115"/>
                <w:spacing w:val="0"/>
                <w:sz w:val="24"/>
                <w:szCs w:val="24"/>
                <w:u w:val="single"/>
                <w:shd w:val="clear" w:fill="FFFFFF"/>
              </w:rPr>
              <w:t>万吨/年</w:t>
            </w:r>
          </w:p>
          <w:p w14:paraId="3827C8C1">
            <w:pPr>
              <w:pStyle w:val="25"/>
              <w:keepNext w:val="0"/>
              <w:keepLines w:val="0"/>
              <w:widowControl/>
              <w:suppressLineNumbers w:val="0"/>
              <w:spacing w:before="0" w:beforeAutospacing="0" w:after="0" w:afterAutospacing="0"/>
              <w:ind w:left="0" w:right="0"/>
              <w:rPr>
                <w:rFonts w:hint="default" w:ascii="Times New Roman" w:hAnsi="Times New Roman" w:eastAsia="Segoe UI" w:cs="Times New Roman"/>
                <w:b w:val="0"/>
                <w:bCs w:val="0"/>
                <w:i w:val="0"/>
                <w:iCs w:val="0"/>
                <w:caps w:val="0"/>
                <w:color w:val="0F1115"/>
                <w:spacing w:val="0"/>
                <w:sz w:val="24"/>
                <w:szCs w:val="24"/>
                <w:u w:val="single"/>
                <w:shd w:val="clear" w:fill="FFFFFF"/>
              </w:rPr>
            </w:pPr>
            <w:r>
              <w:rPr>
                <w:rFonts w:hint="default" w:ascii="Times New Roman" w:hAnsi="Times New Roman" w:eastAsia="Segoe UI" w:cs="Times New Roman"/>
                <w:b w:val="0"/>
                <w:bCs w:val="0"/>
                <w:i w:val="0"/>
                <w:iCs w:val="0"/>
                <w:caps w:val="0"/>
                <w:color w:val="0F1115"/>
                <w:spacing w:val="0"/>
                <w:sz w:val="24"/>
                <w:szCs w:val="24"/>
                <w:u w:val="single"/>
                <w:shd w:val="clear" w:fill="FFFFFF"/>
              </w:rPr>
              <w:t>按偏高系数0.5万吨/万千瓦估算：</w:t>
            </w:r>
            <w:r>
              <w:rPr>
                <w:rFonts w:hint="eastAsia" w:cs="Times New Roman"/>
                <w:b w:val="0"/>
                <w:bCs w:val="0"/>
                <w:i w:val="0"/>
                <w:iCs w:val="0"/>
                <w:caps w:val="0"/>
                <w:color w:val="0F1115"/>
                <w:spacing w:val="0"/>
                <w:sz w:val="24"/>
                <w:szCs w:val="24"/>
                <w:u w:val="single"/>
                <w:shd w:val="clear" w:fill="FFFFFF"/>
                <w:lang w:val="en-US" w:eastAsia="zh-CN"/>
              </w:rPr>
              <w:t>216</w:t>
            </w:r>
            <w:r>
              <w:rPr>
                <w:rFonts w:hint="eastAsia" w:ascii="Times New Roman" w:hAnsi="Times New Roman" w:eastAsia="宋体" w:cs="Times New Roman"/>
                <w:b w:val="0"/>
                <w:bCs w:val="0"/>
                <w:i w:val="0"/>
                <w:iCs w:val="0"/>
                <w:caps w:val="0"/>
                <w:color w:val="0F1115"/>
                <w:spacing w:val="0"/>
                <w:sz w:val="24"/>
                <w:szCs w:val="24"/>
                <w:u w:val="single"/>
                <w:shd w:val="clear" w:fill="FFFFFF"/>
                <w:lang w:val="en-US" w:eastAsia="zh-CN"/>
              </w:rPr>
              <w:t>.</w:t>
            </w:r>
            <w:r>
              <w:rPr>
                <w:rFonts w:hint="eastAsia" w:cs="Times New Roman"/>
                <w:b w:val="0"/>
                <w:bCs w:val="0"/>
                <w:i w:val="0"/>
                <w:iCs w:val="0"/>
                <w:caps w:val="0"/>
                <w:color w:val="0F1115"/>
                <w:spacing w:val="0"/>
                <w:sz w:val="24"/>
                <w:szCs w:val="24"/>
                <w:u w:val="single"/>
                <w:shd w:val="clear" w:fill="FFFFFF"/>
                <w:lang w:val="en-US" w:eastAsia="zh-CN"/>
              </w:rPr>
              <w:t>2</w:t>
            </w:r>
            <w:r>
              <w:rPr>
                <w:rFonts w:hint="eastAsia" w:ascii="Times New Roman" w:hAnsi="Times New Roman" w:eastAsia="宋体" w:cs="Times New Roman"/>
                <w:b w:val="0"/>
                <w:bCs w:val="0"/>
                <w:i w:val="0"/>
                <w:iCs w:val="0"/>
                <w:caps w:val="0"/>
                <w:color w:val="0F1115"/>
                <w:spacing w:val="0"/>
                <w:sz w:val="24"/>
                <w:szCs w:val="24"/>
                <w:u w:val="single"/>
                <w:shd w:val="clear" w:fill="FFFFFF"/>
                <w:lang w:val="en-US" w:eastAsia="zh-CN"/>
              </w:rPr>
              <w:t>5</w:t>
            </w:r>
            <w:r>
              <w:rPr>
                <w:rFonts w:hint="default" w:ascii="Times New Roman" w:hAnsi="Times New Roman" w:eastAsia="Segoe UI" w:cs="Times New Roman"/>
                <w:b w:val="0"/>
                <w:bCs w:val="0"/>
                <w:i w:val="0"/>
                <w:iCs w:val="0"/>
                <w:caps w:val="0"/>
                <w:color w:val="0F1115"/>
                <w:spacing w:val="0"/>
                <w:sz w:val="24"/>
                <w:szCs w:val="24"/>
                <w:u w:val="single"/>
                <w:shd w:val="clear" w:fill="FFFFFF"/>
              </w:rPr>
              <w:t>×0.5≈</w:t>
            </w:r>
            <w:r>
              <w:rPr>
                <w:rFonts w:hint="eastAsia" w:cs="Times New Roman"/>
                <w:b w:val="0"/>
                <w:bCs w:val="0"/>
                <w:i w:val="0"/>
                <w:iCs w:val="0"/>
                <w:caps w:val="0"/>
                <w:color w:val="0F1115"/>
                <w:spacing w:val="0"/>
                <w:sz w:val="24"/>
                <w:szCs w:val="24"/>
                <w:u w:val="single"/>
                <w:shd w:val="clear" w:fill="FFFFFF"/>
                <w:lang w:val="en-US" w:eastAsia="zh-CN"/>
              </w:rPr>
              <w:t>108.125</w:t>
            </w:r>
            <w:r>
              <w:rPr>
                <w:rFonts w:hint="default" w:ascii="Times New Roman" w:hAnsi="Times New Roman" w:eastAsia="Segoe UI" w:cs="Times New Roman"/>
                <w:b w:val="0"/>
                <w:bCs w:val="0"/>
                <w:i w:val="0"/>
                <w:iCs w:val="0"/>
                <w:caps w:val="0"/>
                <w:color w:val="0F1115"/>
                <w:spacing w:val="0"/>
                <w:sz w:val="24"/>
                <w:szCs w:val="24"/>
                <w:u w:val="single"/>
                <w:shd w:val="clear" w:fill="FFFFFF"/>
              </w:rPr>
              <w:t>万吨/年</w:t>
            </w:r>
          </w:p>
          <w:p w14:paraId="62B3515F">
            <w:pPr>
              <w:pStyle w:val="25"/>
              <w:keepNext w:val="0"/>
              <w:keepLines w:val="0"/>
              <w:widowControl/>
              <w:suppressLineNumbers w:val="0"/>
              <w:spacing w:before="0" w:beforeAutospacing="0" w:after="0" w:afterAutospacing="0"/>
              <w:ind w:left="0" w:right="0"/>
              <w:rPr>
                <w:rFonts w:hint="default" w:ascii="Times New Roman" w:hAnsi="Times New Roman" w:eastAsia="Segoe UI" w:cs="Times New Roman"/>
                <w:i w:val="0"/>
                <w:iCs w:val="0"/>
                <w:caps w:val="0"/>
                <w:color w:val="0F1115"/>
                <w:spacing w:val="0"/>
                <w:sz w:val="24"/>
                <w:szCs w:val="24"/>
                <w:u w:val="single"/>
                <w:shd w:val="clear" w:fill="FFFFFF"/>
              </w:rPr>
            </w:pPr>
            <w:r>
              <w:rPr>
                <w:rFonts w:hint="default" w:ascii="Times New Roman" w:hAnsi="Times New Roman" w:eastAsia="Segoe UI" w:cs="Times New Roman"/>
                <w:i w:val="0"/>
                <w:iCs w:val="0"/>
                <w:caps w:val="0"/>
                <w:color w:val="0F1115"/>
                <w:spacing w:val="0"/>
                <w:sz w:val="24"/>
                <w:szCs w:val="24"/>
                <w:u w:val="single"/>
                <w:shd w:val="clear" w:fill="FFFFFF"/>
              </w:rPr>
              <w:t>本项目设计的90万吨/年粉煤灰综合利用产能，与电厂满负荷运行条件下的理论粉煤灰产生量（</w:t>
            </w:r>
            <w:r>
              <w:rPr>
                <w:rFonts w:hint="default" w:ascii="Times New Roman" w:hAnsi="Times New Roman" w:cs="Times New Roman"/>
                <w:i w:val="0"/>
                <w:iCs w:val="0"/>
                <w:caps w:val="0"/>
                <w:color w:val="0F1115"/>
                <w:spacing w:val="0"/>
                <w:sz w:val="24"/>
                <w:szCs w:val="24"/>
                <w:u w:val="single"/>
                <w:shd w:val="clear" w:fill="FFFFFF"/>
                <w:lang w:val="en-US" w:eastAsia="zh-CN"/>
              </w:rPr>
              <w:t>按中等系数</w:t>
            </w:r>
            <w:r>
              <w:rPr>
                <w:rFonts w:hint="default" w:ascii="Times New Roman" w:hAnsi="Times New Roman" w:eastAsia="Segoe UI" w:cs="Times New Roman"/>
                <w:i w:val="0"/>
                <w:iCs w:val="0"/>
                <w:caps w:val="0"/>
                <w:color w:val="0F1115"/>
                <w:spacing w:val="0"/>
                <w:sz w:val="24"/>
                <w:szCs w:val="24"/>
                <w:u w:val="single"/>
                <w:shd w:val="clear" w:fill="FFFFFF"/>
              </w:rPr>
              <w:t>估算）基本匹配，处于合理区间范围内。</w:t>
            </w:r>
          </w:p>
          <w:p w14:paraId="38042D9C">
            <w:pPr>
              <w:pStyle w:val="25"/>
              <w:keepNext w:val="0"/>
              <w:keepLines w:val="0"/>
              <w:widowControl/>
              <w:suppressLineNumbers w:val="0"/>
              <w:shd w:val="clear" w:fill="FFFFFF"/>
              <w:spacing w:before="0" w:beforeAutospacing="0" w:after="0" w:afterAutospacing="0"/>
              <w:ind w:left="0" w:right="0" w:firstLine="0"/>
              <w:rPr>
                <w:rFonts w:hint="default" w:ascii="Times New Roman" w:hAnsi="Times New Roman" w:eastAsia="宋体" w:cs="Times New Roman"/>
                <w:i w:val="0"/>
                <w:iCs w:val="0"/>
                <w:caps w:val="0"/>
                <w:color w:val="0F1115"/>
                <w:spacing w:val="0"/>
                <w:sz w:val="24"/>
                <w:szCs w:val="24"/>
                <w:u w:val="single"/>
              </w:rPr>
            </w:pPr>
            <w:r>
              <w:rPr>
                <w:rFonts w:hint="default" w:ascii="Times New Roman" w:hAnsi="Times New Roman" w:eastAsia="宋体" w:cs="Times New Roman"/>
                <w:i w:val="0"/>
                <w:iCs w:val="0"/>
                <w:caps w:val="0"/>
                <w:color w:val="0F1115"/>
                <w:spacing w:val="0"/>
                <w:sz w:val="24"/>
                <w:szCs w:val="24"/>
                <w:u w:val="single"/>
                <w:shd w:val="clear" w:fill="FFFFFF"/>
              </w:rPr>
              <w:t>近年电厂实际粉煤灰产生量（56.9万～80.8万吨/年）低于90万吨/年的理论满负荷产能，主要原因如下：</w:t>
            </w:r>
          </w:p>
          <w:p w14:paraId="6115DD8D">
            <w:pPr>
              <w:pStyle w:val="25"/>
              <w:keepNext w:val="0"/>
              <w:keepLines w:val="0"/>
              <w:widowControl/>
              <w:suppressLineNumbers w:val="0"/>
              <w:shd w:val="clear" w:fill="FFFFFF"/>
              <w:spacing w:before="0" w:beforeAutospacing="0" w:after="0" w:afterAutospacing="0"/>
              <w:ind w:left="0" w:right="0" w:firstLine="0"/>
              <w:rPr>
                <w:rFonts w:hint="default" w:ascii="Times New Roman" w:hAnsi="Times New Roman" w:eastAsia="宋体" w:cs="Times New Roman"/>
                <w:i w:val="0"/>
                <w:iCs w:val="0"/>
                <w:caps w:val="0"/>
                <w:color w:val="0F1115"/>
                <w:spacing w:val="0"/>
                <w:sz w:val="24"/>
                <w:szCs w:val="24"/>
                <w:u w:val="single"/>
              </w:rPr>
            </w:pPr>
            <w:r>
              <w:rPr>
                <w:rFonts w:hint="eastAsia" w:ascii="Times New Roman" w:hAnsi="Times New Roman" w:eastAsia="宋体" w:cs="Times New Roman"/>
                <w:b w:val="0"/>
                <w:bCs w:val="0"/>
                <w:i w:val="0"/>
                <w:iCs w:val="0"/>
                <w:caps w:val="0"/>
                <w:color w:val="0F1115"/>
                <w:spacing w:val="0"/>
                <w:sz w:val="24"/>
                <w:szCs w:val="24"/>
                <w:u w:val="single"/>
                <w:shd w:val="clear" w:fill="FFFFFF"/>
                <w:lang w:val="en-US" w:eastAsia="zh-CN"/>
              </w:rPr>
              <w:t>1、</w:t>
            </w:r>
            <w:r>
              <w:rPr>
                <w:rFonts w:hint="default" w:ascii="Times New Roman" w:hAnsi="Times New Roman" w:eastAsia="宋体" w:cs="Times New Roman"/>
                <w:b w:val="0"/>
                <w:bCs w:val="0"/>
                <w:i w:val="0"/>
                <w:iCs w:val="0"/>
                <w:caps w:val="0"/>
                <w:color w:val="0F1115"/>
                <w:spacing w:val="0"/>
                <w:sz w:val="24"/>
                <w:szCs w:val="24"/>
                <w:u w:val="single"/>
                <w:shd w:val="clear" w:fill="FFFFFF"/>
              </w:rPr>
              <w:t>机组未满负荷运行。</w:t>
            </w:r>
            <w:r>
              <w:rPr>
                <w:rFonts w:hint="default" w:ascii="Times New Roman" w:hAnsi="Times New Roman" w:eastAsia="宋体" w:cs="Times New Roman"/>
                <w:i w:val="0"/>
                <w:iCs w:val="0"/>
                <w:caps w:val="0"/>
                <w:color w:val="0F1115"/>
                <w:spacing w:val="0"/>
                <w:sz w:val="24"/>
                <w:szCs w:val="24"/>
                <w:u w:val="single"/>
                <w:shd w:val="clear" w:fill="FFFFFF"/>
              </w:rPr>
              <w:t>受湖南省电力供需形势、电网调度安排及新能源发电出力增长等因素影响，火电机组并非常年保持满负荷运转。根据公开报道，华能岳阳电厂六台机组在特定工况下平均负荷率可达约89.94%，但全年平均负荷率受检修、调峰等因素影响，通常低于该峰值水平。2024年、2025年实际粉煤灰产量持续下降，也反映了电厂整体发电负荷率有所降低。</w:t>
            </w:r>
          </w:p>
          <w:p w14:paraId="21C67DA9">
            <w:pPr>
              <w:pStyle w:val="25"/>
              <w:keepNext w:val="0"/>
              <w:keepLines w:val="0"/>
              <w:widowControl/>
              <w:suppressLineNumbers w:val="0"/>
              <w:spacing w:before="0" w:beforeAutospacing="0" w:after="0" w:afterAutospacing="0"/>
              <w:ind w:left="0" w:right="0"/>
              <w:rPr>
                <w:rFonts w:hint="default" w:ascii="Times New Roman" w:hAnsi="Times New Roman" w:eastAsia="宋体" w:cs="Times New Roman"/>
                <w:i w:val="0"/>
                <w:iCs w:val="0"/>
                <w:caps w:val="0"/>
                <w:color w:val="0F1115"/>
                <w:spacing w:val="0"/>
                <w:sz w:val="24"/>
                <w:szCs w:val="24"/>
                <w:u w:val="single"/>
                <w:shd w:val="clear" w:fill="FFFFFF"/>
              </w:rPr>
            </w:pPr>
            <w:r>
              <w:rPr>
                <w:rFonts w:hint="eastAsia" w:cs="Times New Roman"/>
                <w:b w:val="0"/>
                <w:bCs w:val="0"/>
                <w:i w:val="0"/>
                <w:iCs w:val="0"/>
                <w:caps w:val="0"/>
                <w:color w:val="0F1115"/>
                <w:spacing w:val="0"/>
                <w:sz w:val="24"/>
                <w:szCs w:val="24"/>
                <w:u w:val="single"/>
                <w:shd w:val="clear" w:fill="FFFFFF"/>
                <w:lang w:val="en-US" w:eastAsia="zh-CN"/>
              </w:rPr>
              <w:t>2</w:t>
            </w:r>
            <w:r>
              <w:rPr>
                <w:rFonts w:hint="eastAsia" w:cs="Times New Roman"/>
                <w:b w:val="0"/>
                <w:bCs w:val="0"/>
                <w:i w:val="0"/>
                <w:iCs w:val="0"/>
                <w:caps w:val="0"/>
                <w:color w:val="0F1115"/>
                <w:spacing w:val="0"/>
                <w:sz w:val="24"/>
                <w:szCs w:val="24"/>
                <w:u w:val="single"/>
                <w:shd w:val="clear" w:fill="FFFFFF"/>
                <w:lang w:eastAsia="zh-CN"/>
              </w:rPr>
              <w:t>、</w:t>
            </w:r>
            <w:r>
              <w:rPr>
                <w:rFonts w:hint="default" w:ascii="Times New Roman" w:hAnsi="Times New Roman" w:eastAsia="宋体" w:cs="Times New Roman"/>
                <w:b w:val="0"/>
                <w:bCs w:val="0"/>
                <w:i w:val="0"/>
                <w:iCs w:val="0"/>
                <w:caps w:val="0"/>
                <w:color w:val="0F1115"/>
                <w:spacing w:val="0"/>
                <w:sz w:val="24"/>
                <w:szCs w:val="24"/>
                <w:u w:val="single"/>
                <w:shd w:val="clear" w:fill="FFFFFF"/>
              </w:rPr>
              <w:t>煤质及燃烧工况波动。</w:t>
            </w:r>
            <w:r>
              <w:rPr>
                <w:rFonts w:hint="default" w:ascii="Times New Roman" w:hAnsi="Times New Roman" w:eastAsia="宋体" w:cs="Times New Roman"/>
                <w:i w:val="0"/>
                <w:iCs w:val="0"/>
                <w:caps w:val="0"/>
                <w:color w:val="0F1115"/>
                <w:spacing w:val="0"/>
                <w:sz w:val="24"/>
                <w:szCs w:val="24"/>
                <w:u w:val="single"/>
                <w:shd w:val="clear" w:fill="FFFFFF"/>
              </w:rPr>
              <w:t>电厂燃煤来源及煤质（灰分含量）的变化，也会影响粉煤灰的实际产生量。</w:t>
            </w:r>
          </w:p>
          <w:p w14:paraId="6BE69EB3">
            <w:pPr>
              <w:pStyle w:val="25"/>
              <w:keepNext w:val="0"/>
              <w:keepLines w:val="0"/>
              <w:widowControl/>
              <w:suppressLineNumbers w:val="0"/>
              <w:spacing w:before="0" w:beforeAutospacing="0" w:after="0" w:afterAutospacing="0"/>
              <w:ind w:left="0" w:right="0"/>
              <w:rPr>
                <w:rFonts w:hint="eastAsia" w:ascii="Times New Roman" w:hAnsi="Times New Roman" w:eastAsia="宋体" w:cs="Times New Roman"/>
                <w:i w:val="0"/>
                <w:iCs w:val="0"/>
                <w:caps w:val="0"/>
                <w:color w:val="0F1115"/>
                <w:spacing w:val="0"/>
                <w:sz w:val="24"/>
                <w:szCs w:val="24"/>
                <w:shd w:val="clear" w:fill="FFFFFF"/>
                <w:lang w:val="en-US" w:eastAsia="zh-CN"/>
              </w:rPr>
            </w:pPr>
            <w:r>
              <w:rPr>
                <w:rFonts w:hint="default" w:ascii="Times New Roman" w:hAnsi="Times New Roman" w:eastAsia="宋体" w:cs="Times New Roman"/>
                <w:i w:val="0"/>
                <w:iCs w:val="0"/>
                <w:caps w:val="0"/>
                <w:color w:val="0F1115"/>
                <w:spacing w:val="0"/>
                <w:sz w:val="24"/>
                <w:szCs w:val="24"/>
                <w:u w:val="single"/>
                <w:shd w:val="clear" w:fill="FFFFFF"/>
                <w:lang w:val="en-US" w:eastAsia="zh-CN"/>
              </w:rPr>
              <w:t>综上，</w:t>
            </w:r>
            <w:r>
              <w:rPr>
                <w:rFonts w:ascii="Times New Roman" w:hAnsi="Times New Roman" w:eastAsia="Segoe UI" w:cs="Times New Roman"/>
                <w:i w:val="0"/>
                <w:iCs w:val="0"/>
                <w:caps w:val="0"/>
                <w:color w:val="0F1115"/>
                <w:spacing w:val="0"/>
                <w:sz w:val="24"/>
                <w:szCs w:val="24"/>
                <w:u w:val="single"/>
                <w:shd w:val="clear" w:fill="FFFFFF"/>
              </w:rPr>
              <w:t>近年来电厂实际粉煤灰产生量低于90万吨，主要系机组负荷率波动所致，并非电厂粉煤灰产生能力的上限。随着电力系统调峰需求的变化及机组运行方式的调整，电厂粉煤灰产生量存在恢复至较高水平的可能。本项目按满负荷工况设计产能，为电厂粉煤灰的充分综合利用预留了足够空间，避免因产能不足导致粉煤灰无法及时消纳。</w:t>
            </w:r>
          </w:p>
          <w:p w14:paraId="4CB935B7">
            <w:pPr>
              <w:tabs>
                <w:tab w:val="left" w:pos="0"/>
              </w:tabs>
              <w:spacing w:before="120" w:beforeLines="50"/>
              <w:ind w:firstLine="0" w:firstLineChars="0"/>
              <w:rPr>
                <w:b/>
                <w:sz w:val="24"/>
                <w:u w:val="none"/>
              </w:rPr>
            </w:pPr>
            <w:r>
              <w:rPr>
                <w:rFonts w:hint="eastAsia"/>
                <w:b/>
                <w:sz w:val="24"/>
                <w:u w:val="none"/>
              </w:rPr>
              <w:t>1.2.5企业主要污染物排放总量统计</w:t>
            </w:r>
          </w:p>
          <w:p w14:paraId="5AFE9F31">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360" w:lineRule="auto"/>
              <w:ind w:firstLine="480" w:firstLineChars="200"/>
              <w:jc w:val="both"/>
              <w:textAlignment w:val="auto"/>
              <w:rPr>
                <w:sz w:val="24"/>
                <w:highlight w:val="none"/>
                <w:u w:val="none"/>
              </w:rPr>
            </w:pPr>
            <w:r>
              <w:rPr>
                <w:rFonts w:hint="eastAsia"/>
                <w:sz w:val="24"/>
                <w:highlight w:val="none"/>
                <w:u w:val="none"/>
                <w:lang w:val="en-US" w:eastAsia="zh-CN"/>
              </w:rPr>
              <w:t>根据建设提供相关证明文件（详见附件4），华能</w:t>
            </w:r>
            <w:r>
              <w:rPr>
                <w:rFonts w:hint="eastAsia"/>
                <w:sz w:val="24"/>
                <w:highlight w:val="none"/>
                <w:u w:val="none"/>
              </w:rPr>
              <w:t>湖南</w:t>
            </w:r>
            <w:r>
              <w:rPr>
                <w:rFonts w:hint="eastAsia"/>
                <w:sz w:val="24"/>
                <w:highlight w:val="none"/>
                <w:u w:val="none"/>
                <w:lang w:val="en-US" w:eastAsia="zh-CN"/>
              </w:rPr>
              <w:t>岳阳发电</w:t>
            </w:r>
            <w:r>
              <w:rPr>
                <w:rFonts w:hint="eastAsia"/>
                <w:sz w:val="24"/>
                <w:highlight w:val="none"/>
                <w:u w:val="none"/>
              </w:rPr>
              <w:t>有限</w:t>
            </w:r>
            <w:r>
              <w:rPr>
                <w:rFonts w:hint="eastAsia"/>
                <w:sz w:val="24"/>
                <w:highlight w:val="none"/>
                <w:u w:val="none"/>
                <w:lang w:val="en-US" w:eastAsia="zh-CN"/>
              </w:rPr>
              <w:t>责任</w:t>
            </w:r>
            <w:r>
              <w:rPr>
                <w:rFonts w:hint="eastAsia"/>
                <w:sz w:val="24"/>
                <w:highlight w:val="none"/>
                <w:u w:val="none"/>
              </w:rPr>
              <w:t>公司</w:t>
            </w:r>
            <w:r>
              <w:rPr>
                <w:sz w:val="24"/>
                <w:highlight w:val="none"/>
                <w:u w:val="none"/>
              </w:rPr>
              <w:t>具体排污权指标为</w:t>
            </w:r>
            <w:r>
              <w:rPr>
                <w:rFonts w:hint="eastAsia"/>
                <w:sz w:val="24"/>
                <w:highlight w:val="none"/>
                <w:u w:val="none"/>
              </w:rPr>
              <w:t>化学需氧量</w:t>
            </w:r>
            <w:r>
              <w:rPr>
                <w:rFonts w:hint="eastAsia"/>
                <w:sz w:val="24"/>
                <w:highlight w:val="none"/>
                <w:u w:val="none"/>
                <w:lang w:val="en-US" w:eastAsia="zh-CN"/>
              </w:rPr>
              <w:t>140</w:t>
            </w:r>
            <w:r>
              <w:rPr>
                <w:sz w:val="24"/>
                <w:highlight w:val="none"/>
                <w:u w:val="none"/>
              </w:rPr>
              <w:t>吨/年、氨氮</w:t>
            </w:r>
            <w:r>
              <w:rPr>
                <w:rFonts w:hint="eastAsia"/>
                <w:sz w:val="24"/>
                <w:highlight w:val="none"/>
                <w:u w:val="none"/>
                <w:lang w:val="en-US" w:eastAsia="zh-CN"/>
              </w:rPr>
              <w:t>21</w:t>
            </w:r>
            <w:r>
              <w:rPr>
                <w:sz w:val="24"/>
                <w:highlight w:val="none"/>
                <w:u w:val="none"/>
              </w:rPr>
              <w:t>吨/年、二氧化硫</w:t>
            </w:r>
            <w:r>
              <w:rPr>
                <w:rFonts w:hint="eastAsia"/>
                <w:sz w:val="24"/>
                <w:highlight w:val="none"/>
                <w:u w:val="none"/>
                <w:lang w:val="en-US" w:eastAsia="zh-CN"/>
              </w:rPr>
              <w:t>8011</w:t>
            </w:r>
            <w:r>
              <w:rPr>
                <w:sz w:val="24"/>
                <w:highlight w:val="none"/>
                <w:u w:val="none"/>
              </w:rPr>
              <w:t>吨/年、氮氧化物</w:t>
            </w:r>
            <w:r>
              <w:rPr>
                <w:rFonts w:hint="eastAsia"/>
                <w:sz w:val="24"/>
                <w:highlight w:val="none"/>
                <w:u w:val="none"/>
                <w:lang w:val="en-US" w:eastAsia="zh-CN"/>
              </w:rPr>
              <w:t>6123</w:t>
            </w:r>
            <w:r>
              <w:rPr>
                <w:sz w:val="24"/>
                <w:highlight w:val="none"/>
                <w:u w:val="none"/>
              </w:rPr>
              <w:t>吨/年。</w:t>
            </w:r>
            <w:r>
              <w:rPr>
                <w:rFonts w:hint="eastAsia"/>
                <w:sz w:val="24"/>
                <w:highlight w:val="none"/>
                <w:u w:val="none"/>
              </w:rPr>
              <w:t>现有项目根据建设提供相关信息以及</w:t>
            </w:r>
            <w:r>
              <w:rPr>
                <w:sz w:val="24"/>
                <w:highlight w:val="none"/>
                <w:u w:val="none"/>
              </w:rPr>
              <w:t>企业在排污许可证管理信息平台上提交的202</w:t>
            </w:r>
            <w:r>
              <w:rPr>
                <w:rFonts w:hint="eastAsia"/>
                <w:sz w:val="24"/>
                <w:highlight w:val="none"/>
                <w:u w:val="none"/>
                <w:lang w:val="en-US" w:eastAsia="zh-CN"/>
              </w:rPr>
              <w:t>5</w:t>
            </w:r>
            <w:r>
              <w:rPr>
                <w:sz w:val="24"/>
                <w:highlight w:val="none"/>
                <w:u w:val="none"/>
              </w:rPr>
              <w:t>年执行报告</w:t>
            </w:r>
            <w:r>
              <w:rPr>
                <w:rFonts w:hint="eastAsia"/>
                <w:sz w:val="24"/>
                <w:highlight w:val="none"/>
                <w:u w:val="none"/>
              </w:rPr>
              <w:t>统计分析</w:t>
            </w:r>
            <w:r>
              <w:rPr>
                <w:sz w:val="24"/>
                <w:highlight w:val="none"/>
                <w:u w:val="none"/>
              </w:rPr>
              <w:t>，全厂现有已建成项目</w:t>
            </w:r>
            <w:r>
              <w:rPr>
                <w:rFonts w:hint="eastAsia"/>
                <w:sz w:val="24"/>
                <w:highlight w:val="none"/>
                <w:u w:val="none"/>
                <w:lang w:val="en-US" w:eastAsia="zh-CN"/>
              </w:rPr>
              <w:t>和</w:t>
            </w:r>
            <w:r>
              <w:rPr>
                <w:rFonts w:hint="eastAsia"/>
                <w:sz w:val="24"/>
                <w:highlight w:val="none"/>
                <w:u w:val="none"/>
              </w:rPr>
              <w:t>本项目</w:t>
            </w:r>
            <w:r>
              <w:rPr>
                <w:sz w:val="24"/>
                <w:highlight w:val="none"/>
                <w:u w:val="none"/>
              </w:rPr>
              <w:t>主要污染物年度统计排放情况见下表。</w:t>
            </w:r>
          </w:p>
          <w:p w14:paraId="7572A78B">
            <w:pPr>
              <w:pStyle w:val="379"/>
              <w:keepNext w:val="0"/>
              <w:keepLines w:val="0"/>
              <w:pageBreakBefore w:val="0"/>
              <w:widowControl w:val="0"/>
              <w:numPr>
                <w:ilvl w:val="0"/>
                <w:numId w:val="18"/>
              </w:numPr>
              <w:tabs>
                <w:tab w:val="clear" w:pos="1139"/>
              </w:tabs>
              <w:kinsoku/>
              <w:wordWrap/>
              <w:overflowPunct/>
              <w:topLinePunct w:val="0"/>
              <w:autoSpaceDE/>
              <w:autoSpaceDN/>
              <w:bidi w:val="0"/>
              <w:adjustRightInd/>
              <w:snapToGrid/>
              <w:spacing w:line="240" w:lineRule="auto"/>
              <w:ind w:firstLineChars="0"/>
              <w:jc w:val="center"/>
              <w:textAlignment w:val="auto"/>
              <w:rPr>
                <w:rFonts w:hint="default"/>
                <w:b/>
                <w:bCs/>
                <w:sz w:val="24"/>
                <w:highlight w:val="yellow"/>
                <w:u w:val="none"/>
                <w:lang w:val="en-US" w:eastAsia="zh-CN"/>
              </w:rPr>
            </w:pPr>
            <w:r>
              <w:rPr>
                <w:rFonts w:hint="eastAsia"/>
                <w:b/>
                <w:bCs/>
                <w:sz w:val="24"/>
                <w:highlight w:val="none"/>
                <w:u w:val="none"/>
                <w:lang w:val="en-US" w:eastAsia="zh-CN"/>
              </w:rPr>
              <w:t>企业主要污染物排放量统计表</w:t>
            </w:r>
          </w:p>
          <w:tbl>
            <w:tblPr>
              <w:tblStyle w:val="32"/>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71"/>
              <w:gridCol w:w="638"/>
              <w:gridCol w:w="1143"/>
              <w:gridCol w:w="1381"/>
              <w:gridCol w:w="1313"/>
              <w:gridCol w:w="1313"/>
              <w:gridCol w:w="1322"/>
            </w:tblGrid>
            <w:tr w14:paraId="2E32AB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7" w:type="pct"/>
                  <w:gridSpan w:val="2"/>
                  <w:tcBorders>
                    <w:tl2br w:val="nil"/>
                    <w:tr2bl w:val="nil"/>
                  </w:tcBorders>
                  <w:vAlign w:val="center"/>
                </w:tcPr>
                <w:p w14:paraId="5B661FA1">
                  <w:pPr>
                    <w:pStyle w:val="21"/>
                    <w:widowControl/>
                    <w:spacing w:line="240" w:lineRule="auto"/>
                    <w:ind w:firstLine="0" w:firstLineChars="0"/>
                    <w:rPr>
                      <w:rFonts w:hint="default" w:ascii="Times New Roman" w:hAnsi="Times New Roman" w:eastAsia="宋体" w:cs="Times New Roman"/>
                      <w:b/>
                      <w:bCs/>
                      <w:sz w:val="21"/>
                      <w:szCs w:val="21"/>
                      <w:highlight w:val="none"/>
                      <w:u w:val="none"/>
                    </w:rPr>
                  </w:pPr>
                  <w:r>
                    <w:rPr>
                      <w:rFonts w:hint="default" w:ascii="Times New Roman" w:hAnsi="Times New Roman" w:eastAsia="宋体" w:cs="Times New Roman"/>
                      <w:b/>
                      <w:bCs/>
                      <w:sz w:val="21"/>
                      <w:szCs w:val="21"/>
                      <w:highlight w:val="none"/>
                      <w:u w:val="none"/>
                    </w:rPr>
                    <w:t>污染类别</w:t>
                  </w:r>
                </w:p>
              </w:tc>
              <w:tc>
                <w:tcPr>
                  <w:tcW w:w="744" w:type="pct"/>
                  <w:tcBorders>
                    <w:tl2br w:val="nil"/>
                    <w:tr2bl w:val="nil"/>
                  </w:tcBorders>
                  <w:vAlign w:val="center"/>
                </w:tcPr>
                <w:p w14:paraId="77D848DD">
                  <w:pPr>
                    <w:pStyle w:val="21"/>
                    <w:widowControl/>
                    <w:spacing w:line="240" w:lineRule="auto"/>
                    <w:ind w:firstLine="0" w:firstLineChars="0"/>
                    <w:rPr>
                      <w:rFonts w:hint="default" w:ascii="Times New Roman" w:hAnsi="Times New Roman" w:eastAsia="宋体" w:cs="Times New Roman"/>
                      <w:b/>
                      <w:bCs/>
                      <w:sz w:val="21"/>
                      <w:szCs w:val="21"/>
                      <w:highlight w:val="none"/>
                      <w:u w:val="none"/>
                    </w:rPr>
                  </w:pPr>
                  <w:r>
                    <w:rPr>
                      <w:rFonts w:hint="default" w:ascii="Times New Roman" w:hAnsi="Times New Roman" w:eastAsia="宋体" w:cs="Times New Roman"/>
                      <w:b/>
                      <w:bCs/>
                      <w:sz w:val="21"/>
                      <w:szCs w:val="21"/>
                      <w:highlight w:val="none"/>
                      <w:u w:val="none"/>
                    </w:rPr>
                    <w:t>污染物</w:t>
                  </w:r>
                </w:p>
              </w:tc>
              <w:tc>
                <w:tcPr>
                  <w:tcW w:w="899" w:type="pct"/>
                  <w:tcBorders>
                    <w:tl2br w:val="nil"/>
                    <w:tr2bl w:val="nil"/>
                  </w:tcBorders>
                  <w:vAlign w:val="center"/>
                </w:tcPr>
                <w:p w14:paraId="3F703D46">
                  <w:pPr>
                    <w:pStyle w:val="21"/>
                    <w:widowControl/>
                    <w:spacing w:line="240" w:lineRule="auto"/>
                    <w:ind w:firstLine="0" w:firstLineChars="0"/>
                    <w:rPr>
                      <w:rFonts w:hint="default" w:ascii="Times New Roman" w:hAnsi="Times New Roman" w:eastAsia="宋体" w:cs="Times New Roman"/>
                      <w:b/>
                      <w:bCs/>
                      <w:sz w:val="21"/>
                      <w:szCs w:val="21"/>
                      <w:highlight w:val="none"/>
                      <w:u w:val="none"/>
                    </w:rPr>
                  </w:pPr>
                  <w:r>
                    <w:rPr>
                      <w:rFonts w:hint="default" w:ascii="Times New Roman" w:hAnsi="Times New Roman" w:eastAsia="宋体" w:cs="Times New Roman"/>
                      <w:b/>
                      <w:bCs/>
                      <w:sz w:val="21"/>
                      <w:szCs w:val="21"/>
                      <w:highlight w:val="none"/>
                      <w:u w:val="none"/>
                    </w:rPr>
                    <w:t>已建成项目t/a</w:t>
                  </w:r>
                </w:p>
              </w:tc>
              <w:tc>
                <w:tcPr>
                  <w:tcW w:w="855" w:type="pct"/>
                  <w:tcBorders>
                    <w:tl2br w:val="nil"/>
                    <w:tr2bl w:val="nil"/>
                  </w:tcBorders>
                  <w:vAlign w:val="center"/>
                </w:tcPr>
                <w:p w14:paraId="4FEB6AFD">
                  <w:pPr>
                    <w:pStyle w:val="21"/>
                    <w:widowControl/>
                    <w:spacing w:line="240" w:lineRule="auto"/>
                    <w:ind w:firstLine="0" w:firstLineChars="0"/>
                    <w:rPr>
                      <w:rFonts w:hint="default" w:ascii="Times New Roman" w:hAnsi="Times New Roman" w:eastAsia="宋体" w:cs="Times New Roman"/>
                      <w:b/>
                      <w:bCs/>
                      <w:sz w:val="21"/>
                      <w:szCs w:val="21"/>
                      <w:highlight w:val="none"/>
                      <w:u w:val="none"/>
                    </w:rPr>
                  </w:pPr>
                  <w:r>
                    <w:rPr>
                      <w:rFonts w:hint="default" w:ascii="Times New Roman" w:hAnsi="Times New Roman" w:eastAsia="宋体" w:cs="Times New Roman"/>
                      <w:b/>
                      <w:bCs/>
                      <w:sz w:val="21"/>
                      <w:szCs w:val="21"/>
                      <w:highlight w:val="none"/>
                      <w:u w:val="none"/>
                    </w:rPr>
                    <w:t>在建项目t/a</w:t>
                  </w:r>
                </w:p>
              </w:tc>
              <w:tc>
                <w:tcPr>
                  <w:tcW w:w="855" w:type="pct"/>
                  <w:tcBorders>
                    <w:tl2br w:val="nil"/>
                    <w:tr2bl w:val="nil"/>
                  </w:tcBorders>
                  <w:vAlign w:val="center"/>
                </w:tcPr>
                <w:p w14:paraId="15744D78">
                  <w:pPr>
                    <w:pStyle w:val="21"/>
                    <w:widowControl/>
                    <w:spacing w:line="240" w:lineRule="auto"/>
                    <w:ind w:firstLine="0" w:firstLineChars="0"/>
                    <w:rPr>
                      <w:rFonts w:hint="default" w:ascii="Times New Roman" w:hAnsi="Times New Roman" w:eastAsia="宋体" w:cs="Times New Roman"/>
                      <w:b/>
                      <w:bCs/>
                      <w:sz w:val="21"/>
                      <w:szCs w:val="21"/>
                      <w:highlight w:val="none"/>
                      <w:u w:val="none"/>
                    </w:rPr>
                  </w:pPr>
                  <w:r>
                    <w:rPr>
                      <w:rFonts w:hint="default" w:ascii="Times New Roman" w:hAnsi="Times New Roman" w:eastAsia="宋体" w:cs="Times New Roman"/>
                      <w:b/>
                      <w:bCs/>
                      <w:sz w:val="21"/>
                      <w:szCs w:val="21"/>
                      <w:highlight w:val="none"/>
                      <w:u w:val="none"/>
                    </w:rPr>
                    <w:t>本项目t/a</w:t>
                  </w:r>
                </w:p>
              </w:tc>
              <w:tc>
                <w:tcPr>
                  <w:tcW w:w="856" w:type="pct"/>
                  <w:tcBorders>
                    <w:tl2br w:val="nil"/>
                    <w:tr2bl w:val="nil"/>
                  </w:tcBorders>
                  <w:vAlign w:val="center"/>
                </w:tcPr>
                <w:p w14:paraId="29CCBB1A">
                  <w:pPr>
                    <w:pStyle w:val="21"/>
                    <w:widowControl/>
                    <w:spacing w:line="240" w:lineRule="auto"/>
                    <w:ind w:firstLine="0" w:firstLineChars="0"/>
                    <w:rPr>
                      <w:rFonts w:hint="default" w:ascii="Times New Roman" w:hAnsi="Times New Roman" w:eastAsia="宋体" w:cs="Times New Roman"/>
                      <w:b/>
                      <w:bCs/>
                      <w:sz w:val="21"/>
                      <w:szCs w:val="21"/>
                      <w:highlight w:val="none"/>
                      <w:u w:val="none"/>
                    </w:rPr>
                  </w:pPr>
                  <w:r>
                    <w:rPr>
                      <w:rFonts w:hint="default" w:ascii="Times New Roman" w:hAnsi="Times New Roman" w:eastAsia="宋体" w:cs="Times New Roman"/>
                      <w:b/>
                      <w:bCs/>
                      <w:sz w:val="21"/>
                      <w:szCs w:val="21"/>
                      <w:highlight w:val="none"/>
                      <w:u w:val="none"/>
                    </w:rPr>
                    <w:t>统计值</w:t>
                  </w:r>
                </w:p>
              </w:tc>
            </w:tr>
            <w:tr w14:paraId="70C9A0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87" w:type="pct"/>
                  <w:gridSpan w:val="2"/>
                  <w:vMerge w:val="restart"/>
                  <w:tcBorders>
                    <w:tl2br w:val="nil"/>
                    <w:tr2bl w:val="nil"/>
                  </w:tcBorders>
                  <w:vAlign w:val="center"/>
                </w:tcPr>
                <w:p w14:paraId="0DC9307C">
                  <w:pPr>
                    <w:pStyle w:val="21"/>
                    <w:widowControl/>
                    <w:spacing w:line="240" w:lineRule="auto"/>
                    <w:ind w:firstLine="0" w:firstLineChars="0"/>
                    <w:rPr>
                      <w:rFonts w:hint="default" w:ascii="Times New Roman" w:hAnsi="Times New Roman" w:eastAsia="宋体" w:cs="Times New Roman"/>
                      <w:sz w:val="21"/>
                      <w:szCs w:val="21"/>
                      <w:highlight w:val="none"/>
                      <w:u w:val="none"/>
                    </w:rPr>
                  </w:pPr>
                  <w:r>
                    <w:rPr>
                      <w:rFonts w:hint="default" w:ascii="Times New Roman" w:hAnsi="Times New Roman" w:eastAsia="宋体" w:cs="Times New Roman"/>
                      <w:sz w:val="21"/>
                      <w:szCs w:val="21"/>
                      <w:highlight w:val="none"/>
                      <w:u w:val="none"/>
                    </w:rPr>
                    <w:t>废气</w:t>
                  </w:r>
                </w:p>
              </w:tc>
              <w:tc>
                <w:tcPr>
                  <w:tcW w:w="744" w:type="pct"/>
                  <w:tcBorders>
                    <w:tl2br w:val="nil"/>
                    <w:tr2bl w:val="nil"/>
                  </w:tcBorders>
                  <w:vAlign w:val="center"/>
                </w:tcPr>
                <w:p w14:paraId="102859FF">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颗粒物</w:t>
                  </w:r>
                </w:p>
              </w:tc>
              <w:tc>
                <w:tcPr>
                  <w:tcW w:w="899" w:type="pct"/>
                  <w:tcBorders>
                    <w:tl2br w:val="nil"/>
                    <w:tr2bl w:val="nil"/>
                  </w:tcBorders>
                  <w:vAlign w:val="center"/>
                </w:tcPr>
                <w:p w14:paraId="54ACE49B">
                  <w:pPr>
                    <w:pStyle w:val="21"/>
                    <w:widowControl/>
                    <w:spacing w:line="240" w:lineRule="auto"/>
                    <w:ind w:firstLine="0" w:firstLineChars="0"/>
                    <w:rPr>
                      <w:rFonts w:hint="default" w:asci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132.849</w:t>
                  </w:r>
                </w:p>
              </w:tc>
              <w:tc>
                <w:tcPr>
                  <w:tcW w:w="855" w:type="pct"/>
                  <w:tcBorders>
                    <w:tl2br w:val="nil"/>
                    <w:tr2bl w:val="nil"/>
                  </w:tcBorders>
                  <w:vAlign w:val="center"/>
                </w:tcPr>
                <w:p w14:paraId="42272C80">
                  <w:pPr>
                    <w:widowControl/>
                    <w:spacing w:line="240" w:lineRule="auto"/>
                    <w:ind w:firstLine="0" w:firstLineChars="0"/>
                    <w:jc w:val="center"/>
                    <w:textAlignment w:val="center"/>
                    <w:rPr>
                      <w:rFonts w:hint="default"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0420A94D">
                  <w:pPr>
                    <w:widowControl/>
                    <w:spacing w:line="240" w:lineRule="auto"/>
                    <w:ind w:firstLine="0" w:firstLineChars="0"/>
                    <w:jc w:val="center"/>
                    <w:textAlignment w:val="center"/>
                    <w:rPr>
                      <w:rFonts w:hint="default"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56EEF0BC">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132.849</w:t>
                  </w:r>
                </w:p>
              </w:tc>
            </w:tr>
            <w:tr w14:paraId="2E008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87" w:type="pct"/>
                  <w:gridSpan w:val="2"/>
                  <w:vMerge w:val="continue"/>
                  <w:tcBorders>
                    <w:tl2br w:val="nil"/>
                    <w:tr2bl w:val="nil"/>
                  </w:tcBorders>
                  <w:vAlign w:val="center"/>
                </w:tcPr>
                <w:p w14:paraId="68E4DD3C">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744" w:type="pct"/>
                  <w:tcBorders>
                    <w:tl2br w:val="nil"/>
                    <w:tr2bl w:val="nil"/>
                  </w:tcBorders>
                  <w:vAlign w:val="center"/>
                </w:tcPr>
                <w:p w14:paraId="2F082775">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rPr>
                  </w:pPr>
                  <w:r>
                    <w:rPr>
                      <w:rFonts w:hint="default" w:ascii="Times New Roman" w:hAnsi="Times New Roman" w:eastAsia="宋体" w:cs="Times New Roman"/>
                      <w:sz w:val="21"/>
                      <w:szCs w:val="21"/>
                      <w:highlight w:val="none"/>
                      <w:u w:val="none"/>
                    </w:rPr>
                    <w:t>二氧化硫</w:t>
                  </w:r>
                </w:p>
              </w:tc>
              <w:tc>
                <w:tcPr>
                  <w:tcW w:w="899" w:type="pct"/>
                  <w:tcBorders>
                    <w:tl2br w:val="nil"/>
                    <w:tr2bl w:val="nil"/>
                  </w:tcBorders>
                  <w:vAlign w:val="center"/>
                </w:tcPr>
                <w:p w14:paraId="66DE731E">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676.3782</w:t>
                  </w:r>
                </w:p>
              </w:tc>
              <w:tc>
                <w:tcPr>
                  <w:tcW w:w="855" w:type="pct"/>
                  <w:tcBorders>
                    <w:tl2br w:val="nil"/>
                    <w:tr2bl w:val="nil"/>
                  </w:tcBorders>
                  <w:vAlign w:val="center"/>
                </w:tcPr>
                <w:p w14:paraId="7EF327E7">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514EB93C">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5425176D">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676.3782</w:t>
                  </w:r>
                </w:p>
              </w:tc>
            </w:tr>
            <w:tr w14:paraId="71ED81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87" w:type="pct"/>
                  <w:gridSpan w:val="2"/>
                  <w:vMerge w:val="continue"/>
                  <w:tcBorders>
                    <w:tl2br w:val="nil"/>
                    <w:tr2bl w:val="nil"/>
                  </w:tcBorders>
                  <w:vAlign w:val="center"/>
                </w:tcPr>
                <w:p w14:paraId="6578601C">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744" w:type="pct"/>
                  <w:tcBorders>
                    <w:tl2br w:val="nil"/>
                    <w:tr2bl w:val="nil"/>
                  </w:tcBorders>
                  <w:vAlign w:val="center"/>
                </w:tcPr>
                <w:p w14:paraId="560BEFFB">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rPr>
                  </w:pPr>
                  <w:r>
                    <w:rPr>
                      <w:rFonts w:hint="default" w:ascii="Times New Roman" w:hAnsi="Times New Roman" w:eastAsia="宋体" w:cs="Times New Roman"/>
                      <w:sz w:val="21"/>
                      <w:szCs w:val="21"/>
                      <w:highlight w:val="none"/>
                      <w:u w:val="none"/>
                    </w:rPr>
                    <w:t>氮氧化物</w:t>
                  </w:r>
                </w:p>
              </w:tc>
              <w:tc>
                <w:tcPr>
                  <w:tcW w:w="899" w:type="pct"/>
                  <w:tcBorders>
                    <w:tl2br w:val="nil"/>
                    <w:tr2bl w:val="nil"/>
                  </w:tcBorders>
                  <w:vAlign w:val="center"/>
                </w:tcPr>
                <w:p w14:paraId="230259E9">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1255.7016</w:t>
                  </w:r>
                </w:p>
              </w:tc>
              <w:tc>
                <w:tcPr>
                  <w:tcW w:w="855" w:type="pct"/>
                  <w:tcBorders>
                    <w:tl2br w:val="nil"/>
                    <w:tr2bl w:val="nil"/>
                  </w:tcBorders>
                  <w:vAlign w:val="center"/>
                </w:tcPr>
                <w:p w14:paraId="2C3FFE70">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2E10CA68">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5531C8B4">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1255.7016</w:t>
                  </w:r>
                </w:p>
              </w:tc>
            </w:tr>
            <w:tr w14:paraId="0F5910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87" w:type="pct"/>
                  <w:gridSpan w:val="2"/>
                  <w:vMerge w:val="continue"/>
                  <w:tcBorders>
                    <w:tl2br w:val="nil"/>
                    <w:tr2bl w:val="nil"/>
                  </w:tcBorders>
                  <w:vAlign w:val="center"/>
                </w:tcPr>
                <w:p w14:paraId="58A8C387">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744" w:type="pct"/>
                  <w:tcBorders>
                    <w:tl2br w:val="nil"/>
                    <w:tr2bl w:val="nil"/>
                  </w:tcBorders>
                  <w:vAlign w:val="center"/>
                </w:tcPr>
                <w:p w14:paraId="31FCE30E">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汞及其化合物</w:t>
                  </w:r>
                </w:p>
              </w:tc>
              <w:tc>
                <w:tcPr>
                  <w:tcW w:w="899" w:type="pct"/>
                  <w:tcBorders>
                    <w:tl2br w:val="nil"/>
                    <w:tr2bl w:val="nil"/>
                  </w:tcBorders>
                  <w:vAlign w:val="center"/>
                </w:tcPr>
                <w:p w14:paraId="15065AEC">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0.04609</w:t>
                  </w:r>
                </w:p>
              </w:tc>
              <w:tc>
                <w:tcPr>
                  <w:tcW w:w="855" w:type="pct"/>
                  <w:tcBorders>
                    <w:tl2br w:val="nil"/>
                    <w:tr2bl w:val="nil"/>
                  </w:tcBorders>
                  <w:vAlign w:val="center"/>
                </w:tcPr>
                <w:p w14:paraId="50F02204">
                  <w:pPr>
                    <w:widowControl/>
                    <w:spacing w:line="240" w:lineRule="auto"/>
                    <w:ind w:firstLine="0" w:firstLineChars="0"/>
                    <w:jc w:val="center"/>
                    <w:textAlignment w:val="center"/>
                    <w:rPr>
                      <w:rFonts w:hint="default"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6CCC2FAF">
                  <w:pPr>
                    <w:widowControl/>
                    <w:spacing w:line="240" w:lineRule="auto"/>
                    <w:ind w:firstLine="0" w:firstLineChars="0"/>
                    <w:jc w:val="center"/>
                    <w:textAlignment w:val="center"/>
                    <w:rPr>
                      <w:rFonts w:hint="default"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547A7FFE">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0.04609</w:t>
                  </w:r>
                </w:p>
              </w:tc>
            </w:tr>
            <w:tr w14:paraId="193127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87" w:type="pct"/>
                  <w:gridSpan w:val="2"/>
                  <w:vMerge w:val="restart"/>
                  <w:tcBorders>
                    <w:tl2br w:val="nil"/>
                    <w:tr2bl w:val="nil"/>
                  </w:tcBorders>
                  <w:vAlign w:val="center"/>
                </w:tcPr>
                <w:p w14:paraId="46FA8B0C">
                  <w:pPr>
                    <w:pStyle w:val="21"/>
                    <w:widowControl/>
                    <w:spacing w:line="240" w:lineRule="auto"/>
                    <w:ind w:firstLine="0" w:firstLineChars="0"/>
                    <w:rPr>
                      <w:rFonts w:hint="default" w:ascii="Times New Roman" w:hAnsi="Times New Roman" w:eastAsia="宋体" w:cs="Times New Roman"/>
                      <w:sz w:val="21"/>
                      <w:szCs w:val="21"/>
                      <w:highlight w:val="none"/>
                      <w:u w:val="none"/>
                    </w:rPr>
                  </w:pPr>
                  <w:r>
                    <w:rPr>
                      <w:rFonts w:hint="default" w:ascii="Times New Roman" w:hAnsi="Times New Roman" w:eastAsia="宋体" w:cs="Times New Roman"/>
                      <w:sz w:val="21"/>
                      <w:szCs w:val="21"/>
                      <w:highlight w:val="none"/>
                      <w:u w:val="none"/>
                    </w:rPr>
                    <w:t>废水</w:t>
                  </w:r>
                </w:p>
              </w:tc>
              <w:tc>
                <w:tcPr>
                  <w:tcW w:w="744" w:type="pct"/>
                  <w:tcBorders>
                    <w:tl2br w:val="nil"/>
                    <w:tr2bl w:val="nil"/>
                  </w:tcBorders>
                  <w:vAlign w:val="center"/>
                </w:tcPr>
                <w:p w14:paraId="14B52C2B">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rPr>
                  </w:pPr>
                  <w:r>
                    <w:rPr>
                      <w:rFonts w:hint="default" w:ascii="Times New Roman" w:hAnsi="Times New Roman" w:eastAsia="宋体" w:cs="Times New Roman"/>
                      <w:sz w:val="21"/>
                      <w:szCs w:val="21"/>
                      <w:highlight w:val="none"/>
                      <w:u w:val="none"/>
                    </w:rPr>
                    <w:t>COD</w:t>
                  </w:r>
                </w:p>
              </w:tc>
              <w:tc>
                <w:tcPr>
                  <w:tcW w:w="899" w:type="pct"/>
                  <w:tcBorders>
                    <w:tl2br w:val="nil"/>
                    <w:tr2bl w:val="nil"/>
                  </w:tcBorders>
                  <w:vAlign w:val="center"/>
                </w:tcPr>
                <w:p w14:paraId="056C3B2D">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14.8867</w:t>
                  </w:r>
                </w:p>
              </w:tc>
              <w:tc>
                <w:tcPr>
                  <w:tcW w:w="855" w:type="pct"/>
                  <w:tcBorders>
                    <w:tl2br w:val="nil"/>
                    <w:tr2bl w:val="nil"/>
                  </w:tcBorders>
                  <w:vAlign w:val="center"/>
                </w:tcPr>
                <w:p w14:paraId="2426E0C0">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0288F075">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5A7D6FA6">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14.8867</w:t>
                  </w:r>
                </w:p>
              </w:tc>
            </w:tr>
            <w:tr w14:paraId="4E879A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87" w:type="pct"/>
                  <w:gridSpan w:val="2"/>
                  <w:vMerge w:val="continue"/>
                  <w:tcBorders>
                    <w:tl2br w:val="nil"/>
                    <w:tr2bl w:val="nil"/>
                  </w:tcBorders>
                  <w:vAlign w:val="center"/>
                </w:tcPr>
                <w:p w14:paraId="0DC5FF99">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744" w:type="pct"/>
                  <w:tcBorders>
                    <w:tl2br w:val="nil"/>
                    <w:tr2bl w:val="nil"/>
                  </w:tcBorders>
                  <w:vAlign w:val="center"/>
                </w:tcPr>
                <w:p w14:paraId="7FEB41BB">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rPr>
                  </w:pPr>
                  <w:r>
                    <w:rPr>
                      <w:rFonts w:hint="default" w:ascii="Times New Roman" w:hAnsi="Times New Roman" w:eastAsia="宋体" w:cs="Times New Roman"/>
                      <w:sz w:val="21"/>
                      <w:szCs w:val="21"/>
                      <w:highlight w:val="none"/>
                      <w:u w:val="none"/>
                    </w:rPr>
                    <w:t>氨氮</w:t>
                  </w:r>
                </w:p>
              </w:tc>
              <w:tc>
                <w:tcPr>
                  <w:tcW w:w="899" w:type="pct"/>
                  <w:tcBorders>
                    <w:tl2br w:val="nil"/>
                    <w:tr2bl w:val="nil"/>
                  </w:tcBorders>
                  <w:vAlign w:val="center"/>
                </w:tcPr>
                <w:p w14:paraId="7F45A920">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3.123</w:t>
                  </w:r>
                </w:p>
              </w:tc>
              <w:tc>
                <w:tcPr>
                  <w:tcW w:w="855" w:type="pct"/>
                  <w:tcBorders>
                    <w:tl2br w:val="nil"/>
                    <w:tr2bl w:val="nil"/>
                  </w:tcBorders>
                  <w:vAlign w:val="center"/>
                </w:tcPr>
                <w:p w14:paraId="2E763D1E">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0913718E">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49F81D44">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3.123</w:t>
                  </w:r>
                </w:p>
              </w:tc>
            </w:tr>
            <w:tr w14:paraId="48BF5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72" w:type="pct"/>
                  <w:vMerge w:val="restart"/>
                  <w:tcBorders>
                    <w:tl2br w:val="nil"/>
                    <w:tr2bl w:val="nil"/>
                  </w:tcBorders>
                  <w:vAlign w:val="center"/>
                </w:tcPr>
                <w:p w14:paraId="2D95DB8D">
                  <w:pPr>
                    <w:pStyle w:val="21"/>
                    <w:widowControl/>
                    <w:spacing w:line="240" w:lineRule="auto"/>
                    <w:ind w:firstLine="0" w:firstLineChars="0"/>
                    <w:rPr>
                      <w:rFonts w:hint="eastAsia" w:ascii="Times New Roman" w:hAnsi="Times New Roman" w:eastAsia="宋体" w:cs="Times New Roman"/>
                      <w:sz w:val="21"/>
                      <w:szCs w:val="21"/>
                      <w:highlight w:val="none"/>
                      <w:u w:val="none"/>
                      <w:lang w:val="en-US" w:eastAsia="zh-CN"/>
                    </w:rPr>
                  </w:pPr>
                  <w:r>
                    <w:rPr>
                      <w:rFonts w:hint="eastAsia" w:ascii="Times New Roman" w:hAnsi="Times New Roman" w:eastAsia="宋体" w:cs="Times New Roman"/>
                      <w:sz w:val="21"/>
                      <w:szCs w:val="21"/>
                      <w:highlight w:val="none"/>
                      <w:u w:val="none"/>
                      <w:lang w:val="en-US" w:eastAsia="zh-CN"/>
                    </w:rPr>
                    <w:t>固废</w:t>
                  </w:r>
                </w:p>
              </w:tc>
              <w:tc>
                <w:tcPr>
                  <w:tcW w:w="415" w:type="pct"/>
                  <w:vMerge w:val="restart"/>
                  <w:tcBorders>
                    <w:tl2br w:val="nil"/>
                    <w:tr2bl w:val="nil"/>
                  </w:tcBorders>
                  <w:vAlign w:val="center"/>
                </w:tcPr>
                <w:p w14:paraId="52622129">
                  <w:pPr>
                    <w:pStyle w:val="21"/>
                    <w:widowControl/>
                    <w:spacing w:line="240" w:lineRule="auto"/>
                    <w:ind w:firstLine="0" w:firstLineChars="0"/>
                    <w:rPr>
                      <w:rFonts w:hint="eastAsia" w:ascii="Times New Roman" w:hAnsi="Times New Roman" w:eastAsia="宋体" w:cs="Times New Roman"/>
                      <w:sz w:val="21"/>
                      <w:szCs w:val="21"/>
                      <w:highlight w:val="none"/>
                      <w:u w:val="none"/>
                      <w:lang w:val="en-US" w:eastAsia="zh-CN"/>
                    </w:rPr>
                  </w:pPr>
                  <w:r>
                    <w:rPr>
                      <w:rFonts w:hint="eastAsia" w:ascii="Times New Roman" w:hAnsi="Times New Roman" w:eastAsia="宋体" w:cs="Times New Roman"/>
                      <w:sz w:val="21"/>
                      <w:szCs w:val="21"/>
                      <w:highlight w:val="none"/>
                      <w:u w:val="none"/>
                      <w:lang w:val="en-US" w:eastAsia="zh-CN"/>
                    </w:rPr>
                    <w:t>一般固废</w:t>
                  </w:r>
                </w:p>
              </w:tc>
              <w:tc>
                <w:tcPr>
                  <w:tcW w:w="744" w:type="pct"/>
                  <w:tcBorders>
                    <w:tl2br w:val="nil"/>
                    <w:tr2bl w:val="nil"/>
                  </w:tcBorders>
                  <w:vAlign w:val="center"/>
                </w:tcPr>
                <w:p w14:paraId="1B90C6B5">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炉渣</w:t>
                  </w:r>
                </w:p>
              </w:tc>
              <w:tc>
                <w:tcPr>
                  <w:tcW w:w="899" w:type="pct"/>
                  <w:tcBorders>
                    <w:tl2br w:val="nil"/>
                    <w:tr2bl w:val="nil"/>
                  </w:tcBorders>
                  <w:vAlign w:val="center"/>
                </w:tcPr>
                <w:p w14:paraId="45620DF8">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150000</w:t>
                  </w:r>
                </w:p>
              </w:tc>
              <w:tc>
                <w:tcPr>
                  <w:tcW w:w="855" w:type="pct"/>
                  <w:tcBorders>
                    <w:tl2br w:val="nil"/>
                    <w:tr2bl w:val="nil"/>
                  </w:tcBorders>
                  <w:vAlign w:val="center"/>
                </w:tcPr>
                <w:p w14:paraId="317586E7">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66CE12C8">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4EE1FC97">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150000</w:t>
                  </w:r>
                </w:p>
              </w:tc>
            </w:tr>
            <w:tr w14:paraId="1AFC9F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72" w:type="pct"/>
                  <w:vMerge w:val="continue"/>
                  <w:tcBorders>
                    <w:tl2br w:val="nil"/>
                    <w:tr2bl w:val="nil"/>
                  </w:tcBorders>
                  <w:vAlign w:val="center"/>
                </w:tcPr>
                <w:p w14:paraId="6B966F3F">
                  <w:pPr>
                    <w:pStyle w:val="21"/>
                    <w:widowControl/>
                    <w:spacing w:line="240" w:lineRule="auto"/>
                    <w:ind w:firstLine="0" w:firstLineChars="0"/>
                    <w:rPr>
                      <w:rFonts w:hint="eastAsia" w:ascii="Times New Roman" w:hAnsi="Times New Roman" w:eastAsia="宋体" w:cs="Times New Roman"/>
                      <w:sz w:val="21"/>
                      <w:szCs w:val="21"/>
                      <w:highlight w:val="none"/>
                      <w:u w:val="none"/>
                      <w:lang w:val="en-US" w:eastAsia="zh-CN"/>
                    </w:rPr>
                  </w:pPr>
                </w:p>
              </w:tc>
              <w:tc>
                <w:tcPr>
                  <w:tcW w:w="415" w:type="pct"/>
                  <w:vMerge w:val="continue"/>
                  <w:tcBorders>
                    <w:tl2br w:val="nil"/>
                    <w:tr2bl w:val="nil"/>
                  </w:tcBorders>
                  <w:vAlign w:val="center"/>
                </w:tcPr>
                <w:p w14:paraId="51E5978D">
                  <w:pPr>
                    <w:pStyle w:val="21"/>
                    <w:widowControl/>
                    <w:spacing w:line="240" w:lineRule="auto"/>
                    <w:ind w:firstLine="0" w:firstLineChars="0"/>
                    <w:rPr>
                      <w:rFonts w:hint="eastAsia" w:ascii="Times New Roman" w:hAnsi="Times New Roman" w:eastAsia="宋体" w:cs="Times New Roman"/>
                      <w:sz w:val="21"/>
                      <w:szCs w:val="21"/>
                      <w:highlight w:val="none"/>
                      <w:u w:val="none"/>
                      <w:lang w:val="en-US" w:eastAsia="zh-CN"/>
                    </w:rPr>
                  </w:pPr>
                </w:p>
              </w:tc>
              <w:tc>
                <w:tcPr>
                  <w:tcW w:w="744" w:type="pct"/>
                  <w:tcBorders>
                    <w:tl2br w:val="nil"/>
                    <w:tr2bl w:val="nil"/>
                  </w:tcBorders>
                  <w:vAlign w:val="center"/>
                </w:tcPr>
                <w:p w14:paraId="3B834B20">
                  <w:pPr>
                    <w:widowControl/>
                    <w:spacing w:line="240" w:lineRule="auto"/>
                    <w:ind w:firstLine="0" w:firstLineChars="0"/>
                    <w:jc w:val="center"/>
                    <w:textAlignment w:val="center"/>
                    <w:rPr>
                      <w:rFonts w:hint="default" w:cs="Times New Roman"/>
                      <w:sz w:val="21"/>
                      <w:szCs w:val="21"/>
                      <w:highlight w:val="none"/>
                      <w:u w:val="none"/>
                      <w:lang w:val="en-US" w:eastAsia="zh-CN"/>
                    </w:rPr>
                  </w:pPr>
                  <w:r>
                    <w:rPr>
                      <w:rFonts w:hint="eastAsia" w:cs="Times New Roman"/>
                      <w:sz w:val="21"/>
                      <w:szCs w:val="21"/>
                      <w:highlight w:val="none"/>
                      <w:u w:val="none"/>
                      <w:lang w:val="en-US" w:eastAsia="zh-CN"/>
                    </w:rPr>
                    <w:t>粉煤灰</w:t>
                  </w:r>
                </w:p>
              </w:tc>
              <w:tc>
                <w:tcPr>
                  <w:tcW w:w="899" w:type="pct"/>
                  <w:tcBorders>
                    <w:tl2br w:val="nil"/>
                    <w:tr2bl w:val="nil"/>
                  </w:tcBorders>
                  <w:vAlign w:val="center"/>
                </w:tcPr>
                <w:p w14:paraId="00D072C2">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569419.98</w:t>
                  </w:r>
                </w:p>
              </w:tc>
              <w:tc>
                <w:tcPr>
                  <w:tcW w:w="855" w:type="pct"/>
                  <w:tcBorders>
                    <w:tl2br w:val="nil"/>
                    <w:tr2bl w:val="nil"/>
                  </w:tcBorders>
                  <w:vAlign w:val="center"/>
                </w:tcPr>
                <w:p w14:paraId="2EB1BBC1">
                  <w:pPr>
                    <w:widowControl/>
                    <w:spacing w:line="240" w:lineRule="auto"/>
                    <w:ind w:firstLine="0" w:firstLineChars="0"/>
                    <w:jc w:val="center"/>
                    <w:textAlignment w:val="center"/>
                    <w:rPr>
                      <w:rFonts w:hint="default"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601C844C">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2B26721B">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569419.98</w:t>
                  </w:r>
                </w:p>
              </w:tc>
            </w:tr>
            <w:tr w14:paraId="3A8F6F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72" w:type="pct"/>
                  <w:vMerge w:val="continue"/>
                  <w:tcBorders>
                    <w:tl2br w:val="nil"/>
                    <w:tr2bl w:val="nil"/>
                  </w:tcBorders>
                  <w:vAlign w:val="center"/>
                </w:tcPr>
                <w:p w14:paraId="56C112D3">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415" w:type="pct"/>
                  <w:vMerge w:val="continue"/>
                  <w:tcBorders>
                    <w:tl2br w:val="nil"/>
                    <w:tr2bl w:val="nil"/>
                  </w:tcBorders>
                  <w:vAlign w:val="center"/>
                </w:tcPr>
                <w:p w14:paraId="6F5C6AFA">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744" w:type="pct"/>
                  <w:tcBorders>
                    <w:tl2br w:val="nil"/>
                    <w:tr2bl w:val="nil"/>
                  </w:tcBorders>
                  <w:vAlign w:val="center"/>
                </w:tcPr>
                <w:p w14:paraId="56F5302F">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ascii="Times New Roman" w:hAnsi="Times New Roman" w:eastAsia="宋体" w:cs="Times New Roman"/>
                      <w:sz w:val="21"/>
                      <w:szCs w:val="21"/>
                      <w:highlight w:val="none"/>
                      <w:u w:val="none"/>
                      <w:lang w:val="en-US" w:eastAsia="zh-CN"/>
                    </w:rPr>
                    <w:t>脱硫</w:t>
                  </w:r>
                </w:p>
                <w:p w14:paraId="3AF48B00">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ascii="Times New Roman" w:hAnsi="Times New Roman" w:eastAsia="宋体" w:cs="Times New Roman"/>
                      <w:sz w:val="21"/>
                      <w:szCs w:val="21"/>
                      <w:highlight w:val="none"/>
                      <w:u w:val="none"/>
                      <w:lang w:val="en-US" w:eastAsia="zh-CN"/>
                    </w:rPr>
                    <w:t>石膏</w:t>
                  </w:r>
                </w:p>
              </w:tc>
              <w:tc>
                <w:tcPr>
                  <w:tcW w:w="899" w:type="pct"/>
                  <w:tcBorders>
                    <w:tl2br w:val="nil"/>
                    <w:tr2bl w:val="nil"/>
                  </w:tcBorders>
                  <w:vAlign w:val="center"/>
                </w:tcPr>
                <w:p w14:paraId="5616E46D">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300000</w:t>
                  </w:r>
                </w:p>
              </w:tc>
              <w:tc>
                <w:tcPr>
                  <w:tcW w:w="855" w:type="pct"/>
                  <w:tcBorders>
                    <w:tl2br w:val="nil"/>
                    <w:tr2bl w:val="nil"/>
                  </w:tcBorders>
                  <w:vAlign w:val="center"/>
                </w:tcPr>
                <w:p w14:paraId="62489303">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62781DA7">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545A0BE4">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300000</w:t>
                  </w:r>
                </w:p>
              </w:tc>
            </w:tr>
            <w:tr w14:paraId="05E452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72" w:type="pct"/>
                  <w:vMerge w:val="continue"/>
                  <w:tcBorders>
                    <w:tl2br w:val="nil"/>
                    <w:tr2bl w:val="nil"/>
                  </w:tcBorders>
                  <w:vAlign w:val="center"/>
                </w:tcPr>
                <w:p w14:paraId="26F129C0">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415" w:type="pct"/>
                  <w:vMerge w:val="restart"/>
                  <w:tcBorders>
                    <w:tl2br w:val="nil"/>
                    <w:tr2bl w:val="nil"/>
                  </w:tcBorders>
                  <w:vAlign w:val="center"/>
                </w:tcPr>
                <w:p w14:paraId="378450BE">
                  <w:pPr>
                    <w:pStyle w:val="21"/>
                    <w:widowControl/>
                    <w:spacing w:line="240" w:lineRule="auto"/>
                    <w:ind w:firstLine="0" w:firstLineChars="0"/>
                    <w:rPr>
                      <w:rFonts w:hint="eastAsia" w:ascii="Times New Roman" w:hAnsi="Times New Roman" w:eastAsia="宋体" w:cs="Times New Roman"/>
                      <w:sz w:val="21"/>
                      <w:szCs w:val="21"/>
                      <w:highlight w:val="none"/>
                      <w:u w:val="none"/>
                      <w:lang w:val="en-US" w:eastAsia="zh-CN"/>
                    </w:rPr>
                  </w:pPr>
                  <w:r>
                    <w:rPr>
                      <w:rFonts w:hint="eastAsia" w:ascii="Times New Roman" w:hAnsi="Times New Roman" w:eastAsia="宋体" w:cs="Times New Roman"/>
                      <w:sz w:val="21"/>
                      <w:szCs w:val="21"/>
                      <w:highlight w:val="none"/>
                      <w:u w:val="none"/>
                      <w:lang w:val="en-US" w:eastAsia="zh-CN"/>
                    </w:rPr>
                    <w:t>危险废物</w:t>
                  </w:r>
                </w:p>
              </w:tc>
              <w:tc>
                <w:tcPr>
                  <w:tcW w:w="744" w:type="pct"/>
                  <w:tcBorders>
                    <w:tl2br w:val="nil"/>
                    <w:tr2bl w:val="nil"/>
                  </w:tcBorders>
                  <w:vAlign w:val="center"/>
                </w:tcPr>
                <w:p w14:paraId="57303647">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ascii="Times New Roman" w:hAnsi="Times New Roman" w:eastAsia="宋体" w:cs="Times New Roman"/>
                      <w:sz w:val="21"/>
                      <w:szCs w:val="21"/>
                      <w:highlight w:val="none"/>
                      <w:u w:val="none"/>
                      <w:lang w:val="en-US" w:eastAsia="zh-CN"/>
                    </w:rPr>
                    <w:t>废</w:t>
                  </w:r>
                  <w:r>
                    <w:rPr>
                      <w:rFonts w:hint="eastAsia" w:cs="Times New Roman"/>
                      <w:sz w:val="21"/>
                      <w:szCs w:val="21"/>
                      <w:highlight w:val="none"/>
                      <w:u w:val="none"/>
                      <w:lang w:val="en-US" w:eastAsia="zh-CN"/>
                    </w:rPr>
                    <w:t>润滑油</w:t>
                  </w:r>
                </w:p>
              </w:tc>
              <w:tc>
                <w:tcPr>
                  <w:tcW w:w="899" w:type="pct"/>
                  <w:tcBorders>
                    <w:tl2br w:val="nil"/>
                    <w:tr2bl w:val="nil"/>
                  </w:tcBorders>
                  <w:vAlign w:val="center"/>
                </w:tcPr>
                <w:p w14:paraId="3E99FC9E">
                  <w:pPr>
                    <w:widowControl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eastAsia"/>
                      <w:snapToGrid w:val="0"/>
                      <w:kern w:val="21"/>
                      <w:sz w:val="21"/>
                      <w:szCs w:val="21"/>
                      <w:highlight w:val="none"/>
                      <w:lang w:val="en-US" w:eastAsia="zh-CN"/>
                    </w:rPr>
                    <w:t>55</w:t>
                  </w:r>
                </w:p>
              </w:tc>
              <w:tc>
                <w:tcPr>
                  <w:tcW w:w="855" w:type="pct"/>
                  <w:tcBorders>
                    <w:tl2br w:val="nil"/>
                    <w:tr2bl w:val="nil"/>
                  </w:tcBorders>
                  <w:vAlign w:val="center"/>
                </w:tcPr>
                <w:p w14:paraId="5501FE96">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1805A448">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0.1</w:t>
                  </w:r>
                </w:p>
              </w:tc>
              <w:tc>
                <w:tcPr>
                  <w:tcW w:w="856" w:type="pct"/>
                  <w:tcBorders>
                    <w:tl2br w:val="nil"/>
                    <w:tr2bl w:val="nil"/>
                  </w:tcBorders>
                  <w:vAlign w:val="center"/>
                </w:tcPr>
                <w:p w14:paraId="325F4896">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55.1</w:t>
                  </w:r>
                </w:p>
              </w:tc>
            </w:tr>
            <w:tr w14:paraId="05619D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72" w:type="pct"/>
                  <w:vMerge w:val="continue"/>
                  <w:tcBorders>
                    <w:tl2br w:val="nil"/>
                    <w:tr2bl w:val="nil"/>
                  </w:tcBorders>
                  <w:vAlign w:val="center"/>
                </w:tcPr>
                <w:p w14:paraId="0B379162">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415" w:type="pct"/>
                  <w:vMerge w:val="continue"/>
                  <w:tcBorders>
                    <w:tl2br w:val="nil"/>
                    <w:tr2bl w:val="nil"/>
                  </w:tcBorders>
                  <w:vAlign w:val="center"/>
                </w:tcPr>
                <w:p w14:paraId="5A280D08">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744" w:type="pct"/>
                  <w:tcBorders>
                    <w:tl2br w:val="nil"/>
                    <w:tr2bl w:val="nil"/>
                  </w:tcBorders>
                  <w:vAlign w:val="center"/>
                </w:tcPr>
                <w:p w14:paraId="1D01831F">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废润滑油桶</w:t>
                  </w:r>
                </w:p>
              </w:tc>
              <w:tc>
                <w:tcPr>
                  <w:tcW w:w="899" w:type="pct"/>
                  <w:tcBorders>
                    <w:tl2br w:val="nil"/>
                    <w:tr2bl w:val="nil"/>
                  </w:tcBorders>
                  <w:vAlign w:val="center"/>
                </w:tcPr>
                <w:p w14:paraId="0A2E104F">
                  <w:pPr>
                    <w:widowControl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rPr>
                  </w:pPr>
                  <w:r>
                    <w:rPr>
                      <w:rFonts w:hint="eastAsia"/>
                      <w:snapToGrid w:val="0"/>
                      <w:kern w:val="21"/>
                      <w:sz w:val="21"/>
                      <w:szCs w:val="21"/>
                      <w:highlight w:val="none"/>
                      <w:lang w:val="en-US" w:eastAsia="zh-CN"/>
                    </w:rPr>
                    <w:t>3</w:t>
                  </w:r>
                </w:p>
              </w:tc>
              <w:tc>
                <w:tcPr>
                  <w:tcW w:w="855" w:type="pct"/>
                  <w:tcBorders>
                    <w:tl2br w:val="nil"/>
                    <w:tr2bl w:val="nil"/>
                  </w:tcBorders>
                  <w:vAlign w:val="center"/>
                </w:tcPr>
                <w:p w14:paraId="0E6F21C5">
                  <w:pPr>
                    <w:widowControl/>
                    <w:spacing w:line="240" w:lineRule="auto"/>
                    <w:ind w:firstLine="0" w:firstLineChars="0"/>
                    <w:jc w:val="center"/>
                    <w:textAlignment w:val="center"/>
                    <w:rPr>
                      <w:rFonts w:hint="default"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29875BCD">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0.04</w:t>
                  </w:r>
                </w:p>
              </w:tc>
              <w:tc>
                <w:tcPr>
                  <w:tcW w:w="856" w:type="pct"/>
                  <w:tcBorders>
                    <w:tl2br w:val="nil"/>
                    <w:tr2bl w:val="nil"/>
                  </w:tcBorders>
                  <w:vAlign w:val="center"/>
                </w:tcPr>
                <w:p w14:paraId="084BE263">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3.04</w:t>
                  </w:r>
                </w:p>
              </w:tc>
            </w:tr>
            <w:tr w14:paraId="0F7826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72" w:type="pct"/>
                  <w:vMerge w:val="continue"/>
                  <w:tcBorders>
                    <w:tl2br w:val="nil"/>
                    <w:tr2bl w:val="nil"/>
                  </w:tcBorders>
                  <w:vAlign w:val="center"/>
                </w:tcPr>
                <w:p w14:paraId="565794C5">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415" w:type="pct"/>
                  <w:vMerge w:val="continue"/>
                  <w:tcBorders>
                    <w:tl2br w:val="nil"/>
                    <w:tr2bl w:val="nil"/>
                  </w:tcBorders>
                  <w:vAlign w:val="center"/>
                </w:tcPr>
                <w:p w14:paraId="14951FDE">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744" w:type="pct"/>
                  <w:tcBorders>
                    <w:tl2br w:val="nil"/>
                    <w:tr2bl w:val="nil"/>
                  </w:tcBorders>
                  <w:vAlign w:val="center"/>
                </w:tcPr>
                <w:p w14:paraId="5ADE5E7F">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废含油抹布手套</w:t>
                  </w:r>
                </w:p>
              </w:tc>
              <w:tc>
                <w:tcPr>
                  <w:tcW w:w="899" w:type="pct"/>
                  <w:tcBorders>
                    <w:tl2br w:val="nil"/>
                    <w:tr2bl w:val="nil"/>
                  </w:tcBorders>
                  <w:vAlign w:val="center"/>
                </w:tcPr>
                <w:p w14:paraId="1C9533B2">
                  <w:pPr>
                    <w:widowControl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rPr>
                  </w:pPr>
                  <w:r>
                    <w:rPr>
                      <w:rFonts w:hint="eastAsia"/>
                      <w:snapToGrid w:val="0"/>
                      <w:kern w:val="21"/>
                      <w:sz w:val="21"/>
                      <w:szCs w:val="21"/>
                      <w:highlight w:val="none"/>
                      <w:lang w:val="en-US" w:eastAsia="zh-CN"/>
                    </w:rPr>
                    <w:t>0.6</w:t>
                  </w:r>
                </w:p>
              </w:tc>
              <w:tc>
                <w:tcPr>
                  <w:tcW w:w="855" w:type="pct"/>
                  <w:tcBorders>
                    <w:tl2br w:val="nil"/>
                    <w:tr2bl w:val="nil"/>
                  </w:tcBorders>
                  <w:vAlign w:val="center"/>
                </w:tcPr>
                <w:p w14:paraId="45432CAB">
                  <w:pPr>
                    <w:widowControl/>
                    <w:spacing w:line="240" w:lineRule="auto"/>
                    <w:ind w:firstLine="0" w:firstLineChars="0"/>
                    <w:jc w:val="center"/>
                    <w:textAlignment w:val="center"/>
                    <w:rPr>
                      <w:rFonts w:hint="default"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3100D0D2">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0.005</w:t>
                  </w:r>
                </w:p>
              </w:tc>
              <w:tc>
                <w:tcPr>
                  <w:tcW w:w="856" w:type="pct"/>
                  <w:tcBorders>
                    <w:tl2br w:val="nil"/>
                    <w:tr2bl w:val="nil"/>
                  </w:tcBorders>
                  <w:vAlign w:val="center"/>
                </w:tcPr>
                <w:p w14:paraId="31A4C5CD">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0.605</w:t>
                  </w:r>
                </w:p>
              </w:tc>
            </w:tr>
            <w:tr w14:paraId="47A5AF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72" w:type="pct"/>
                  <w:vMerge w:val="continue"/>
                  <w:tcBorders>
                    <w:tl2br w:val="nil"/>
                    <w:tr2bl w:val="nil"/>
                  </w:tcBorders>
                  <w:vAlign w:val="center"/>
                </w:tcPr>
                <w:p w14:paraId="3D905FF2">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415" w:type="pct"/>
                  <w:tcBorders>
                    <w:tl2br w:val="nil"/>
                    <w:tr2bl w:val="nil"/>
                  </w:tcBorders>
                  <w:vAlign w:val="center"/>
                </w:tcPr>
                <w:p w14:paraId="69148B09">
                  <w:pPr>
                    <w:pStyle w:val="21"/>
                    <w:widowControl/>
                    <w:spacing w:line="240" w:lineRule="auto"/>
                    <w:ind w:firstLine="0" w:firstLineChars="0"/>
                    <w:rPr>
                      <w:rFonts w:hint="default" w:ascii="Times New Roman" w:hAnsi="Times New Roman" w:eastAsia="宋体" w:cs="Times New Roman"/>
                      <w:sz w:val="21"/>
                      <w:szCs w:val="21"/>
                      <w:highlight w:val="none"/>
                      <w:u w:val="none"/>
                    </w:rPr>
                  </w:pPr>
                  <w:r>
                    <w:rPr>
                      <w:rFonts w:hint="default" w:ascii="Times New Roman" w:hAnsi="Times New Roman" w:eastAsia="宋体" w:cs="Times New Roman"/>
                      <w:sz w:val="21"/>
                      <w:szCs w:val="21"/>
                      <w:highlight w:val="none"/>
                      <w:u w:val="none"/>
                    </w:rPr>
                    <w:t>生活垃圾</w:t>
                  </w:r>
                </w:p>
              </w:tc>
              <w:tc>
                <w:tcPr>
                  <w:tcW w:w="744" w:type="pct"/>
                  <w:tcBorders>
                    <w:tl2br w:val="nil"/>
                    <w:tr2bl w:val="nil"/>
                  </w:tcBorders>
                  <w:vAlign w:val="center"/>
                </w:tcPr>
                <w:p w14:paraId="5426B7CD">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rPr>
                  </w:pPr>
                  <w:r>
                    <w:rPr>
                      <w:rFonts w:hint="default" w:ascii="Times New Roman" w:hAnsi="Times New Roman" w:eastAsia="宋体" w:cs="Times New Roman"/>
                      <w:sz w:val="21"/>
                      <w:szCs w:val="21"/>
                      <w:highlight w:val="none"/>
                      <w:u w:val="none"/>
                    </w:rPr>
                    <w:t>生活垃圾</w:t>
                  </w:r>
                </w:p>
              </w:tc>
              <w:tc>
                <w:tcPr>
                  <w:tcW w:w="899" w:type="pct"/>
                  <w:tcBorders>
                    <w:tl2br w:val="nil"/>
                    <w:tr2bl w:val="nil"/>
                  </w:tcBorders>
                  <w:vAlign w:val="center"/>
                </w:tcPr>
                <w:p w14:paraId="6C662403">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157.68</w:t>
                  </w:r>
                </w:p>
              </w:tc>
              <w:tc>
                <w:tcPr>
                  <w:tcW w:w="855" w:type="pct"/>
                  <w:tcBorders>
                    <w:tl2br w:val="nil"/>
                    <w:tr2bl w:val="nil"/>
                  </w:tcBorders>
                  <w:vAlign w:val="center"/>
                </w:tcPr>
                <w:p w14:paraId="2580808D">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4DD065A2">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4ED7CB79">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157.68</w:t>
                  </w:r>
                </w:p>
              </w:tc>
            </w:tr>
            <w:tr w14:paraId="2AA3D0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7"/>
                  <w:tcBorders>
                    <w:tl2br w:val="nil"/>
                    <w:tr2bl w:val="nil"/>
                  </w:tcBorders>
                  <w:vAlign w:val="center"/>
                </w:tcPr>
                <w:p w14:paraId="0A887AB8">
                  <w:pPr>
                    <w:pStyle w:val="21"/>
                    <w:widowControl/>
                    <w:spacing w:line="240" w:lineRule="auto"/>
                    <w:ind w:firstLine="0" w:firstLineChars="0"/>
                    <w:jc w:val="both"/>
                    <w:rPr>
                      <w:rFonts w:hint="default" w:ascii="Times New Roman" w:eastAsia="宋体" w:cs="Times New Roman"/>
                      <w:sz w:val="21"/>
                      <w:szCs w:val="21"/>
                      <w:highlight w:val="yellow"/>
                      <w:u w:val="none"/>
                      <w:lang w:val="en-US" w:eastAsia="zh-CN"/>
                    </w:rPr>
                  </w:pPr>
                  <w:r>
                    <w:rPr>
                      <w:rFonts w:hint="eastAsia" w:ascii="Times New Roman" w:eastAsia="宋体" w:cs="Times New Roman"/>
                      <w:b/>
                      <w:bCs/>
                      <w:sz w:val="21"/>
                      <w:szCs w:val="21"/>
                      <w:highlight w:val="none"/>
                      <w:u w:val="none"/>
                      <w:lang w:val="en-US" w:eastAsia="zh-CN"/>
                    </w:rPr>
                    <w:t>注：上表中固体废物均为产生量，排放量为0</w:t>
                  </w:r>
                </w:p>
              </w:tc>
            </w:tr>
          </w:tbl>
          <w:p w14:paraId="56F541AE">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164" w:beforeLines="50" w:line="360" w:lineRule="auto"/>
              <w:jc w:val="both"/>
              <w:textAlignment w:val="auto"/>
              <w:rPr>
                <w:b/>
                <w:bCs/>
                <w:kern w:val="0"/>
                <w:sz w:val="28"/>
                <w:szCs w:val="28"/>
                <w:u w:val="none"/>
              </w:rPr>
            </w:pPr>
            <w:r>
              <w:rPr>
                <w:b/>
                <w:bCs/>
                <w:kern w:val="0"/>
                <w:sz w:val="28"/>
                <w:szCs w:val="28"/>
                <w:u w:val="none"/>
              </w:rPr>
              <w:t>1.</w:t>
            </w:r>
            <w:r>
              <w:rPr>
                <w:rFonts w:hint="eastAsia"/>
                <w:b/>
                <w:bCs/>
                <w:kern w:val="0"/>
                <w:sz w:val="28"/>
                <w:szCs w:val="28"/>
                <w:u w:val="none"/>
              </w:rPr>
              <w:t>3</w:t>
            </w:r>
            <w:r>
              <w:rPr>
                <w:b/>
                <w:bCs/>
                <w:kern w:val="0"/>
                <w:sz w:val="28"/>
                <w:szCs w:val="28"/>
                <w:u w:val="none"/>
              </w:rPr>
              <w:t>环保投诉及处罚情况</w:t>
            </w:r>
          </w:p>
          <w:p w14:paraId="2DF51BF8">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kern w:val="0"/>
                <w:sz w:val="24"/>
              </w:rPr>
            </w:pPr>
            <w:r>
              <w:rPr>
                <w:rFonts w:hint="default" w:ascii="Times New Roman" w:hAnsi="Times New Roman"/>
                <w:kern w:val="0"/>
                <w:sz w:val="24"/>
              </w:rPr>
              <w:t>企业自建成投产运行以来，未受到环保投诉，未受到环保部门的处罚。</w:t>
            </w:r>
          </w:p>
          <w:p w14:paraId="78DA0B91">
            <w:pPr>
              <w:pStyle w:val="379"/>
              <w:keepNext w:val="0"/>
              <w:keepLines w:val="0"/>
              <w:pageBreakBefore w:val="0"/>
              <w:widowControl w:val="0"/>
              <w:numPr>
                <w:ilvl w:val="0"/>
                <w:numId w:val="22"/>
              </w:numPr>
              <w:tabs>
                <w:tab w:val="clear" w:pos="1139"/>
              </w:tabs>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宋体"/>
                <w:kern w:val="0"/>
                <w:sz w:val="24"/>
                <w:highlight w:val="none"/>
                <w:lang w:val="en-US" w:eastAsia="zh-CN"/>
              </w:rPr>
            </w:pPr>
            <w:bookmarkStart w:id="79" w:name="_Toc26950"/>
            <w:bookmarkStart w:id="80" w:name="_Toc28942"/>
            <w:r>
              <w:rPr>
                <w:b/>
                <w:sz w:val="30"/>
                <w:szCs w:val="30"/>
                <w:highlight w:val="none"/>
                <w:u w:val="none"/>
              </w:rPr>
              <w:t>目前厂区存在的主要环境问题及整改建议</w:t>
            </w:r>
            <w:bookmarkEnd w:id="79"/>
            <w:bookmarkEnd w:id="80"/>
          </w:p>
          <w:p w14:paraId="5445B64D">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360" w:lineRule="auto"/>
              <w:ind w:leftChars="0" w:firstLine="480" w:firstLineChars="200"/>
              <w:jc w:val="both"/>
              <w:textAlignment w:val="auto"/>
              <w:rPr>
                <w:sz w:val="24"/>
                <w:highlight w:val="none"/>
                <w:u w:val="single"/>
              </w:rPr>
            </w:pPr>
            <w:r>
              <w:rPr>
                <w:sz w:val="24"/>
                <w:highlight w:val="none"/>
                <w:u w:val="single"/>
              </w:rPr>
              <w:t>通过对项目区现场勘查，结合污染源</w:t>
            </w:r>
            <w:r>
              <w:rPr>
                <w:rFonts w:hint="eastAsia"/>
                <w:sz w:val="24"/>
                <w:highlight w:val="none"/>
                <w:u w:val="single"/>
              </w:rPr>
              <w:t>检测报告</w:t>
            </w:r>
            <w:r>
              <w:rPr>
                <w:sz w:val="24"/>
                <w:highlight w:val="none"/>
                <w:u w:val="single"/>
              </w:rPr>
              <w:t>等相关资料，现有项目存在的主要环境问题及解决方案见下表。</w:t>
            </w:r>
          </w:p>
          <w:p w14:paraId="284B43CD">
            <w:pPr>
              <w:pStyle w:val="379"/>
              <w:keepNext w:val="0"/>
              <w:keepLines w:val="0"/>
              <w:pageBreakBefore w:val="0"/>
              <w:widowControl w:val="0"/>
              <w:numPr>
                <w:ilvl w:val="0"/>
                <w:numId w:val="18"/>
              </w:numPr>
              <w:tabs>
                <w:tab w:val="clear" w:pos="1139"/>
              </w:tabs>
              <w:kinsoku/>
              <w:wordWrap/>
              <w:overflowPunct/>
              <w:topLinePunct w:val="0"/>
              <w:autoSpaceDE/>
              <w:autoSpaceDN/>
              <w:bidi w:val="0"/>
              <w:adjustRightInd/>
              <w:snapToGrid/>
              <w:spacing w:line="240" w:lineRule="auto"/>
              <w:ind w:firstLineChars="0"/>
              <w:jc w:val="center"/>
              <w:textAlignment w:val="auto"/>
              <w:rPr>
                <w:rFonts w:hint="default"/>
                <w:b/>
                <w:bCs/>
                <w:sz w:val="24"/>
                <w:highlight w:val="none"/>
                <w:u w:val="single"/>
                <w:lang w:val="en-US" w:eastAsia="zh-CN"/>
              </w:rPr>
            </w:pPr>
            <w:r>
              <w:rPr>
                <w:rFonts w:hint="eastAsia"/>
                <w:b/>
                <w:bCs/>
                <w:sz w:val="24"/>
                <w:highlight w:val="none"/>
                <w:u w:val="single"/>
                <w:lang w:val="en-US" w:eastAsia="zh-CN"/>
              </w:rPr>
              <w:t>现有项目存在的主要环境问题及整改要求</w:t>
            </w:r>
          </w:p>
          <w:tbl>
            <w:tblPr>
              <w:tblStyle w:val="31"/>
              <w:tblW w:w="499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2994"/>
              <w:gridCol w:w="3862"/>
            </w:tblGrid>
            <w:tr w14:paraId="235D17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39" w:type="pct"/>
                  <w:tcBorders>
                    <w:tl2br w:val="nil"/>
                    <w:tr2bl w:val="nil"/>
                  </w:tcBorders>
                  <w:vAlign w:val="center"/>
                </w:tcPr>
                <w:p w14:paraId="0C1D7B86">
                  <w:pPr>
                    <w:adjustRightInd w:val="0"/>
                    <w:snapToGrid w:val="0"/>
                    <w:spacing w:line="240" w:lineRule="auto"/>
                    <w:ind w:firstLine="0" w:firstLineChars="0"/>
                    <w:jc w:val="center"/>
                    <w:rPr>
                      <w:b/>
                      <w:bCs/>
                      <w:sz w:val="21"/>
                      <w:szCs w:val="21"/>
                      <w:highlight w:val="none"/>
                      <w:u w:val="single"/>
                    </w:rPr>
                  </w:pPr>
                  <w:r>
                    <w:rPr>
                      <w:b/>
                      <w:bCs/>
                      <w:sz w:val="21"/>
                      <w:szCs w:val="21"/>
                      <w:highlight w:val="none"/>
                      <w:u w:val="single"/>
                    </w:rPr>
                    <w:t>类别</w:t>
                  </w:r>
                </w:p>
              </w:tc>
              <w:tc>
                <w:tcPr>
                  <w:tcW w:w="1947" w:type="pct"/>
                  <w:tcBorders>
                    <w:tl2br w:val="nil"/>
                    <w:tr2bl w:val="nil"/>
                  </w:tcBorders>
                  <w:vAlign w:val="center"/>
                </w:tcPr>
                <w:p w14:paraId="621884A4">
                  <w:pPr>
                    <w:adjustRightInd w:val="0"/>
                    <w:snapToGrid w:val="0"/>
                    <w:spacing w:line="240" w:lineRule="auto"/>
                    <w:ind w:firstLine="0" w:firstLineChars="0"/>
                    <w:jc w:val="center"/>
                    <w:rPr>
                      <w:b/>
                      <w:sz w:val="21"/>
                      <w:szCs w:val="21"/>
                      <w:highlight w:val="none"/>
                      <w:u w:val="single"/>
                    </w:rPr>
                  </w:pPr>
                  <w:r>
                    <w:rPr>
                      <w:b/>
                      <w:sz w:val="21"/>
                      <w:szCs w:val="21"/>
                      <w:highlight w:val="none"/>
                      <w:u w:val="single"/>
                    </w:rPr>
                    <w:t>现有项目存在的主要环境问题</w:t>
                  </w:r>
                </w:p>
              </w:tc>
              <w:tc>
                <w:tcPr>
                  <w:tcW w:w="2512" w:type="pct"/>
                  <w:tcBorders>
                    <w:tl2br w:val="nil"/>
                    <w:tr2bl w:val="nil"/>
                  </w:tcBorders>
                  <w:vAlign w:val="center"/>
                </w:tcPr>
                <w:p w14:paraId="61A573EC">
                  <w:pPr>
                    <w:adjustRightInd w:val="0"/>
                    <w:snapToGrid w:val="0"/>
                    <w:spacing w:line="240" w:lineRule="auto"/>
                    <w:ind w:firstLine="0" w:firstLineChars="0"/>
                    <w:jc w:val="center"/>
                    <w:rPr>
                      <w:b/>
                      <w:sz w:val="21"/>
                      <w:szCs w:val="21"/>
                      <w:highlight w:val="none"/>
                      <w:u w:val="single"/>
                    </w:rPr>
                  </w:pPr>
                  <w:r>
                    <w:rPr>
                      <w:b/>
                      <w:sz w:val="21"/>
                      <w:szCs w:val="21"/>
                      <w:highlight w:val="none"/>
                      <w:u w:val="single"/>
                    </w:rPr>
                    <w:t>解决方案及建议</w:t>
                  </w:r>
                </w:p>
              </w:tc>
            </w:tr>
            <w:tr w14:paraId="736647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39" w:type="pct"/>
                  <w:tcBorders>
                    <w:tl2br w:val="nil"/>
                    <w:tr2bl w:val="nil"/>
                  </w:tcBorders>
                  <w:vAlign w:val="center"/>
                </w:tcPr>
                <w:p w14:paraId="455F33E1">
                  <w:pPr>
                    <w:adjustRightInd w:val="0"/>
                    <w:snapToGrid w:val="0"/>
                    <w:spacing w:line="240" w:lineRule="auto"/>
                    <w:ind w:firstLine="0" w:firstLineChars="0"/>
                    <w:jc w:val="center"/>
                    <w:rPr>
                      <w:bCs/>
                      <w:sz w:val="21"/>
                      <w:szCs w:val="21"/>
                      <w:highlight w:val="none"/>
                      <w:u w:val="single"/>
                    </w:rPr>
                  </w:pPr>
                  <w:r>
                    <w:rPr>
                      <w:rFonts w:hint="eastAsia"/>
                      <w:bCs/>
                      <w:sz w:val="21"/>
                      <w:szCs w:val="21"/>
                      <w:highlight w:val="none"/>
                      <w:u w:val="single"/>
                    </w:rPr>
                    <w:t>1</w:t>
                  </w:r>
                </w:p>
              </w:tc>
              <w:tc>
                <w:tcPr>
                  <w:tcW w:w="1947" w:type="pct"/>
                  <w:tcBorders>
                    <w:tl2br w:val="nil"/>
                    <w:tr2bl w:val="nil"/>
                  </w:tcBorders>
                  <w:vAlign w:val="center"/>
                </w:tcPr>
                <w:p w14:paraId="70561CC5">
                  <w:pPr>
                    <w:pStyle w:val="393"/>
                    <w:spacing w:line="240" w:lineRule="auto"/>
                    <w:ind w:firstLine="0" w:firstLineChars="0"/>
                    <w:rPr>
                      <w:rFonts w:hint="default" w:eastAsia="宋体"/>
                      <w:color w:val="000000"/>
                      <w:sz w:val="21"/>
                      <w:szCs w:val="21"/>
                      <w:highlight w:val="none"/>
                      <w:u w:val="single"/>
                      <w:lang w:val="en-US" w:eastAsia="zh-CN"/>
                    </w:rPr>
                  </w:pPr>
                  <w:r>
                    <w:rPr>
                      <w:rFonts w:hint="eastAsia"/>
                      <w:color w:val="000000"/>
                      <w:sz w:val="21"/>
                      <w:szCs w:val="21"/>
                      <w:highlight w:val="none"/>
                      <w:u w:val="single"/>
                      <w:lang w:val="en-US" w:eastAsia="zh-CN"/>
                    </w:rPr>
                    <w:t>粉煤灰装车过程中因操作不当易造成“粉尘爆罐”现象，粉尘大量泄漏，造成大气污染</w:t>
                  </w:r>
                </w:p>
              </w:tc>
              <w:tc>
                <w:tcPr>
                  <w:tcW w:w="2512" w:type="pct"/>
                  <w:tcBorders>
                    <w:tl2br w:val="nil"/>
                    <w:tr2bl w:val="nil"/>
                  </w:tcBorders>
                  <w:vAlign w:val="center"/>
                </w:tcPr>
                <w:p w14:paraId="329AB032">
                  <w:pPr>
                    <w:spacing w:line="240" w:lineRule="auto"/>
                    <w:ind w:firstLine="0" w:firstLineChars="0"/>
                    <w:jc w:val="both"/>
                    <w:rPr>
                      <w:rFonts w:hint="eastAsia"/>
                      <w:color w:val="000000"/>
                      <w:sz w:val="21"/>
                      <w:szCs w:val="21"/>
                      <w:highlight w:val="none"/>
                      <w:u w:val="single"/>
                      <w:lang w:val="en-US" w:eastAsia="zh-CN"/>
                    </w:rPr>
                  </w:pPr>
                  <w:r>
                    <w:rPr>
                      <w:rFonts w:hint="eastAsia"/>
                      <w:color w:val="000000"/>
                      <w:sz w:val="21"/>
                      <w:szCs w:val="21"/>
                      <w:highlight w:val="none"/>
                      <w:u w:val="single"/>
                      <w:lang w:val="en-US" w:eastAsia="zh-CN"/>
                    </w:rPr>
                    <w:t>①规范操作：作业前必须检查罐体压力，打开泄压阀排尽余气；作业中全程监控压力表；严禁超载；</w:t>
                  </w:r>
                </w:p>
                <w:p w14:paraId="2175848D">
                  <w:pPr>
                    <w:spacing w:line="240" w:lineRule="auto"/>
                    <w:ind w:firstLine="0" w:firstLineChars="0"/>
                    <w:jc w:val="both"/>
                    <w:rPr>
                      <w:rFonts w:hint="default"/>
                      <w:color w:val="000000"/>
                      <w:sz w:val="21"/>
                      <w:szCs w:val="21"/>
                      <w:highlight w:val="none"/>
                      <w:u w:val="single"/>
                      <w:lang w:val="en-US" w:eastAsia="zh-CN"/>
                    </w:rPr>
                  </w:pPr>
                  <w:r>
                    <w:rPr>
                      <w:rFonts w:hint="eastAsia"/>
                      <w:color w:val="000000"/>
                      <w:sz w:val="21"/>
                      <w:szCs w:val="21"/>
                      <w:highlight w:val="none"/>
                      <w:u w:val="single"/>
                      <w:lang w:val="en-US" w:eastAsia="zh-CN"/>
                    </w:rPr>
                    <w:t>②规范操作：作业前必须检查罐体压力，打开泄压阀排尽余气；作业中全程监控压力表；严禁超载</w:t>
                  </w:r>
                </w:p>
              </w:tc>
            </w:tr>
          </w:tbl>
          <w:p w14:paraId="0C87AA1B">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jc w:val="center"/>
              <w:textAlignment w:val="auto"/>
              <w:rPr>
                <w:rFonts w:hint="default"/>
                <w:sz w:val="24"/>
                <w:u w:val="none"/>
                <w:lang w:val="en-US" w:eastAsia="zh-CN"/>
              </w:rPr>
            </w:pPr>
          </w:p>
        </w:tc>
      </w:tr>
    </w:tbl>
    <w:p w14:paraId="652B98B8">
      <w:pPr>
        <w:pStyle w:val="25"/>
        <w:jc w:val="center"/>
        <w:rPr>
          <w:rFonts w:eastAsia="黑体"/>
          <w:snapToGrid w:val="0"/>
          <w:sz w:val="36"/>
          <w:szCs w:val="36"/>
        </w:rPr>
        <w:sectPr>
          <w:footerReference r:id="rId15" w:type="default"/>
          <w:pgSz w:w="11906" w:h="16838"/>
          <w:pgMar w:top="1418" w:right="1418" w:bottom="1418" w:left="1701" w:header="851" w:footer="992" w:gutter="0"/>
          <w:pgBorders>
            <w:top w:val="none" w:sz="0" w:space="0"/>
            <w:left w:val="none" w:sz="0" w:space="0"/>
            <w:bottom w:val="none" w:sz="0" w:space="0"/>
            <w:right w:val="none" w:sz="0" w:space="0"/>
          </w:pgBorders>
          <w:cols w:space="720" w:num="1"/>
          <w:docGrid w:linePitch="326" w:charSpace="0"/>
        </w:sectPr>
      </w:pPr>
    </w:p>
    <w:p w14:paraId="56E30868">
      <w:pPr>
        <w:pStyle w:val="25"/>
        <w:adjustRightInd w:val="0"/>
        <w:snapToGrid w:val="0"/>
        <w:spacing w:before="0" w:beforeAutospacing="0" w:after="0" w:afterAutospacing="0" w:line="14" w:lineRule="auto"/>
        <w:ind w:firstLine="600"/>
        <w:jc w:val="center"/>
        <w:rPr>
          <w:rFonts w:eastAsia="黑体"/>
          <w:snapToGrid w:val="0"/>
          <w:sz w:val="30"/>
          <w:szCs w:val="30"/>
        </w:rPr>
      </w:pPr>
    </w:p>
    <w:p w14:paraId="5EC662EF">
      <w:pPr>
        <w:pStyle w:val="2"/>
        <w:numPr>
          <w:ilvl w:val="255"/>
          <w:numId w:val="0"/>
        </w:numPr>
        <w:spacing w:before="0" w:beforeLines="0" w:after="120" w:afterLines="50"/>
        <w:jc w:val="center"/>
        <w:rPr>
          <w:snapToGrid w:val="0"/>
        </w:rPr>
      </w:pPr>
      <w:bookmarkStart w:id="81" w:name="_Toc9357"/>
      <w:bookmarkStart w:id="82" w:name="_Toc26370"/>
      <w:bookmarkStart w:id="83" w:name="_Toc25403"/>
      <w:bookmarkStart w:id="84" w:name="_Toc6663"/>
      <w:bookmarkStart w:id="85" w:name="_Toc21832"/>
      <w:bookmarkStart w:id="86" w:name="_Toc19862"/>
      <w:bookmarkStart w:id="87" w:name="_Toc1302"/>
      <w:bookmarkStart w:id="88" w:name="_Toc24270"/>
      <w:bookmarkStart w:id="89" w:name="_Toc17196"/>
      <w:bookmarkStart w:id="90" w:name="_Toc16744"/>
      <w:bookmarkStart w:id="91" w:name="_Toc19501"/>
      <w:bookmarkStart w:id="92" w:name="_Toc14818"/>
      <w:bookmarkStart w:id="93" w:name="_Toc1072"/>
      <w:bookmarkStart w:id="94" w:name="_Toc19544"/>
      <w:bookmarkStart w:id="95" w:name="_Toc10754"/>
      <w:bookmarkStart w:id="96" w:name="_Toc13144"/>
      <w:bookmarkStart w:id="97" w:name="_Toc581"/>
      <w:r>
        <w:rPr>
          <w:snapToGrid w:val="0"/>
        </w:rPr>
        <w:t>三、区域环境质量现状、环境保护目标及评价标准</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tbl>
      <w:tblPr>
        <w:tblStyle w:val="3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1"/>
        <w:gridCol w:w="8403"/>
      </w:tblGrid>
      <w:tr w14:paraId="312FCA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58" w:hRule="atLeast"/>
          <w:jc w:val="center"/>
        </w:trPr>
        <w:tc>
          <w:tcPr>
            <w:tcW w:w="334" w:type="pct"/>
            <w:vAlign w:val="center"/>
          </w:tcPr>
          <w:p w14:paraId="7BCE4CE7">
            <w:pPr>
              <w:autoSpaceDE w:val="0"/>
              <w:autoSpaceDN w:val="0"/>
              <w:adjustRightInd w:val="0"/>
              <w:snapToGrid w:val="0"/>
              <w:spacing w:line="240" w:lineRule="auto"/>
              <w:ind w:firstLine="0" w:firstLineChars="0"/>
              <w:jc w:val="center"/>
              <w:rPr>
                <w:szCs w:val="21"/>
              </w:rPr>
            </w:pPr>
            <w:r>
              <w:rPr>
                <w:szCs w:val="21"/>
              </w:rPr>
              <w:t>区域环境质量现状</w:t>
            </w:r>
          </w:p>
        </w:tc>
        <w:tc>
          <w:tcPr>
            <w:tcW w:w="4665" w:type="pct"/>
            <w:vAlign w:val="center"/>
          </w:tcPr>
          <w:p w14:paraId="34693134">
            <w:pPr>
              <w:numPr>
                <w:ilvl w:val="0"/>
                <w:numId w:val="23"/>
              </w:numPr>
              <w:autoSpaceDE w:val="0"/>
              <w:autoSpaceDN w:val="0"/>
              <w:adjustRightInd w:val="0"/>
              <w:snapToGrid w:val="0"/>
              <w:ind w:left="0" w:firstLine="0" w:firstLineChars="0"/>
              <w:rPr>
                <w:b/>
              </w:rPr>
            </w:pPr>
            <w:r>
              <w:rPr>
                <w:rFonts w:hint="eastAsia"/>
                <w:b/>
              </w:rPr>
              <w:t>环境空气质量现状</w:t>
            </w:r>
          </w:p>
          <w:p w14:paraId="42917853">
            <w:pPr>
              <w:numPr>
                <w:ilvl w:val="0"/>
                <w:numId w:val="24"/>
              </w:numPr>
              <w:autoSpaceDE w:val="0"/>
              <w:autoSpaceDN w:val="0"/>
              <w:adjustRightInd w:val="0"/>
              <w:snapToGrid w:val="0"/>
              <w:ind w:firstLine="480"/>
              <w:rPr>
                <w:szCs w:val="21"/>
              </w:rPr>
            </w:pPr>
            <w:r>
              <w:rPr>
                <w:rFonts w:hint="eastAsia"/>
                <w:szCs w:val="21"/>
              </w:rPr>
              <w:t>常规因子监测数据</w:t>
            </w:r>
          </w:p>
          <w:p w14:paraId="61C1D939">
            <w:pPr>
              <w:autoSpaceDE w:val="0"/>
              <w:autoSpaceDN w:val="0"/>
              <w:adjustRightInd w:val="0"/>
              <w:snapToGrid w:val="0"/>
              <w:ind w:firstLine="480"/>
              <w:rPr>
                <w:bCs/>
              </w:rPr>
            </w:pPr>
            <w:r>
              <w:rPr>
                <w:rFonts w:hint="eastAsia"/>
              </w:rPr>
              <w:t>本项目位于湖南省岳阳市</w:t>
            </w:r>
            <w:r>
              <w:rPr>
                <w:rFonts w:hint="eastAsia" w:ascii="Times New Roman" w:hAnsi="Times New Roman" w:eastAsia="宋体" w:cs="Times New Roman"/>
              </w:rPr>
              <w:t>岳阳楼区</w:t>
            </w:r>
            <w:r>
              <w:rPr>
                <w:rFonts w:hint="eastAsia"/>
                <w:lang w:val="en-US" w:eastAsia="zh-CN"/>
              </w:rPr>
              <w:t>城陵矶</w:t>
            </w:r>
            <w:r>
              <w:rPr>
                <w:rFonts w:hint="eastAsia" w:ascii="Times New Roman" w:hAnsi="Times New Roman" w:eastAsia="宋体" w:cs="Times New Roman"/>
              </w:rPr>
              <w:t>月冲路</w:t>
            </w:r>
            <w:r>
              <w:rPr>
                <w:rFonts w:hint="eastAsia"/>
              </w:rPr>
              <w:t>，</w:t>
            </w:r>
            <w:r>
              <w:rPr>
                <w:rFonts w:hint="eastAsia"/>
                <w:lang w:val="en-US" w:eastAsia="zh-CN"/>
              </w:rPr>
              <w:t>根据</w:t>
            </w:r>
            <w:r>
              <w:rPr>
                <w:rFonts w:hint="eastAsia"/>
                <w:bCs/>
                <w:lang w:val="en-US" w:eastAsia="zh-CN"/>
              </w:rPr>
              <w:t>岳阳市生态环境局公布的《岳阳市2025年度生态环境质量公报》</w:t>
            </w:r>
            <w:r>
              <w:rPr>
                <w:rFonts w:hint="eastAsia"/>
                <w:bCs/>
              </w:rPr>
              <w:t>，具体数据统计情况如下。</w:t>
            </w:r>
          </w:p>
          <w:p w14:paraId="64B74E13">
            <w:pPr>
              <w:pStyle w:val="379"/>
              <w:keepNext w:val="0"/>
              <w:keepLines w:val="0"/>
              <w:pageBreakBefore w:val="0"/>
              <w:widowControl w:val="0"/>
              <w:numPr>
                <w:ilvl w:val="0"/>
                <w:numId w:val="25"/>
              </w:numPr>
              <w:kinsoku/>
              <w:wordWrap/>
              <w:overflowPunct/>
              <w:topLinePunct w:val="0"/>
              <w:autoSpaceDE/>
              <w:autoSpaceDN/>
              <w:bidi w:val="0"/>
              <w:adjustRightInd/>
              <w:snapToGrid/>
              <w:spacing w:line="240" w:lineRule="auto"/>
              <w:textAlignment w:val="auto"/>
            </w:pPr>
            <w:r>
              <w:rPr>
                <w:rFonts w:hint="eastAsia"/>
                <w:b/>
                <w:bCs/>
              </w:rPr>
              <w:t>202</w:t>
            </w:r>
            <w:r>
              <w:rPr>
                <w:rFonts w:hint="eastAsia"/>
                <w:b/>
                <w:bCs/>
                <w:lang w:val="en-US" w:eastAsia="zh-CN"/>
              </w:rPr>
              <w:t>5</w:t>
            </w:r>
            <w:r>
              <w:rPr>
                <w:rFonts w:hint="eastAsia"/>
                <w:b/>
                <w:bCs/>
              </w:rPr>
              <w:t>年岳阳市空气质量现状评价表</w:t>
            </w:r>
          </w:p>
          <w:tbl>
            <w:tblPr>
              <w:tblStyle w:val="31"/>
              <w:tblW w:w="49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8"/>
              <w:gridCol w:w="2431"/>
              <w:gridCol w:w="1283"/>
              <w:gridCol w:w="1452"/>
              <w:gridCol w:w="1157"/>
              <w:gridCol w:w="968"/>
            </w:tblGrid>
            <w:tr w14:paraId="1EC798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526" w:type="pct"/>
                  <w:tcBorders>
                    <w:tl2br w:val="nil"/>
                    <w:tr2bl w:val="nil"/>
                  </w:tcBorders>
                  <w:vAlign w:val="center"/>
                </w:tcPr>
                <w:p w14:paraId="673B1E18">
                  <w:pPr>
                    <w:pStyle w:val="48"/>
                    <w:rPr>
                      <w:b/>
                      <w:bCs/>
                    </w:rPr>
                  </w:pPr>
                  <w:r>
                    <w:rPr>
                      <w:b/>
                      <w:bCs/>
                    </w:rPr>
                    <w:t>污染物</w:t>
                  </w:r>
                </w:p>
              </w:tc>
              <w:tc>
                <w:tcPr>
                  <w:tcW w:w="1490" w:type="pct"/>
                  <w:tcBorders>
                    <w:tl2br w:val="nil"/>
                    <w:tr2bl w:val="nil"/>
                  </w:tcBorders>
                  <w:vAlign w:val="center"/>
                </w:tcPr>
                <w:p w14:paraId="61FE6DD6">
                  <w:pPr>
                    <w:pStyle w:val="48"/>
                    <w:rPr>
                      <w:b/>
                      <w:bCs/>
                    </w:rPr>
                  </w:pPr>
                  <w:r>
                    <w:rPr>
                      <w:rFonts w:hint="eastAsia"/>
                      <w:b/>
                      <w:bCs/>
                    </w:rPr>
                    <w:t>年度</w:t>
                  </w:r>
                  <w:r>
                    <w:rPr>
                      <w:b/>
                      <w:bCs/>
                    </w:rPr>
                    <w:t>评价指标</w:t>
                  </w:r>
                </w:p>
              </w:tc>
              <w:tc>
                <w:tcPr>
                  <w:tcW w:w="787" w:type="pct"/>
                  <w:tcBorders>
                    <w:tl2br w:val="nil"/>
                    <w:tr2bl w:val="nil"/>
                  </w:tcBorders>
                  <w:vAlign w:val="center"/>
                </w:tcPr>
                <w:p w14:paraId="78C892E4">
                  <w:pPr>
                    <w:pStyle w:val="48"/>
                    <w:rPr>
                      <w:b/>
                      <w:bCs/>
                    </w:rPr>
                  </w:pPr>
                  <w:r>
                    <w:rPr>
                      <w:b/>
                      <w:bCs/>
                    </w:rPr>
                    <w:t>现状浓度（μg/</w:t>
                  </w:r>
                  <w:r>
                    <w:rPr>
                      <w:rFonts w:hint="eastAsia"/>
                      <w:b/>
                      <w:bCs/>
                    </w:rPr>
                    <w:t>m</w:t>
                  </w:r>
                  <w:r>
                    <w:rPr>
                      <w:rFonts w:hint="eastAsia"/>
                      <w:b/>
                      <w:bCs/>
                      <w:vertAlign w:val="superscript"/>
                    </w:rPr>
                    <w:t>3</w:t>
                  </w:r>
                  <w:r>
                    <w:rPr>
                      <w:b/>
                      <w:bCs/>
                    </w:rPr>
                    <w:t>）</w:t>
                  </w:r>
                </w:p>
              </w:tc>
              <w:tc>
                <w:tcPr>
                  <w:tcW w:w="890" w:type="pct"/>
                  <w:tcBorders>
                    <w:tl2br w:val="nil"/>
                    <w:tr2bl w:val="nil"/>
                  </w:tcBorders>
                  <w:vAlign w:val="center"/>
                </w:tcPr>
                <w:p w14:paraId="41B8211A">
                  <w:pPr>
                    <w:pStyle w:val="48"/>
                    <w:rPr>
                      <w:rFonts w:cstheme="minorBidi"/>
                      <w:b/>
                      <w:bCs/>
                      <w:kern w:val="2"/>
                    </w:rPr>
                  </w:pPr>
                  <w:r>
                    <w:rPr>
                      <w:b/>
                      <w:bCs/>
                    </w:rPr>
                    <w:t>标准值（μg/</w:t>
                  </w:r>
                  <w:r>
                    <w:rPr>
                      <w:rFonts w:hint="eastAsia"/>
                      <w:b/>
                      <w:bCs/>
                    </w:rPr>
                    <w:t>m</w:t>
                  </w:r>
                  <w:r>
                    <w:rPr>
                      <w:rFonts w:hint="eastAsia"/>
                      <w:b/>
                      <w:bCs/>
                      <w:vertAlign w:val="superscript"/>
                    </w:rPr>
                    <w:t>3</w:t>
                  </w:r>
                  <w:r>
                    <w:rPr>
                      <w:b/>
                      <w:bCs/>
                    </w:rPr>
                    <w:t>）</w:t>
                  </w:r>
                </w:p>
              </w:tc>
              <w:tc>
                <w:tcPr>
                  <w:tcW w:w="710" w:type="pct"/>
                  <w:tcBorders>
                    <w:tl2br w:val="nil"/>
                    <w:tr2bl w:val="nil"/>
                  </w:tcBorders>
                  <w:vAlign w:val="center"/>
                </w:tcPr>
                <w:p w14:paraId="4FDAA80E">
                  <w:pPr>
                    <w:pStyle w:val="48"/>
                    <w:rPr>
                      <w:b/>
                      <w:bCs/>
                    </w:rPr>
                  </w:pPr>
                  <w:r>
                    <w:rPr>
                      <w:b/>
                      <w:bCs/>
                    </w:rPr>
                    <w:t>占标率/%</w:t>
                  </w:r>
                </w:p>
              </w:tc>
              <w:tc>
                <w:tcPr>
                  <w:tcW w:w="594" w:type="pct"/>
                  <w:tcBorders>
                    <w:tl2br w:val="nil"/>
                    <w:tr2bl w:val="nil"/>
                  </w:tcBorders>
                  <w:vAlign w:val="center"/>
                </w:tcPr>
                <w:p w14:paraId="126DF11D">
                  <w:pPr>
                    <w:pStyle w:val="48"/>
                    <w:rPr>
                      <w:b/>
                      <w:bCs/>
                    </w:rPr>
                  </w:pPr>
                  <w:r>
                    <w:rPr>
                      <w:b/>
                      <w:bCs/>
                    </w:rPr>
                    <w:t>达标情况</w:t>
                  </w:r>
                </w:p>
              </w:tc>
            </w:tr>
            <w:tr w14:paraId="48C8F3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pct"/>
                  <w:tcBorders>
                    <w:tl2br w:val="nil"/>
                    <w:tr2bl w:val="nil"/>
                  </w:tcBorders>
                  <w:vAlign w:val="center"/>
                </w:tcPr>
                <w:p w14:paraId="6A3A5A47">
                  <w:pPr>
                    <w:pStyle w:val="48"/>
                  </w:pPr>
                  <w:r>
                    <w:t>SO</w:t>
                  </w:r>
                  <w:r>
                    <w:rPr>
                      <w:vertAlign w:val="subscript"/>
                    </w:rPr>
                    <w:t>2</w:t>
                  </w:r>
                </w:p>
              </w:tc>
              <w:tc>
                <w:tcPr>
                  <w:tcW w:w="2436" w:type="dxa"/>
                  <w:tcBorders>
                    <w:tl2br w:val="nil"/>
                    <w:tr2bl w:val="nil"/>
                  </w:tcBorders>
                  <w:vAlign w:val="center"/>
                </w:tcPr>
                <w:p w14:paraId="5BA63FAA">
                  <w:pPr>
                    <w:pStyle w:val="9"/>
                    <w:widowControl w:val="0"/>
                  </w:pPr>
                  <w:r>
                    <w:rPr>
                      <w:rFonts w:hint="eastAsia"/>
                    </w:rPr>
                    <w:t>年平均质量浓度</w:t>
                  </w:r>
                </w:p>
              </w:tc>
              <w:tc>
                <w:tcPr>
                  <w:tcW w:w="787" w:type="pct"/>
                  <w:tcBorders>
                    <w:tl2br w:val="nil"/>
                    <w:tr2bl w:val="nil"/>
                  </w:tcBorders>
                  <w:vAlign w:val="center"/>
                </w:tcPr>
                <w:p w14:paraId="13E54FDA">
                  <w:pPr>
                    <w:pStyle w:val="48"/>
                    <w:rPr>
                      <w:rFonts w:hint="eastAsia" w:eastAsia="宋体"/>
                      <w:lang w:eastAsia="zh-CN"/>
                    </w:rPr>
                  </w:pPr>
                  <w:r>
                    <w:rPr>
                      <w:rFonts w:hint="eastAsia"/>
                      <w:lang w:val="en-US" w:eastAsia="zh-CN"/>
                    </w:rPr>
                    <w:t>8</w:t>
                  </w:r>
                </w:p>
              </w:tc>
              <w:tc>
                <w:tcPr>
                  <w:tcW w:w="890" w:type="pct"/>
                  <w:tcBorders>
                    <w:tl2br w:val="nil"/>
                    <w:tr2bl w:val="nil"/>
                  </w:tcBorders>
                  <w:vAlign w:val="center"/>
                </w:tcPr>
                <w:p w14:paraId="5F3511AB">
                  <w:pPr>
                    <w:pStyle w:val="48"/>
                    <w:rPr>
                      <w:rFonts w:cstheme="minorBidi"/>
                      <w:kern w:val="2"/>
                    </w:rPr>
                  </w:pPr>
                  <w:r>
                    <w:rPr>
                      <w:rFonts w:hint="eastAsia"/>
                      <w:lang w:eastAsia="zh-CN"/>
                    </w:rPr>
                    <w:t>2</w:t>
                  </w:r>
                  <w:r>
                    <w:rPr>
                      <w:rFonts w:hint="eastAsia"/>
                      <w:lang w:val="en-US" w:eastAsia="zh-CN"/>
                    </w:rPr>
                    <w:t>0</w:t>
                  </w:r>
                </w:p>
              </w:tc>
              <w:tc>
                <w:tcPr>
                  <w:tcW w:w="710" w:type="pct"/>
                  <w:tcBorders>
                    <w:tl2br w:val="nil"/>
                    <w:tr2bl w:val="nil"/>
                  </w:tcBorders>
                  <w:vAlign w:val="center"/>
                </w:tcPr>
                <w:p w14:paraId="11F3C529">
                  <w:pPr>
                    <w:pStyle w:val="48"/>
                    <w:rPr>
                      <w:rFonts w:hint="default" w:eastAsia="宋体"/>
                      <w:lang w:val="en-US" w:eastAsia="zh-CN"/>
                    </w:rPr>
                  </w:pPr>
                  <w:r>
                    <w:rPr>
                      <w:rFonts w:hint="eastAsia"/>
                      <w:lang w:val="en-US" w:eastAsia="zh-CN"/>
                    </w:rPr>
                    <w:t>40</w:t>
                  </w:r>
                </w:p>
              </w:tc>
              <w:tc>
                <w:tcPr>
                  <w:tcW w:w="594" w:type="pct"/>
                  <w:tcBorders>
                    <w:tl2br w:val="nil"/>
                    <w:tr2bl w:val="nil"/>
                  </w:tcBorders>
                  <w:vAlign w:val="center"/>
                </w:tcPr>
                <w:p w14:paraId="4FDF68EC">
                  <w:pPr>
                    <w:pStyle w:val="48"/>
                  </w:pPr>
                  <w:r>
                    <w:t>达标</w:t>
                  </w:r>
                </w:p>
              </w:tc>
            </w:tr>
            <w:tr w14:paraId="3B50AE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pct"/>
                  <w:tcBorders>
                    <w:tl2br w:val="nil"/>
                    <w:tr2bl w:val="nil"/>
                  </w:tcBorders>
                  <w:vAlign w:val="center"/>
                </w:tcPr>
                <w:p w14:paraId="6043F01E">
                  <w:pPr>
                    <w:pStyle w:val="48"/>
                  </w:pPr>
                  <w:r>
                    <w:t>NO</w:t>
                  </w:r>
                  <w:r>
                    <w:rPr>
                      <w:vertAlign w:val="subscript"/>
                    </w:rPr>
                    <w:t>2</w:t>
                  </w:r>
                </w:p>
              </w:tc>
              <w:tc>
                <w:tcPr>
                  <w:tcW w:w="2436" w:type="dxa"/>
                  <w:tcBorders>
                    <w:tl2br w:val="nil"/>
                    <w:tr2bl w:val="nil"/>
                  </w:tcBorders>
                  <w:vAlign w:val="center"/>
                </w:tcPr>
                <w:p w14:paraId="295FA13E">
                  <w:pPr>
                    <w:pStyle w:val="9"/>
                    <w:widowControl w:val="0"/>
                  </w:pPr>
                  <w:r>
                    <w:rPr>
                      <w:rFonts w:hint="eastAsia"/>
                    </w:rPr>
                    <w:t>年平均质量浓度</w:t>
                  </w:r>
                </w:p>
              </w:tc>
              <w:tc>
                <w:tcPr>
                  <w:tcW w:w="787" w:type="pct"/>
                  <w:tcBorders>
                    <w:tl2br w:val="nil"/>
                    <w:tr2bl w:val="nil"/>
                  </w:tcBorders>
                  <w:vAlign w:val="center"/>
                </w:tcPr>
                <w:p w14:paraId="54B9820B">
                  <w:pPr>
                    <w:pStyle w:val="48"/>
                    <w:rPr>
                      <w:rFonts w:hint="default" w:eastAsia="宋体"/>
                      <w:lang w:val="en-US" w:eastAsia="zh-CN"/>
                    </w:rPr>
                  </w:pPr>
                  <w:r>
                    <w:rPr>
                      <w:rFonts w:hint="eastAsia"/>
                      <w:lang w:val="en-US" w:eastAsia="zh-CN"/>
                    </w:rPr>
                    <w:t>21</w:t>
                  </w:r>
                </w:p>
              </w:tc>
              <w:tc>
                <w:tcPr>
                  <w:tcW w:w="890" w:type="pct"/>
                  <w:tcBorders>
                    <w:tl2br w:val="nil"/>
                    <w:tr2bl w:val="nil"/>
                  </w:tcBorders>
                  <w:vAlign w:val="center"/>
                </w:tcPr>
                <w:p w14:paraId="6BBEB483">
                  <w:pPr>
                    <w:pStyle w:val="48"/>
                    <w:rPr>
                      <w:rFonts w:cstheme="minorBidi"/>
                      <w:kern w:val="2"/>
                    </w:rPr>
                  </w:pPr>
                  <w:r>
                    <w:rPr>
                      <w:rFonts w:hint="eastAsia"/>
                      <w:lang w:val="en-US" w:eastAsia="zh-CN"/>
                    </w:rPr>
                    <w:t>30</w:t>
                  </w:r>
                </w:p>
              </w:tc>
              <w:tc>
                <w:tcPr>
                  <w:tcW w:w="710" w:type="pct"/>
                  <w:tcBorders>
                    <w:tl2br w:val="nil"/>
                    <w:tr2bl w:val="nil"/>
                  </w:tcBorders>
                  <w:vAlign w:val="center"/>
                </w:tcPr>
                <w:p w14:paraId="0E200199">
                  <w:pPr>
                    <w:pStyle w:val="48"/>
                    <w:rPr>
                      <w:rFonts w:hint="default" w:eastAsia="宋体"/>
                      <w:lang w:val="en-US" w:eastAsia="zh-CN"/>
                    </w:rPr>
                  </w:pPr>
                  <w:r>
                    <w:rPr>
                      <w:rFonts w:hint="eastAsia"/>
                      <w:lang w:val="en-US" w:eastAsia="zh-CN"/>
                    </w:rPr>
                    <w:t>70</w:t>
                  </w:r>
                </w:p>
              </w:tc>
              <w:tc>
                <w:tcPr>
                  <w:tcW w:w="594" w:type="pct"/>
                  <w:tcBorders>
                    <w:tl2br w:val="nil"/>
                    <w:tr2bl w:val="nil"/>
                  </w:tcBorders>
                  <w:vAlign w:val="center"/>
                </w:tcPr>
                <w:p w14:paraId="7CEA15BB">
                  <w:pPr>
                    <w:pStyle w:val="48"/>
                  </w:pPr>
                  <w:r>
                    <w:t>达标</w:t>
                  </w:r>
                </w:p>
              </w:tc>
            </w:tr>
            <w:tr w14:paraId="189C5C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pct"/>
                  <w:tcBorders>
                    <w:tl2br w:val="nil"/>
                    <w:tr2bl w:val="nil"/>
                  </w:tcBorders>
                  <w:vAlign w:val="center"/>
                </w:tcPr>
                <w:p w14:paraId="2139CF41">
                  <w:pPr>
                    <w:pStyle w:val="48"/>
                  </w:pPr>
                  <w:r>
                    <w:t>PM</w:t>
                  </w:r>
                  <w:r>
                    <w:rPr>
                      <w:vertAlign w:val="subscript"/>
                    </w:rPr>
                    <w:t>10</w:t>
                  </w:r>
                </w:p>
              </w:tc>
              <w:tc>
                <w:tcPr>
                  <w:tcW w:w="2436" w:type="dxa"/>
                  <w:tcBorders>
                    <w:tl2br w:val="nil"/>
                    <w:tr2bl w:val="nil"/>
                  </w:tcBorders>
                  <w:vAlign w:val="center"/>
                </w:tcPr>
                <w:p w14:paraId="41D0A9B5">
                  <w:pPr>
                    <w:pStyle w:val="9"/>
                    <w:widowControl w:val="0"/>
                  </w:pPr>
                  <w:r>
                    <w:rPr>
                      <w:rFonts w:hint="eastAsia"/>
                    </w:rPr>
                    <w:t>年平均质量浓度</w:t>
                  </w:r>
                </w:p>
              </w:tc>
              <w:tc>
                <w:tcPr>
                  <w:tcW w:w="787" w:type="pct"/>
                  <w:tcBorders>
                    <w:tl2br w:val="nil"/>
                    <w:tr2bl w:val="nil"/>
                  </w:tcBorders>
                  <w:vAlign w:val="center"/>
                </w:tcPr>
                <w:p w14:paraId="7D0B6E53">
                  <w:pPr>
                    <w:pStyle w:val="48"/>
                    <w:rPr>
                      <w:rFonts w:hint="default" w:eastAsia="宋体"/>
                      <w:lang w:val="en-US" w:eastAsia="zh-CN"/>
                    </w:rPr>
                  </w:pPr>
                  <w:r>
                    <w:rPr>
                      <w:rFonts w:hint="eastAsia"/>
                      <w:lang w:val="en-US" w:eastAsia="zh-CN"/>
                    </w:rPr>
                    <w:t>50</w:t>
                  </w:r>
                </w:p>
              </w:tc>
              <w:tc>
                <w:tcPr>
                  <w:tcW w:w="890" w:type="pct"/>
                  <w:tcBorders>
                    <w:tl2br w:val="nil"/>
                    <w:tr2bl w:val="nil"/>
                  </w:tcBorders>
                  <w:vAlign w:val="center"/>
                </w:tcPr>
                <w:p w14:paraId="3A9463BC">
                  <w:pPr>
                    <w:pStyle w:val="48"/>
                    <w:rPr>
                      <w:rFonts w:cstheme="minorBidi"/>
                      <w:kern w:val="2"/>
                    </w:rPr>
                  </w:pPr>
                  <w:r>
                    <w:rPr>
                      <w:rFonts w:hint="eastAsia"/>
                      <w:lang w:val="en-US" w:eastAsia="zh-CN"/>
                    </w:rPr>
                    <w:t>50</w:t>
                  </w:r>
                </w:p>
              </w:tc>
              <w:tc>
                <w:tcPr>
                  <w:tcW w:w="710" w:type="pct"/>
                  <w:tcBorders>
                    <w:tl2br w:val="nil"/>
                    <w:tr2bl w:val="nil"/>
                  </w:tcBorders>
                  <w:vAlign w:val="center"/>
                </w:tcPr>
                <w:p w14:paraId="69C2E741">
                  <w:pPr>
                    <w:pStyle w:val="48"/>
                    <w:rPr>
                      <w:rFonts w:hint="default" w:eastAsia="宋体"/>
                      <w:lang w:val="en-US" w:eastAsia="zh-CN"/>
                    </w:rPr>
                  </w:pPr>
                  <w:r>
                    <w:rPr>
                      <w:rFonts w:hint="eastAsia"/>
                      <w:lang w:val="en-US" w:eastAsia="zh-CN"/>
                    </w:rPr>
                    <w:t>100</w:t>
                  </w:r>
                </w:p>
              </w:tc>
              <w:tc>
                <w:tcPr>
                  <w:tcW w:w="594" w:type="pct"/>
                  <w:tcBorders>
                    <w:tl2br w:val="nil"/>
                    <w:tr2bl w:val="nil"/>
                  </w:tcBorders>
                  <w:vAlign w:val="center"/>
                </w:tcPr>
                <w:p w14:paraId="752E9F26">
                  <w:pPr>
                    <w:pStyle w:val="48"/>
                  </w:pPr>
                  <w:r>
                    <w:t>达标</w:t>
                  </w:r>
                </w:p>
              </w:tc>
            </w:tr>
            <w:tr w14:paraId="32C41B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pct"/>
                  <w:tcBorders>
                    <w:tl2br w:val="nil"/>
                    <w:tr2bl w:val="nil"/>
                  </w:tcBorders>
                  <w:vAlign w:val="center"/>
                </w:tcPr>
                <w:p w14:paraId="418D0A27">
                  <w:pPr>
                    <w:pStyle w:val="48"/>
                  </w:pPr>
                  <w:r>
                    <w:t>PM</w:t>
                  </w:r>
                  <w:r>
                    <w:rPr>
                      <w:vertAlign w:val="subscript"/>
                    </w:rPr>
                    <w:t>2.5</w:t>
                  </w:r>
                </w:p>
              </w:tc>
              <w:tc>
                <w:tcPr>
                  <w:tcW w:w="2436" w:type="dxa"/>
                  <w:tcBorders>
                    <w:tl2br w:val="nil"/>
                    <w:tr2bl w:val="nil"/>
                  </w:tcBorders>
                  <w:vAlign w:val="center"/>
                </w:tcPr>
                <w:p w14:paraId="5ACB4565">
                  <w:pPr>
                    <w:pStyle w:val="9"/>
                    <w:widowControl w:val="0"/>
                  </w:pPr>
                  <w:r>
                    <w:rPr>
                      <w:rFonts w:hint="eastAsia"/>
                    </w:rPr>
                    <w:t>年平均质量浓度</w:t>
                  </w:r>
                </w:p>
              </w:tc>
              <w:tc>
                <w:tcPr>
                  <w:tcW w:w="787" w:type="pct"/>
                  <w:tcBorders>
                    <w:tl2br w:val="nil"/>
                    <w:tr2bl w:val="nil"/>
                  </w:tcBorders>
                  <w:vAlign w:val="center"/>
                </w:tcPr>
                <w:p w14:paraId="43321B9E">
                  <w:pPr>
                    <w:pStyle w:val="48"/>
                    <w:rPr>
                      <w:rFonts w:hint="default" w:eastAsia="宋体"/>
                      <w:lang w:val="en-US" w:eastAsia="zh-CN"/>
                    </w:rPr>
                  </w:pPr>
                  <w:r>
                    <w:rPr>
                      <w:rFonts w:hint="eastAsia"/>
                      <w:lang w:val="en-US" w:eastAsia="zh-CN"/>
                    </w:rPr>
                    <w:t>34.9</w:t>
                  </w:r>
                </w:p>
              </w:tc>
              <w:tc>
                <w:tcPr>
                  <w:tcW w:w="890" w:type="pct"/>
                  <w:tcBorders>
                    <w:tl2br w:val="nil"/>
                    <w:tr2bl w:val="nil"/>
                  </w:tcBorders>
                  <w:vAlign w:val="center"/>
                </w:tcPr>
                <w:p w14:paraId="745A53C3">
                  <w:pPr>
                    <w:pStyle w:val="48"/>
                    <w:rPr>
                      <w:rFonts w:cstheme="minorBidi"/>
                      <w:kern w:val="2"/>
                    </w:rPr>
                  </w:pPr>
                  <w:r>
                    <w:rPr>
                      <w:rFonts w:hint="eastAsia"/>
                      <w:lang w:val="en-US" w:eastAsia="zh-CN"/>
                    </w:rPr>
                    <w:t>25</w:t>
                  </w:r>
                </w:p>
              </w:tc>
              <w:tc>
                <w:tcPr>
                  <w:tcW w:w="710" w:type="pct"/>
                  <w:tcBorders>
                    <w:tl2br w:val="nil"/>
                    <w:tr2bl w:val="nil"/>
                  </w:tcBorders>
                  <w:vAlign w:val="center"/>
                </w:tcPr>
                <w:p w14:paraId="484C5819">
                  <w:pPr>
                    <w:pStyle w:val="48"/>
                    <w:rPr>
                      <w:rFonts w:hint="default" w:eastAsia="宋体"/>
                      <w:lang w:val="en-US" w:eastAsia="zh-CN"/>
                    </w:rPr>
                  </w:pPr>
                  <w:r>
                    <w:rPr>
                      <w:rFonts w:hint="eastAsia"/>
                      <w:lang w:val="en-US" w:eastAsia="zh-CN"/>
                    </w:rPr>
                    <w:t>139.6</w:t>
                  </w:r>
                </w:p>
              </w:tc>
              <w:tc>
                <w:tcPr>
                  <w:tcW w:w="594" w:type="pct"/>
                  <w:tcBorders>
                    <w:tl2br w:val="nil"/>
                    <w:tr2bl w:val="nil"/>
                  </w:tcBorders>
                  <w:vAlign w:val="center"/>
                </w:tcPr>
                <w:p w14:paraId="33DCA574">
                  <w:pPr>
                    <w:pStyle w:val="48"/>
                  </w:pPr>
                  <w:r>
                    <w:rPr>
                      <w:rFonts w:hint="eastAsia"/>
                    </w:rPr>
                    <w:t>超标</w:t>
                  </w:r>
                </w:p>
              </w:tc>
            </w:tr>
            <w:tr w14:paraId="313AC9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pct"/>
                  <w:tcBorders>
                    <w:tl2br w:val="nil"/>
                    <w:tr2bl w:val="nil"/>
                  </w:tcBorders>
                  <w:vAlign w:val="center"/>
                </w:tcPr>
                <w:p w14:paraId="2871E837">
                  <w:pPr>
                    <w:pStyle w:val="48"/>
                  </w:pPr>
                  <w:r>
                    <w:t>CO</w:t>
                  </w:r>
                </w:p>
              </w:tc>
              <w:tc>
                <w:tcPr>
                  <w:tcW w:w="2436" w:type="dxa"/>
                  <w:tcBorders>
                    <w:tl2br w:val="nil"/>
                    <w:tr2bl w:val="nil"/>
                  </w:tcBorders>
                  <w:vAlign w:val="center"/>
                </w:tcPr>
                <w:p w14:paraId="34E647C5">
                  <w:pPr>
                    <w:pStyle w:val="9"/>
                    <w:widowControl w:val="0"/>
                  </w:pPr>
                  <w:r>
                    <w:rPr>
                      <w:rFonts w:hint="eastAsia"/>
                    </w:rPr>
                    <w:t>24h平均第95百分位数</w:t>
                  </w:r>
                </w:p>
              </w:tc>
              <w:tc>
                <w:tcPr>
                  <w:tcW w:w="787" w:type="pct"/>
                  <w:tcBorders>
                    <w:tl2br w:val="nil"/>
                    <w:tr2bl w:val="nil"/>
                  </w:tcBorders>
                  <w:vAlign w:val="center"/>
                </w:tcPr>
                <w:p w14:paraId="015C167B">
                  <w:pPr>
                    <w:pStyle w:val="48"/>
                    <w:rPr>
                      <w:rFonts w:hint="default" w:eastAsia="宋体"/>
                      <w:lang w:val="en-US" w:eastAsia="zh-CN"/>
                    </w:rPr>
                  </w:pPr>
                  <w:r>
                    <w:rPr>
                      <w:rFonts w:hint="eastAsia"/>
                      <w:lang w:val="en-US" w:eastAsia="zh-CN"/>
                    </w:rPr>
                    <w:t>1000</w:t>
                  </w:r>
                </w:p>
              </w:tc>
              <w:tc>
                <w:tcPr>
                  <w:tcW w:w="890" w:type="pct"/>
                  <w:tcBorders>
                    <w:tl2br w:val="nil"/>
                    <w:tr2bl w:val="nil"/>
                  </w:tcBorders>
                  <w:vAlign w:val="center"/>
                </w:tcPr>
                <w:p w14:paraId="44D70BDB">
                  <w:pPr>
                    <w:pStyle w:val="48"/>
                    <w:rPr>
                      <w:rFonts w:hint="default" w:eastAsia="宋体" w:cstheme="minorBidi"/>
                      <w:kern w:val="2"/>
                      <w:lang w:val="en-US" w:eastAsia="zh-CN"/>
                    </w:rPr>
                  </w:pPr>
                  <w:r>
                    <w:rPr>
                      <w:rFonts w:hint="eastAsia"/>
                      <w:lang w:val="en-US" w:eastAsia="zh-CN"/>
                    </w:rPr>
                    <w:t>4000</w:t>
                  </w:r>
                </w:p>
              </w:tc>
              <w:tc>
                <w:tcPr>
                  <w:tcW w:w="710" w:type="pct"/>
                  <w:tcBorders>
                    <w:tl2br w:val="nil"/>
                    <w:tr2bl w:val="nil"/>
                  </w:tcBorders>
                  <w:vAlign w:val="center"/>
                </w:tcPr>
                <w:p w14:paraId="08EE999E">
                  <w:pPr>
                    <w:pStyle w:val="48"/>
                    <w:rPr>
                      <w:rFonts w:hint="default" w:eastAsia="宋体"/>
                      <w:lang w:val="en-US" w:eastAsia="zh-CN"/>
                    </w:rPr>
                  </w:pPr>
                  <w:r>
                    <w:rPr>
                      <w:rFonts w:hint="eastAsia"/>
                      <w:lang w:val="en-US" w:eastAsia="zh-CN"/>
                    </w:rPr>
                    <w:t>25</w:t>
                  </w:r>
                </w:p>
              </w:tc>
              <w:tc>
                <w:tcPr>
                  <w:tcW w:w="594" w:type="pct"/>
                  <w:tcBorders>
                    <w:tl2br w:val="nil"/>
                    <w:tr2bl w:val="nil"/>
                  </w:tcBorders>
                  <w:vAlign w:val="center"/>
                </w:tcPr>
                <w:p w14:paraId="44880529">
                  <w:pPr>
                    <w:pStyle w:val="48"/>
                  </w:pPr>
                  <w:r>
                    <w:t>达标</w:t>
                  </w:r>
                </w:p>
              </w:tc>
            </w:tr>
            <w:tr w14:paraId="43E885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pct"/>
                  <w:tcBorders>
                    <w:tl2br w:val="nil"/>
                    <w:tr2bl w:val="nil"/>
                  </w:tcBorders>
                  <w:vAlign w:val="center"/>
                </w:tcPr>
                <w:p w14:paraId="37575B72">
                  <w:pPr>
                    <w:pStyle w:val="48"/>
                  </w:pPr>
                  <w:r>
                    <w:t>O</w:t>
                  </w:r>
                  <w:r>
                    <w:rPr>
                      <w:vertAlign w:val="subscript"/>
                    </w:rPr>
                    <w:t>3</w:t>
                  </w:r>
                </w:p>
              </w:tc>
              <w:tc>
                <w:tcPr>
                  <w:tcW w:w="2436" w:type="dxa"/>
                  <w:tcBorders>
                    <w:tl2br w:val="nil"/>
                    <w:tr2bl w:val="nil"/>
                  </w:tcBorders>
                  <w:vAlign w:val="center"/>
                </w:tcPr>
                <w:p w14:paraId="2D5BF257">
                  <w:pPr>
                    <w:pStyle w:val="9"/>
                    <w:widowControl w:val="0"/>
                  </w:pPr>
                  <w:r>
                    <w:rPr>
                      <w:rFonts w:hint="eastAsia"/>
                    </w:rPr>
                    <w:t>日最大8h平均第90百分位数</w:t>
                  </w:r>
                </w:p>
              </w:tc>
              <w:tc>
                <w:tcPr>
                  <w:tcW w:w="787" w:type="pct"/>
                  <w:tcBorders>
                    <w:tl2br w:val="nil"/>
                    <w:tr2bl w:val="nil"/>
                  </w:tcBorders>
                  <w:vAlign w:val="center"/>
                </w:tcPr>
                <w:p w14:paraId="3B6CC9D9">
                  <w:pPr>
                    <w:pStyle w:val="48"/>
                    <w:rPr>
                      <w:rFonts w:hint="default" w:eastAsia="宋体"/>
                      <w:lang w:val="en-US" w:eastAsia="zh-CN"/>
                    </w:rPr>
                  </w:pPr>
                  <w:r>
                    <w:rPr>
                      <w:rFonts w:hint="eastAsia"/>
                      <w:lang w:val="en-US" w:eastAsia="zh-CN"/>
                    </w:rPr>
                    <w:t>141</w:t>
                  </w:r>
                </w:p>
              </w:tc>
              <w:tc>
                <w:tcPr>
                  <w:tcW w:w="890" w:type="pct"/>
                  <w:tcBorders>
                    <w:tl2br w:val="nil"/>
                    <w:tr2bl w:val="nil"/>
                  </w:tcBorders>
                  <w:vAlign w:val="center"/>
                </w:tcPr>
                <w:p w14:paraId="5788664B">
                  <w:pPr>
                    <w:pStyle w:val="48"/>
                    <w:rPr>
                      <w:rFonts w:hint="default" w:cstheme="minorBidi"/>
                      <w:kern w:val="2"/>
                      <w:lang w:val="en-US"/>
                    </w:rPr>
                  </w:pPr>
                  <w:r>
                    <w:rPr>
                      <w:rFonts w:hint="default"/>
                      <w:lang w:val="en-US"/>
                    </w:rPr>
                    <w:t>160</w:t>
                  </w:r>
                </w:p>
              </w:tc>
              <w:tc>
                <w:tcPr>
                  <w:tcW w:w="710" w:type="pct"/>
                  <w:tcBorders>
                    <w:tl2br w:val="nil"/>
                    <w:tr2bl w:val="nil"/>
                  </w:tcBorders>
                  <w:vAlign w:val="center"/>
                </w:tcPr>
                <w:p w14:paraId="26C92AA2">
                  <w:pPr>
                    <w:pStyle w:val="48"/>
                    <w:rPr>
                      <w:rFonts w:hint="default" w:eastAsia="宋体"/>
                      <w:lang w:val="en-US" w:eastAsia="zh-CN"/>
                    </w:rPr>
                  </w:pPr>
                  <w:r>
                    <w:rPr>
                      <w:rFonts w:hint="eastAsia"/>
                      <w:lang w:val="en-US" w:eastAsia="zh-CN"/>
                    </w:rPr>
                    <w:t>88.12</w:t>
                  </w:r>
                </w:p>
              </w:tc>
              <w:tc>
                <w:tcPr>
                  <w:tcW w:w="594" w:type="pct"/>
                  <w:tcBorders>
                    <w:tl2br w:val="nil"/>
                    <w:tr2bl w:val="nil"/>
                  </w:tcBorders>
                  <w:vAlign w:val="center"/>
                </w:tcPr>
                <w:p w14:paraId="0E754519">
                  <w:pPr>
                    <w:pStyle w:val="48"/>
                  </w:pPr>
                  <w:r>
                    <w:t>达标</w:t>
                  </w:r>
                </w:p>
              </w:tc>
            </w:tr>
          </w:tbl>
          <w:p w14:paraId="4A455409">
            <w:pPr>
              <w:adjustRightInd w:val="0"/>
              <w:snapToGrid w:val="0"/>
              <w:spacing w:before="120" w:beforeLines="50"/>
              <w:ind w:firstLine="480"/>
              <w:rPr>
                <w:szCs w:val="21"/>
              </w:rPr>
            </w:pPr>
            <w:r>
              <w:rPr>
                <w:rFonts w:hint="eastAsia"/>
              </w:rPr>
              <w:t>根据上表可知，岳阳</w:t>
            </w:r>
            <w:r>
              <w:rPr>
                <w:rFonts w:hint="eastAsia"/>
                <w:lang w:val="en-US" w:eastAsia="zh-CN"/>
              </w:rPr>
              <w:t>市</w:t>
            </w:r>
            <w:r>
              <w:rPr>
                <w:rFonts w:hint="eastAsia"/>
              </w:rPr>
              <w:t>202</w:t>
            </w:r>
            <w:r>
              <w:rPr>
                <w:rFonts w:hint="eastAsia"/>
                <w:lang w:val="en-US" w:eastAsia="zh-CN"/>
              </w:rPr>
              <w:t>5</w:t>
            </w:r>
            <w:r>
              <w:rPr>
                <w:rFonts w:hint="eastAsia"/>
              </w:rPr>
              <w:t>年基本污染物SO</w:t>
            </w:r>
            <w:r>
              <w:rPr>
                <w:rFonts w:hint="eastAsia"/>
                <w:vertAlign w:val="subscript"/>
              </w:rPr>
              <w:t>2</w:t>
            </w:r>
            <w:r>
              <w:rPr>
                <w:rFonts w:hint="eastAsia"/>
              </w:rPr>
              <w:t>、NO</w:t>
            </w:r>
            <w:r>
              <w:rPr>
                <w:rFonts w:hint="eastAsia"/>
                <w:vertAlign w:val="subscript"/>
              </w:rPr>
              <w:t>2</w:t>
            </w:r>
            <w:r>
              <w:rPr>
                <w:rFonts w:hint="eastAsia"/>
              </w:rPr>
              <w:t>、PM</w:t>
            </w:r>
            <w:r>
              <w:rPr>
                <w:rFonts w:hint="eastAsia"/>
                <w:vertAlign w:val="subscript"/>
              </w:rPr>
              <w:t>10</w:t>
            </w:r>
            <w:r>
              <w:rPr>
                <w:rFonts w:hint="eastAsia"/>
                <w:szCs w:val="21"/>
              </w:rPr>
              <w:t>年平均质量浓度、CO</w:t>
            </w:r>
            <w:r>
              <w:rPr>
                <w:rFonts w:hint="eastAsia"/>
                <w:szCs w:val="21"/>
                <w:lang w:val="en-US" w:eastAsia="zh-CN"/>
              </w:rPr>
              <w:t xml:space="preserve"> </w:t>
            </w:r>
            <w:r>
              <w:rPr>
                <w:rFonts w:hint="eastAsia"/>
                <w:szCs w:val="21"/>
              </w:rPr>
              <w:t>24h平均第95百分位数、O</w:t>
            </w:r>
            <w:r>
              <w:rPr>
                <w:rFonts w:hint="eastAsia"/>
                <w:szCs w:val="21"/>
                <w:vertAlign w:val="subscript"/>
              </w:rPr>
              <w:t>3</w:t>
            </w:r>
            <w:r>
              <w:rPr>
                <w:rFonts w:hint="eastAsia"/>
                <w:szCs w:val="21"/>
              </w:rPr>
              <w:t>日最大8h平均第90百分位数均达到《环境空气质量》（GB3095-</w:t>
            </w:r>
            <w:r>
              <w:rPr>
                <w:rFonts w:hint="eastAsia"/>
                <w:szCs w:val="21"/>
                <w:lang w:val="en-US" w:eastAsia="zh-CN"/>
              </w:rPr>
              <w:t>2026</w:t>
            </w:r>
            <w:r>
              <w:rPr>
                <w:rFonts w:hint="eastAsia"/>
                <w:szCs w:val="21"/>
              </w:rPr>
              <w:t>）的二级标准，</w:t>
            </w:r>
            <w:r>
              <w:rPr>
                <w:rFonts w:hint="eastAsia"/>
              </w:rPr>
              <w:t>PM</w:t>
            </w:r>
            <w:r>
              <w:rPr>
                <w:rFonts w:hint="eastAsia"/>
                <w:vertAlign w:val="subscript"/>
              </w:rPr>
              <w:t>2.5</w:t>
            </w:r>
            <w:r>
              <w:rPr>
                <w:rFonts w:hint="eastAsia"/>
              </w:rPr>
              <w:t>年平均浓度</w:t>
            </w:r>
            <w:r>
              <w:rPr>
                <w:rFonts w:hint="eastAsia"/>
                <w:lang w:val="en-US" w:eastAsia="zh-CN"/>
              </w:rPr>
              <w:t>超过</w:t>
            </w:r>
            <w:r>
              <w:rPr>
                <w:rFonts w:hint="eastAsia"/>
                <w:szCs w:val="21"/>
              </w:rPr>
              <w:t>《环境空气质量》（GB3095-</w:t>
            </w:r>
            <w:r>
              <w:rPr>
                <w:rFonts w:hint="eastAsia"/>
                <w:szCs w:val="21"/>
                <w:lang w:val="en-US" w:eastAsia="zh-CN"/>
              </w:rPr>
              <w:t>2026</w:t>
            </w:r>
            <w:r>
              <w:rPr>
                <w:rFonts w:hint="eastAsia"/>
                <w:szCs w:val="21"/>
              </w:rPr>
              <w:t>）的二级标准。根据《湖南省大气污染防治攻坚三年行动实施方案（2026</w:t>
            </w:r>
            <w:r>
              <w:rPr>
                <w:rFonts w:hint="eastAsia"/>
                <w:szCs w:val="21"/>
                <w:lang w:val="en-US" w:eastAsia="zh-CN"/>
              </w:rPr>
              <w:t>-</w:t>
            </w:r>
            <w:r>
              <w:rPr>
                <w:rFonts w:hint="eastAsia"/>
                <w:szCs w:val="21"/>
              </w:rPr>
              <w:t>2028年）》（湘生环委办〔2026〕2号）、《关于加强重点城市大气污染联防联控的若干措施》等文件要求，后续将进行多项大气污染防治控制措施，推动全省空气质量持续改善，到2028年，各城市空气质量持续改善。</w:t>
            </w:r>
          </w:p>
          <w:p w14:paraId="60B5B0F6">
            <w:pPr>
              <w:numPr>
                <w:ilvl w:val="0"/>
                <w:numId w:val="24"/>
              </w:numPr>
              <w:autoSpaceDE w:val="0"/>
              <w:autoSpaceDN w:val="0"/>
              <w:adjustRightInd w:val="0"/>
              <w:snapToGrid w:val="0"/>
              <w:ind w:firstLine="480"/>
              <w:rPr>
                <w:szCs w:val="21"/>
                <w:u w:val="none"/>
              </w:rPr>
            </w:pPr>
            <w:r>
              <w:rPr>
                <w:rFonts w:hint="eastAsia"/>
                <w:szCs w:val="21"/>
                <w:u w:val="none"/>
              </w:rPr>
              <w:t>其他因子</w:t>
            </w:r>
          </w:p>
          <w:p w14:paraId="3552C973">
            <w:pPr>
              <w:ind w:firstLine="480"/>
              <w:rPr>
                <w:u w:val="none"/>
              </w:rPr>
            </w:pPr>
            <w:r>
              <w:rPr>
                <w:u w:val="none"/>
              </w:rPr>
              <w:t>本项目其他特征污染物为颗粒物（TSP）</w:t>
            </w:r>
            <w:r>
              <w:rPr>
                <w:rFonts w:hint="eastAsia"/>
                <w:u w:val="none"/>
              </w:rPr>
              <w:t>，</w:t>
            </w:r>
            <w:r>
              <w:rPr>
                <w:u w:val="none"/>
              </w:rPr>
              <w:t>为了解本项目特征因子颗粒物环境空气质量现状，本项目</w:t>
            </w:r>
            <w:r>
              <w:rPr>
                <w:rFonts w:hint="eastAsia"/>
                <w:u w:val="none"/>
              </w:rPr>
              <w:t>数据</w:t>
            </w:r>
            <w:r>
              <w:rPr>
                <w:u w:val="none"/>
              </w:rPr>
              <w:t>引用</w:t>
            </w:r>
            <w:r>
              <w:rPr>
                <w:rFonts w:hint="eastAsia"/>
                <w:u w:val="none"/>
              </w:rPr>
              <w:t>《岳阳范斯特机械科技有限公司年产200万套电机铁芯及部件生产改扩建项目环境影响报告表》中委托湖南</w:t>
            </w:r>
            <w:r>
              <w:rPr>
                <w:rFonts w:hint="eastAsia"/>
                <w:u w:val="none"/>
                <w:lang w:val="en-US" w:eastAsia="zh-CN"/>
              </w:rPr>
              <w:t>衡润科技有限公司</w:t>
            </w:r>
            <w:r>
              <w:rPr>
                <w:rFonts w:hint="eastAsia"/>
                <w:u w:val="none"/>
              </w:rPr>
              <w:t>于202</w:t>
            </w:r>
            <w:r>
              <w:rPr>
                <w:rFonts w:hint="eastAsia"/>
                <w:u w:val="none"/>
                <w:lang w:val="en-US" w:eastAsia="zh-CN"/>
              </w:rPr>
              <w:t>5</w:t>
            </w:r>
            <w:r>
              <w:rPr>
                <w:rFonts w:hint="eastAsia"/>
                <w:u w:val="none"/>
              </w:rPr>
              <w:t>年</w:t>
            </w:r>
            <w:r>
              <w:rPr>
                <w:rFonts w:hint="eastAsia"/>
                <w:u w:val="none"/>
                <w:lang w:val="en-US" w:eastAsia="zh-CN"/>
              </w:rPr>
              <w:t>7</w:t>
            </w:r>
            <w:r>
              <w:rPr>
                <w:rFonts w:hint="eastAsia"/>
                <w:u w:val="none"/>
              </w:rPr>
              <w:t>月</w:t>
            </w:r>
            <w:r>
              <w:rPr>
                <w:rFonts w:hint="eastAsia"/>
                <w:u w:val="none"/>
                <w:lang w:val="en-US" w:eastAsia="zh-CN"/>
              </w:rPr>
              <w:t>30</w:t>
            </w:r>
            <w:r>
              <w:rPr>
                <w:rFonts w:hint="eastAsia"/>
                <w:u w:val="none"/>
              </w:rPr>
              <w:t>日~</w:t>
            </w:r>
            <w:r>
              <w:rPr>
                <w:rFonts w:hint="eastAsia"/>
                <w:u w:val="none"/>
                <w:lang w:val="en-US" w:eastAsia="zh-CN"/>
              </w:rPr>
              <w:t>8月1</w:t>
            </w:r>
            <w:r>
              <w:rPr>
                <w:rFonts w:hint="eastAsia"/>
                <w:u w:val="none"/>
              </w:rPr>
              <w:t>日对岳阳范斯特机械科技有限公司</w:t>
            </w:r>
            <w:r>
              <w:rPr>
                <w:rFonts w:hint="eastAsia"/>
                <w:u w:val="none"/>
                <w:lang w:val="en-US" w:eastAsia="zh-CN"/>
              </w:rPr>
              <w:t>下风向西南侧120米处</w:t>
            </w:r>
            <w:r>
              <w:rPr>
                <w:rFonts w:hint="eastAsia"/>
                <w:u w:val="none"/>
              </w:rPr>
              <w:t>的TSP进行的监测</w:t>
            </w:r>
            <w:r>
              <w:rPr>
                <w:u w:val="none"/>
              </w:rPr>
              <w:t>，</w:t>
            </w:r>
            <w:r>
              <w:rPr>
                <w:rFonts w:hint="eastAsia"/>
                <w:u w:val="none"/>
                <w:lang w:val="en-US" w:eastAsia="zh-CN"/>
              </w:rPr>
              <w:t>该</w:t>
            </w:r>
            <w:r>
              <w:rPr>
                <w:rFonts w:hint="eastAsia"/>
                <w:u w:val="none"/>
              </w:rPr>
              <w:t>监测点</w:t>
            </w:r>
            <w:r>
              <w:rPr>
                <w:u w:val="none"/>
              </w:rPr>
              <w:t>在本项目</w:t>
            </w:r>
            <w:r>
              <w:rPr>
                <w:rFonts w:hint="eastAsia"/>
                <w:u w:val="none"/>
              </w:rPr>
              <w:t>东</w:t>
            </w:r>
            <w:r>
              <w:rPr>
                <w:rFonts w:hint="eastAsia"/>
                <w:u w:val="none"/>
                <w:lang w:val="en-US" w:eastAsia="zh-CN"/>
              </w:rPr>
              <w:t>北</w:t>
            </w:r>
            <w:r>
              <w:rPr>
                <w:rFonts w:hint="eastAsia"/>
                <w:u w:val="none"/>
              </w:rPr>
              <w:t>方向约</w:t>
            </w:r>
            <w:r>
              <w:rPr>
                <w:rFonts w:hint="eastAsia"/>
                <w:u w:val="none"/>
                <w:lang w:val="en-US" w:eastAsia="zh-CN"/>
              </w:rPr>
              <w:t>3</w:t>
            </w:r>
            <w:r>
              <w:rPr>
                <w:rFonts w:hint="eastAsia"/>
                <w:u w:val="none"/>
              </w:rPr>
              <w:t>km处</w:t>
            </w:r>
            <w:r>
              <w:rPr>
                <w:u w:val="none"/>
              </w:rPr>
              <w:t>，因此</w:t>
            </w:r>
            <w:r>
              <w:rPr>
                <w:rFonts w:hint="eastAsia"/>
                <w:u w:val="none"/>
              </w:rPr>
              <w:t>该监测点位</w:t>
            </w:r>
            <w:r>
              <w:rPr>
                <w:u w:val="none"/>
              </w:rPr>
              <w:t>数据可以满足项目评价要求。具体情况如下表：</w:t>
            </w:r>
          </w:p>
          <w:p w14:paraId="6C310C0B">
            <w:pPr>
              <w:ind w:firstLine="480"/>
              <w:rPr>
                <w:u w:val="none"/>
              </w:rPr>
            </w:pPr>
          </w:p>
          <w:p w14:paraId="440712D3">
            <w:pPr>
              <w:pStyle w:val="379"/>
              <w:keepNext w:val="0"/>
              <w:keepLines w:val="0"/>
              <w:pageBreakBefore w:val="0"/>
              <w:widowControl w:val="0"/>
              <w:numPr>
                <w:ilvl w:val="0"/>
                <w:numId w:val="25"/>
              </w:numPr>
              <w:kinsoku/>
              <w:wordWrap/>
              <w:overflowPunct/>
              <w:topLinePunct w:val="0"/>
              <w:autoSpaceDE/>
              <w:autoSpaceDN/>
              <w:bidi w:val="0"/>
              <w:adjustRightInd/>
              <w:snapToGrid/>
              <w:spacing w:line="240" w:lineRule="auto"/>
              <w:textAlignment w:val="auto"/>
              <w:rPr>
                <w:u w:val="none"/>
              </w:rPr>
            </w:pPr>
            <w:r>
              <w:rPr>
                <w:rFonts w:hint="eastAsia"/>
                <w:b/>
                <w:bCs/>
                <w:u w:val="none"/>
              </w:rPr>
              <w:t>大气监测布点情况一览表</w:t>
            </w:r>
          </w:p>
          <w:tbl>
            <w:tblPr>
              <w:tblStyle w:val="31"/>
              <w:tblW w:w="4992"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13"/>
              <w:gridCol w:w="2093"/>
              <w:gridCol w:w="865"/>
              <w:gridCol w:w="2412"/>
              <w:gridCol w:w="961"/>
            </w:tblGrid>
            <w:tr w14:paraId="54C50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3" w:type="pct"/>
                  <w:tcBorders>
                    <w:tl2br w:val="nil"/>
                    <w:tr2bl w:val="nil"/>
                  </w:tcBorders>
                  <w:vAlign w:val="center"/>
                </w:tcPr>
                <w:p w14:paraId="2356144D">
                  <w:pPr>
                    <w:spacing w:line="240" w:lineRule="auto"/>
                    <w:ind w:firstLine="0" w:firstLineChars="0"/>
                    <w:jc w:val="center"/>
                    <w:rPr>
                      <w:b/>
                      <w:bCs/>
                      <w:sz w:val="21"/>
                      <w:szCs w:val="21"/>
                      <w:u w:val="none"/>
                    </w:rPr>
                  </w:pPr>
                  <w:r>
                    <w:rPr>
                      <w:b/>
                      <w:bCs/>
                      <w:sz w:val="21"/>
                      <w:szCs w:val="21"/>
                      <w:u w:val="none"/>
                    </w:rPr>
                    <w:t>监测点位</w:t>
                  </w:r>
                </w:p>
              </w:tc>
              <w:tc>
                <w:tcPr>
                  <w:tcW w:w="1284" w:type="pct"/>
                  <w:tcBorders>
                    <w:tl2br w:val="nil"/>
                    <w:tr2bl w:val="nil"/>
                  </w:tcBorders>
                  <w:vAlign w:val="center"/>
                </w:tcPr>
                <w:p w14:paraId="38559B99">
                  <w:pPr>
                    <w:spacing w:line="240" w:lineRule="auto"/>
                    <w:ind w:firstLine="0" w:firstLineChars="0"/>
                    <w:jc w:val="center"/>
                    <w:rPr>
                      <w:b/>
                      <w:bCs/>
                      <w:sz w:val="21"/>
                      <w:szCs w:val="21"/>
                      <w:u w:val="none"/>
                    </w:rPr>
                  </w:pPr>
                  <w:r>
                    <w:rPr>
                      <w:rFonts w:hint="eastAsia"/>
                      <w:b/>
                      <w:bCs/>
                      <w:sz w:val="21"/>
                      <w:szCs w:val="21"/>
                      <w:u w:val="none"/>
                    </w:rPr>
                    <w:t>与本项目</w:t>
                  </w:r>
                </w:p>
                <w:p w14:paraId="473F1D50">
                  <w:pPr>
                    <w:spacing w:line="240" w:lineRule="auto"/>
                    <w:ind w:firstLine="0" w:firstLineChars="0"/>
                    <w:jc w:val="center"/>
                    <w:rPr>
                      <w:b/>
                      <w:bCs/>
                      <w:sz w:val="21"/>
                      <w:szCs w:val="21"/>
                      <w:u w:val="none"/>
                    </w:rPr>
                  </w:pPr>
                  <w:r>
                    <w:rPr>
                      <w:b/>
                      <w:bCs/>
                      <w:sz w:val="21"/>
                      <w:szCs w:val="21"/>
                      <w:u w:val="none"/>
                    </w:rPr>
                    <w:t>相</w:t>
                  </w:r>
                  <w:r>
                    <w:rPr>
                      <w:rFonts w:hint="eastAsia"/>
                      <w:b/>
                      <w:bCs/>
                      <w:sz w:val="21"/>
                      <w:szCs w:val="21"/>
                      <w:u w:val="none"/>
                    </w:rPr>
                    <w:t>对位置关系</w:t>
                  </w:r>
                </w:p>
              </w:tc>
              <w:tc>
                <w:tcPr>
                  <w:tcW w:w="531" w:type="pct"/>
                  <w:tcBorders>
                    <w:tl2br w:val="nil"/>
                    <w:tr2bl w:val="nil"/>
                  </w:tcBorders>
                  <w:vAlign w:val="center"/>
                </w:tcPr>
                <w:p w14:paraId="5B547302">
                  <w:pPr>
                    <w:spacing w:line="240" w:lineRule="auto"/>
                    <w:ind w:firstLine="0" w:firstLineChars="0"/>
                    <w:jc w:val="center"/>
                    <w:rPr>
                      <w:b/>
                      <w:bCs/>
                      <w:sz w:val="21"/>
                      <w:szCs w:val="21"/>
                      <w:u w:val="none"/>
                    </w:rPr>
                  </w:pPr>
                  <w:r>
                    <w:rPr>
                      <w:b/>
                      <w:bCs/>
                      <w:sz w:val="21"/>
                      <w:szCs w:val="21"/>
                      <w:u w:val="none"/>
                    </w:rPr>
                    <w:t>监测</w:t>
                  </w:r>
                </w:p>
                <w:p w14:paraId="51CCF19C">
                  <w:pPr>
                    <w:spacing w:line="240" w:lineRule="auto"/>
                    <w:ind w:firstLine="0" w:firstLineChars="0"/>
                    <w:jc w:val="center"/>
                    <w:rPr>
                      <w:b/>
                      <w:bCs/>
                      <w:sz w:val="21"/>
                      <w:szCs w:val="21"/>
                      <w:u w:val="none"/>
                    </w:rPr>
                  </w:pPr>
                  <w:r>
                    <w:rPr>
                      <w:b/>
                      <w:bCs/>
                      <w:sz w:val="21"/>
                      <w:szCs w:val="21"/>
                      <w:u w:val="none"/>
                    </w:rPr>
                    <w:t>因子</w:t>
                  </w:r>
                </w:p>
              </w:tc>
              <w:tc>
                <w:tcPr>
                  <w:tcW w:w="1480" w:type="pct"/>
                  <w:tcBorders>
                    <w:tl2br w:val="nil"/>
                    <w:tr2bl w:val="nil"/>
                  </w:tcBorders>
                  <w:vAlign w:val="center"/>
                </w:tcPr>
                <w:p w14:paraId="3E5DDE5D">
                  <w:pPr>
                    <w:spacing w:line="240" w:lineRule="auto"/>
                    <w:ind w:firstLine="0" w:firstLineChars="0"/>
                    <w:jc w:val="center"/>
                    <w:rPr>
                      <w:b/>
                      <w:bCs/>
                      <w:sz w:val="21"/>
                      <w:szCs w:val="21"/>
                      <w:u w:val="none"/>
                    </w:rPr>
                  </w:pPr>
                  <w:r>
                    <w:rPr>
                      <w:b/>
                      <w:bCs/>
                      <w:sz w:val="21"/>
                      <w:szCs w:val="21"/>
                      <w:u w:val="none"/>
                    </w:rPr>
                    <w:t>监测时间</w:t>
                  </w:r>
                </w:p>
              </w:tc>
              <w:tc>
                <w:tcPr>
                  <w:tcW w:w="590" w:type="pct"/>
                  <w:tcBorders>
                    <w:tl2br w:val="nil"/>
                    <w:tr2bl w:val="nil"/>
                  </w:tcBorders>
                  <w:vAlign w:val="center"/>
                </w:tcPr>
                <w:p w14:paraId="322876D2">
                  <w:pPr>
                    <w:spacing w:line="240" w:lineRule="auto"/>
                    <w:ind w:firstLine="0" w:firstLineChars="0"/>
                    <w:jc w:val="center"/>
                    <w:rPr>
                      <w:b/>
                      <w:bCs/>
                      <w:sz w:val="21"/>
                      <w:szCs w:val="21"/>
                      <w:u w:val="none"/>
                    </w:rPr>
                  </w:pPr>
                  <w:r>
                    <w:rPr>
                      <w:b/>
                      <w:bCs/>
                      <w:sz w:val="21"/>
                      <w:szCs w:val="21"/>
                      <w:u w:val="none"/>
                    </w:rPr>
                    <w:t>监测</w:t>
                  </w:r>
                </w:p>
                <w:p w14:paraId="55631261">
                  <w:pPr>
                    <w:spacing w:line="240" w:lineRule="auto"/>
                    <w:ind w:firstLine="0" w:firstLineChars="0"/>
                    <w:jc w:val="center"/>
                    <w:rPr>
                      <w:b/>
                      <w:bCs/>
                      <w:sz w:val="21"/>
                      <w:szCs w:val="21"/>
                      <w:u w:val="none"/>
                    </w:rPr>
                  </w:pPr>
                  <w:r>
                    <w:rPr>
                      <w:b/>
                      <w:bCs/>
                      <w:sz w:val="21"/>
                      <w:szCs w:val="21"/>
                      <w:u w:val="none"/>
                    </w:rPr>
                    <w:t>频次</w:t>
                  </w:r>
                </w:p>
              </w:tc>
            </w:tr>
            <w:tr w14:paraId="44708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3" w:type="pct"/>
                  <w:tcBorders>
                    <w:tl2br w:val="nil"/>
                    <w:tr2bl w:val="nil"/>
                  </w:tcBorders>
                  <w:vAlign w:val="center"/>
                </w:tcPr>
                <w:p w14:paraId="189193C0">
                  <w:pPr>
                    <w:spacing w:line="240" w:lineRule="auto"/>
                    <w:ind w:firstLine="0" w:firstLineChars="0"/>
                    <w:jc w:val="center"/>
                    <w:rPr>
                      <w:rFonts w:hint="default" w:eastAsia="宋体"/>
                      <w:sz w:val="21"/>
                      <w:szCs w:val="21"/>
                      <w:u w:val="none"/>
                      <w:lang w:val="en-US" w:eastAsia="zh-CN"/>
                    </w:rPr>
                  </w:pPr>
                  <w:r>
                    <w:rPr>
                      <w:rFonts w:hint="eastAsia"/>
                      <w:sz w:val="21"/>
                      <w:szCs w:val="21"/>
                      <w:u w:val="none"/>
                      <w:lang w:val="en-US" w:eastAsia="zh-CN"/>
                    </w:rPr>
                    <w:t>西南侧下风向120米处</w:t>
                  </w:r>
                </w:p>
              </w:tc>
              <w:tc>
                <w:tcPr>
                  <w:tcW w:w="1284" w:type="pct"/>
                  <w:tcBorders>
                    <w:tl2br w:val="nil"/>
                    <w:tr2bl w:val="nil"/>
                  </w:tcBorders>
                  <w:vAlign w:val="center"/>
                </w:tcPr>
                <w:p w14:paraId="23DDE326">
                  <w:pPr>
                    <w:spacing w:line="240" w:lineRule="auto"/>
                    <w:ind w:firstLine="0" w:firstLineChars="0"/>
                    <w:jc w:val="center"/>
                    <w:rPr>
                      <w:rFonts w:hint="eastAsia" w:eastAsia="宋体"/>
                      <w:sz w:val="21"/>
                      <w:szCs w:val="21"/>
                      <w:u w:val="none"/>
                      <w:lang w:eastAsia="zh-CN"/>
                    </w:rPr>
                  </w:pPr>
                  <w:r>
                    <w:rPr>
                      <w:rFonts w:hint="eastAsia"/>
                      <w:sz w:val="21"/>
                      <w:szCs w:val="21"/>
                      <w:u w:val="none"/>
                      <w:lang w:val="en-US" w:eastAsia="zh-CN"/>
                    </w:rPr>
                    <w:t>3</w:t>
                  </w:r>
                  <w:r>
                    <w:rPr>
                      <w:rFonts w:hint="eastAsia"/>
                      <w:sz w:val="21"/>
                      <w:szCs w:val="21"/>
                      <w:u w:val="none"/>
                    </w:rPr>
                    <w:t>k</w:t>
                  </w:r>
                  <w:r>
                    <w:rPr>
                      <w:sz w:val="21"/>
                      <w:szCs w:val="21"/>
                      <w:u w:val="none"/>
                    </w:rPr>
                    <w:t>m，</w:t>
                  </w:r>
                  <w:r>
                    <w:rPr>
                      <w:rFonts w:hint="eastAsia"/>
                      <w:sz w:val="21"/>
                      <w:szCs w:val="21"/>
                      <w:u w:val="none"/>
                    </w:rPr>
                    <w:t>东</w:t>
                  </w:r>
                  <w:r>
                    <w:rPr>
                      <w:rFonts w:hint="eastAsia"/>
                      <w:sz w:val="21"/>
                      <w:szCs w:val="21"/>
                      <w:u w:val="none"/>
                      <w:lang w:val="en-US" w:eastAsia="zh-CN"/>
                    </w:rPr>
                    <w:t>北</w:t>
                  </w:r>
                </w:p>
              </w:tc>
              <w:tc>
                <w:tcPr>
                  <w:tcW w:w="531" w:type="pct"/>
                  <w:tcBorders>
                    <w:tl2br w:val="nil"/>
                    <w:tr2bl w:val="nil"/>
                  </w:tcBorders>
                  <w:vAlign w:val="center"/>
                </w:tcPr>
                <w:p w14:paraId="125FFDB4">
                  <w:pPr>
                    <w:spacing w:line="240" w:lineRule="auto"/>
                    <w:ind w:firstLine="0" w:firstLineChars="0"/>
                    <w:jc w:val="center"/>
                    <w:rPr>
                      <w:sz w:val="21"/>
                      <w:szCs w:val="21"/>
                      <w:u w:val="none"/>
                    </w:rPr>
                  </w:pPr>
                  <w:r>
                    <w:rPr>
                      <w:sz w:val="21"/>
                      <w:szCs w:val="21"/>
                      <w:u w:val="none"/>
                    </w:rPr>
                    <w:t>TSP</w:t>
                  </w:r>
                </w:p>
              </w:tc>
              <w:tc>
                <w:tcPr>
                  <w:tcW w:w="1480" w:type="pct"/>
                  <w:tcBorders>
                    <w:tl2br w:val="nil"/>
                    <w:tr2bl w:val="nil"/>
                  </w:tcBorders>
                  <w:vAlign w:val="center"/>
                </w:tcPr>
                <w:p w14:paraId="07948E27">
                  <w:pPr>
                    <w:spacing w:line="240" w:lineRule="auto"/>
                    <w:ind w:firstLine="0" w:firstLineChars="0"/>
                    <w:jc w:val="center"/>
                    <w:rPr>
                      <w:rFonts w:hint="default" w:eastAsia="宋体"/>
                      <w:sz w:val="21"/>
                      <w:szCs w:val="21"/>
                      <w:u w:val="none"/>
                      <w:lang w:val="en-US" w:eastAsia="zh-CN"/>
                    </w:rPr>
                  </w:pPr>
                  <w:r>
                    <w:rPr>
                      <w:rFonts w:hint="eastAsia"/>
                      <w:sz w:val="21"/>
                      <w:szCs w:val="21"/>
                      <w:u w:val="none"/>
                      <w:lang w:val="en-US" w:eastAsia="zh-CN"/>
                    </w:rPr>
                    <w:t>2025.7.30-2025.8.1</w:t>
                  </w:r>
                </w:p>
              </w:tc>
              <w:tc>
                <w:tcPr>
                  <w:tcW w:w="590" w:type="pct"/>
                  <w:tcBorders>
                    <w:tl2br w:val="nil"/>
                    <w:tr2bl w:val="nil"/>
                  </w:tcBorders>
                  <w:vAlign w:val="center"/>
                </w:tcPr>
                <w:p w14:paraId="691E24A3">
                  <w:pPr>
                    <w:spacing w:line="240" w:lineRule="auto"/>
                    <w:ind w:firstLine="0" w:firstLineChars="0"/>
                    <w:jc w:val="center"/>
                    <w:rPr>
                      <w:sz w:val="21"/>
                      <w:szCs w:val="21"/>
                      <w:u w:val="none"/>
                    </w:rPr>
                  </w:pPr>
                  <w:r>
                    <w:rPr>
                      <w:sz w:val="21"/>
                      <w:szCs w:val="21"/>
                      <w:u w:val="none"/>
                    </w:rPr>
                    <w:t>连续</w:t>
                  </w:r>
                  <w:r>
                    <w:rPr>
                      <w:rFonts w:hint="eastAsia"/>
                      <w:sz w:val="21"/>
                      <w:szCs w:val="21"/>
                      <w:u w:val="none"/>
                      <w:lang w:val="en-US" w:eastAsia="zh-CN"/>
                    </w:rPr>
                    <w:t>三天</w:t>
                  </w:r>
                  <w:r>
                    <w:rPr>
                      <w:sz w:val="21"/>
                      <w:szCs w:val="21"/>
                      <w:u w:val="none"/>
                    </w:rPr>
                    <w:t>采样监测</w:t>
                  </w:r>
                  <w:r>
                    <w:rPr>
                      <w:rFonts w:hint="eastAsia"/>
                      <w:sz w:val="21"/>
                      <w:szCs w:val="21"/>
                      <w:u w:val="none"/>
                    </w:rPr>
                    <w:t>24h</w:t>
                  </w:r>
                  <w:r>
                    <w:rPr>
                      <w:sz w:val="21"/>
                      <w:szCs w:val="21"/>
                      <w:u w:val="none"/>
                    </w:rPr>
                    <w:t>日均值</w:t>
                  </w:r>
                </w:p>
              </w:tc>
            </w:tr>
          </w:tbl>
          <w:p w14:paraId="6AFDAD42">
            <w:pPr>
              <w:pStyle w:val="379"/>
              <w:keepNext w:val="0"/>
              <w:keepLines w:val="0"/>
              <w:pageBreakBefore w:val="0"/>
              <w:widowControl w:val="0"/>
              <w:numPr>
                <w:ilvl w:val="0"/>
                <w:numId w:val="25"/>
              </w:numPr>
              <w:kinsoku/>
              <w:wordWrap/>
              <w:overflowPunct/>
              <w:topLinePunct w:val="0"/>
              <w:autoSpaceDE/>
              <w:autoSpaceDN/>
              <w:bidi w:val="0"/>
              <w:adjustRightInd/>
              <w:snapToGrid/>
              <w:spacing w:before="164" w:beforeLines="50" w:line="240" w:lineRule="auto"/>
              <w:textAlignment w:val="auto"/>
              <w:rPr>
                <w:b/>
                <w:bCs/>
              </w:rPr>
            </w:pPr>
            <w:r>
              <w:rPr>
                <w:rFonts w:hint="eastAsia"/>
                <w:b/>
                <w:bCs/>
              </w:rPr>
              <w:t>TSP环境质量现状监测结果</w:t>
            </w:r>
          </w:p>
          <w:tbl>
            <w:tblPr>
              <w:tblStyle w:val="31"/>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708"/>
              <w:gridCol w:w="1100"/>
              <w:gridCol w:w="3372"/>
              <w:gridCol w:w="1062"/>
              <w:gridCol w:w="912"/>
            </w:tblGrid>
            <w:tr w14:paraId="3BFB01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blHeader/>
              </w:trPr>
              <w:tc>
                <w:tcPr>
                  <w:tcW w:w="1047" w:type="pct"/>
                  <w:vMerge w:val="restart"/>
                  <w:tcBorders>
                    <w:tl2br w:val="nil"/>
                    <w:tr2bl w:val="nil"/>
                  </w:tcBorders>
                  <w:vAlign w:val="center"/>
                </w:tcPr>
                <w:p w14:paraId="20EC9EE9">
                  <w:pPr>
                    <w:pStyle w:val="48"/>
                    <w:rPr>
                      <w:b/>
                      <w:bCs/>
                      <w:u w:val="none"/>
                    </w:rPr>
                  </w:pPr>
                  <w:r>
                    <w:rPr>
                      <w:b/>
                      <w:bCs/>
                      <w:u w:val="none"/>
                    </w:rPr>
                    <w:t>检测项目</w:t>
                  </w:r>
                </w:p>
              </w:tc>
              <w:tc>
                <w:tcPr>
                  <w:tcW w:w="674" w:type="pct"/>
                  <w:vMerge w:val="restart"/>
                  <w:tcBorders>
                    <w:tl2br w:val="nil"/>
                    <w:tr2bl w:val="nil"/>
                  </w:tcBorders>
                  <w:vAlign w:val="center"/>
                </w:tcPr>
                <w:p w14:paraId="309913B5">
                  <w:pPr>
                    <w:pStyle w:val="48"/>
                    <w:rPr>
                      <w:b/>
                      <w:bCs/>
                      <w:u w:val="none"/>
                    </w:rPr>
                  </w:pPr>
                  <w:r>
                    <w:rPr>
                      <w:b/>
                      <w:bCs/>
                      <w:u w:val="none"/>
                    </w:rPr>
                    <w:t>采样时间</w:t>
                  </w:r>
                </w:p>
              </w:tc>
              <w:tc>
                <w:tcPr>
                  <w:tcW w:w="2067" w:type="pct"/>
                  <w:tcBorders>
                    <w:tl2br w:val="nil"/>
                    <w:tr2bl w:val="nil"/>
                  </w:tcBorders>
                  <w:vAlign w:val="center"/>
                </w:tcPr>
                <w:p w14:paraId="7B95D008">
                  <w:pPr>
                    <w:pStyle w:val="48"/>
                    <w:rPr>
                      <w:b/>
                      <w:bCs/>
                      <w:u w:val="none"/>
                    </w:rPr>
                  </w:pPr>
                  <w:r>
                    <w:rPr>
                      <w:b/>
                      <w:bCs/>
                      <w:u w:val="none"/>
                    </w:rPr>
                    <w:t>采样点位及检测结果</w:t>
                  </w:r>
                  <w:r>
                    <w:rPr>
                      <w:rFonts w:hint="eastAsia"/>
                      <w:b/>
                      <w:bCs/>
                      <w:u w:val="none"/>
                    </w:rPr>
                    <w:t>（</w:t>
                  </w:r>
                  <w:r>
                    <w:rPr>
                      <w:b/>
                      <w:bCs/>
                      <w:u w:val="none"/>
                    </w:rPr>
                    <w:t>mg/m</w:t>
                  </w:r>
                  <w:r>
                    <w:rPr>
                      <w:b/>
                      <w:bCs/>
                      <w:u w:val="none"/>
                      <w:vertAlign w:val="superscript"/>
                    </w:rPr>
                    <w:t>3</w:t>
                  </w:r>
                  <w:r>
                    <w:rPr>
                      <w:rFonts w:hint="eastAsia"/>
                      <w:b/>
                      <w:bCs/>
                      <w:u w:val="none"/>
                    </w:rPr>
                    <w:t>）</w:t>
                  </w:r>
                </w:p>
              </w:tc>
              <w:tc>
                <w:tcPr>
                  <w:tcW w:w="651" w:type="pct"/>
                  <w:vMerge w:val="restart"/>
                  <w:tcBorders>
                    <w:tl2br w:val="nil"/>
                    <w:tr2bl w:val="nil"/>
                  </w:tcBorders>
                  <w:vAlign w:val="center"/>
                </w:tcPr>
                <w:p w14:paraId="3D5AB579">
                  <w:pPr>
                    <w:pStyle w:val="48"/>
                    <w:rPr>
                      <w:b/>
                      <w:bCs/>
                      <w:u w:val="none"/>
                    </w:rPr>
                  </w:pPr>
                  <w:r>
                    <w:rPr>
                      <w:b/>
                      <w:bCs/>
                      <w:u w:val="none"/>
                    </w:rPr>
                    <w:t>浓度限值（mg/m</w:t>
                  </w:r>
                  <w:r>
                    <w:rPr>
                      <w:b/>
                      <w:bCs/>
                      <w:u w:val="none"/>
                      <w:vertAlign w:val="superscript"/>
                    </w:rPr>
                    <w:t>3</w:t>
                  </w:r>
                  <w:r>
                    <w:rPr>
                      <w:b/>
                      <w:bCs/>
                      <w:u w:val="none"/>
                    </w:rPr>
                    <w:t>）</w:t>
                  </w:r>
                </w:p>
              </w:tc>
              <w:tc>
                <w:tcPr>
                  <w:tcW w:w="559" w:type="pct"/>
                  <w:vMerge w:val="restart"/>
                  <w:tcBorders>
                    <w:tl2br w:val="nil"/>
                    <w:tr2bl w:val="nil"/>
                  </w:tcBorders>
                  <w:vAlign w:val="center"/>
                </w:tcPr>
                <w:p w14:paraId="5BF0B274">
                  <w:pPr>
                    <w:pStyle w:val="48"/>
                    <w:rPr>
                      <w:b/>
                      <w:bCs/>
                      <w:u w:val="none"/>
                    </w:rPr>
                  </w:pPr>
                  <w:r>
                    <w:rPr>
                      <w:rFonts w:hint="eastAsia"/>
                      <w:b/>
                      <w:bCs/>
                      <w:u w:val="none"/>
                    </w:rPr>
                    <w:t>达标情况</w:t>
                  </w:r>
                </w:p>
              </w:tc>
            </w:tr>
            <w:tr w14:paraId="4A7F66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blHeader/>
              </w:trPr>
              <w:tc>
                <w:tcPr>
                  <w:tcW w:w="1047" w:type="pct"/>
                  <w:vMerge w:val="continue"/>
                  <w:tcBorders>
                    <w:tl2br w:val="nil"/>
                    <w:tr2bl w:val="nil"/>
                  </w:tcBorders>
                  <w:vAlign w:val="center"/>
                </w:tcPr>
                <w:p w14:paraId="277A5023">
                  <w:pPr>
                    <w:pStyle w:val="48"/>
                    <w:rPr>
                      <w:u w:val="none"/>
                    </w:rPr>
                  </w:pPr>
                </w:p>
              </w:tc>
              <w:tc>
                <w:tcPr>
                  <w:tcW w:w="674" w:type="pct"/>
                  <w:vMerge w:val="continue"/>
                  <w:tcBorders>
                    <w:tl2br w:val="nil"/>
                    <w:tr2bl w:val="nil"/>
                  </w:tcBorders>
                  <w:vAlign w:val="center"/>
                </w:tcPr>
                <w:p w14:paraId="1A610F9B">
                  <w:pPr>
                    <w:pStyle w:val="48"/>
                    <w:rPr>
                      <w:u w:val="none"/>
                    </w:rPr>
                  </w:pPr>
                </w:p>
              </w:tc>
              <w:tc>
                <w:tcPr>
                  <w:tcW w:w="2067" w:type="pct"/>
                  <w:tcBorders>
                    <w:tl2br w:val="nil"/>
                    <w:tr2bl w:val="nil"/>
                  </w:tcBorders>
                  <w:vAlign w:val="center"/>
                </w:tcPr>
                <w:p w14:paraId="18A06C53">
                  <w:pPr>
                    <w:pStyle w:val="48"/>
                    <w:rPr>
                      <w:u w:val="none"/>
                    </w:rPr>
                  </w:pPr>
                  <w:r>
                    <w:rPr>
                      <w:rFonts w:hint="eastAsia"/>
                      <w:sz w:val="21"/>
                      <w:szCs w:val="21"/>
                      <w:u w:val="none"/>
                      <w:lang w:val="en-US" w:eastAsia="zh-CN"/>
                    </w:rPr>
                    <w:t>西南侧下风向120米处</w:t>
                  </w:r>
                </w:p>
              </w:tc>
              <w:tc>
                <w:tcPr>
                  <w:tcW w:w="651" w:type="pct"/>
                  <w:vMerge w:val="continue"/>
                  <w:tcBorders>
                    <w:tl2br w:val="nil"/>
                    <w:tr2bl w:val="nil"/>
                  </w:tcBorders>
                  <w:vAlign w:val="center"/>
                </w:tcPr>
                <w:p w14:paraId="5D687CC6">
                  <w:pPr>
                    <w:pStyle w:val="48"/>
                    <w:rPr>
                      <w:u w:val="none"/>
                    </w:rPr>
                  </w:pPr>
                </w:p>
              </w:tc>
              <w:tc>
                <w:tcPr>
                  <w:tcW w:w="559" w:type="pct"/>
                  <w:vMerge w:val="continue"/>
                  <w:tcBorders>
                    <w:tl2br w:val="nil"/>
                    <w:tr2bl w:val="nil"/>
                  </w:tcBorders>
                  <w:vAlign w:val="center"/>
                </w:tcPr>
                <w:p w14:paraId="0C87A2DB">
                  <w:pPr>
                    <w:pStyle w:val="48"/>
                    <w:rPr>
                      <w:u w:val="none"/>
                    </w:rPr>
                  </w:pPr>
                </w:p>
              </w:tc>
            </w:tr>
            <w:tr w14:paraId="0080F0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047" w:type="pct"/>
                  <w:vMerge w:val="restart"/>
                  <w:tcBorders>
                    <w:tl2br w:val="nil"/>
                    <w:tr2bl w:val="nil"/>
                  </w:tcBorders>
                  <w:vAlign w:val="center"/>
                </w:tcPr>
                <w:p w14:paraId="1495C0A0">
                  <w:pPr>
                    <w:pStyle w:val="48"/>
                    <w:rPr>
                      <w:u w:val="none"/>
                    </w:rPr>
                  </w:pPr>
                  <w:r>
                    <w:rPr>
                      <w:u w:val="none"/>
                    </w:rPr>
                    <w:t>总悬浮颗粒物</w:t>
                  </w:r>
                </w:p>
              </w:tc>
              <w:tc>
                <w:tcPr>
                  <w:tcW w:w="674" w:type="pct"/>
                  <w:tcBorders>
                    <w:tl2br w:val="nil"/>
                    <w:tr2bl w:val="nil"/>
                  </w:tcBorders>
                  <w:vAlign w:val="center"/>
                </w:tcPr>
                <w:p w14:paraId="500B6AAE">
                  <w:pPr>
                    <w:pStyle w:val="48"/>
                    <w:rPr>
                      <w:rFonts w:hint="default" w:eastAsia="宋体"/>
                      <w:u w:val="none"/>
                      <w:lang w:val="en-US" w:eastAsia="zh-CN"/>
                    </w:rPr>
                  </w:pPr>
                  <w:r>
                    <w:rPr>
                      <w:rFonts w:hint="eastAsia"/>
                      <w:u w:val="none"/>
                      <w:lang w:val="en-US" w:eastAsia="zh-CN"/>
                    </w:rPr>
                    <w:t>2025.7.30</w:t>
                  </w:r>
                </w:p>
              </w:tc>
              <w:tc>
                <w:tcPr>
                  <w:tcW w:w="2067" w:type="pct"/>
                  <w:tcBorders>
                    <w:tl2br w:val="nil"/>
                    <w:tr2bl w:val="nil"/>
                  </w:tcBorders>
                  <w:vAlign w:val="center"/>
                </w:tcPr>
                <w:p w14:paraId="610863A9">
                  <w:pPr>
                    <w:pStyle w:val="48"/>
                    <w:rPr>
                      <w:rFonts w:hint="default" w:eastAsia="宋体"/>
                      <w:u w:val="none"/>
                      <w:lang w:val="en-US" w:eastAsia="zh-CN"/>
                    </w:rPr>
                  </w:pPr>
                  <w:r>
                    <w:rPr>
                      <w:rFonts w:hint="eastAsia"/>
                      <w:u w:val="none"/>
                      <w:lang w:val="en-US" w:eastAsia="zh-CN"/>
                    </w:rPr>
                    <w:t>0.018</w:t>
                  </w:r>
                </w:p>
              </w:tc>
              <w:tc>
                <w:tcPr>
                  <w:tcW w:w="651" w:type="pct"/>
                  <w:vMerge w:val="restart"/>
                  <w:tcBorders>
                    <w:tl2br w:val="nil"/>
                    <w:tr2bl w:val="nil"/>
                  </w:tcBorders>
                  <w:vAlign w:val="center"/>
                </w:tcPr>
                <w:p w14:paraId="19E42B0E">
                  <w:pPr>
                    <w:pStyle w:val="48"/>
                    <w:rPr>
                      <w:u w:val="none"/>
                    </w:rPr>
                  </w:pPr>
                  <w:r>
                    <w:rPr>
                      <w:u w:val="none"/>
                    </w:rPr>
                    <w:t>0.3</w:t>
                  </w:r>
                </w:p>
              </w:tc>
              <w:tc>
                <w:tcPr>
                  <w:tcW w:w="559" w:type="pct"/>
                  <w:vMerge w:val="restart"/>
                  <w:tcBorders>
                    <w:tl2br w:val="nil"/>
                    <w:tr2bl w:val="nil"/>
                  </w:tcBorders>
                  <w:vAlign w:val="center"/>
                </w:tcPr>
                <w:p w14:paraId="615477B3">
                  <w:pPr>
                    <w:pStyle w:val="48"/>
                    <w:rPr>
                      <w:u w:val="none"/>
                    </w:rPr>
                  </w:pPr>
                  <w:r>
                    <w:rPr>
                      <w:rFonts w:hint="eastAsia"/>
                      <w:u w:val="none"/>
                    </w:rPr>
                    <w:t>达标</w:t>
                  </w:r>
                </w:p>
              </w:tc>
            </w:tr>
            <w:tr w14:paraId="36E7DC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047" w:type="pct"/>
                  <w:vMerge w:val="continue"/>
                  <w:tcBorders>
                    <w:tl2br w:val="nil"/>
                    <w:tr2bl w:val="nil"/>
                  </w:tcBorders>
                  <w:vAlign w:val="center"/>
                </w:tcPr>
                <w:p w14:paraId="6D855339">
                  <w:pPr>
                    <w:pStyle w:val="48"/>
                    <w:rPr>
                      <w:u w:val="single"/>
                    </w:rPr>
                  </w:pPr>
                </w:p>
              </w:tc>
              <w:tc>
                <w:tcPr>
                  <w:tcW w:w="674" w:type="pct"/>
                  <w:tcBorders>
                    <w:tl2br w:val="nil"/>
                    <w:tr2bl w:val="nil"/>
                  </w:tcBorders>
                  <w:vAlign w:val="center"/>
                </w:tcPr>
                <w:p w14:paraId="2ED69643">
                  <w:pPr>
                    <w:pStyle w:val="48"/>
                    <w:rPr>
                      <w:rFonts w:hint="default" w:eastAsia="宋体"/>
                      <w:u w:val="none"/>
                      <w:lang w:val="en-US" w:eastAsia="zh-CN"/>
                    </w:rPr>
                  </w:pPr>
                  <w:r>
                    <w:rPr>
                      <w:rFonts w:hint="eastAsia"/>
                      <w:u w:val="none"/>
                      <w:lang w:val="en-US" w:eastAsia="zh-CN"/>
                    </w:rPr>
                    <w:t>2025.7.31</w:t>
                  </w:r>
                </w:p>
              </w:tc>
              <w:tc>
                <w:tcPr>
                  <w:tcW w:w="2067" w:type="pct"/>
                  <w:tcBorders>
                    <w:tl2br w:val="nil"/>
                    <w:tr2bl w:val="nil"/>
                  </w:tcBorders>
                  <w:vAlign w:val="center"/>
                </w:tcPr>
                <w:p w14:paraId="794F6493">
                  <w:pPr>
                    <w:pStyle w:val="48"/>
                    <w:rPr>
                      <w:rFonts w:hint="default" w:eastAsia="宋体"/>
                      <w:u w:val="none"/>
                      <w:lang w:val="en-US" w:eastAsia="zh-CN"/>
                    </w:rPr>
                  </w:pPr>
                  <w:r>
                    <w:rPr>
                      <w:rFonts w:hint="eastAsia"/>
                      <w:u w:val="none"/>
                      <w:lang w:val="en-US" w:eastAsia="zh-CN"/>
                    </w:rPr>
                    <w:t>0.018</w:t>
                  </w:r>
                </w:p>
              </w:tc>
              <w:tc>
                <w:tcPr>
                  <w:tcW w:w="651" w:type="pct"/>
                  <w:vMerge w:val="continue"/>
                  <w:tcBorders>
                    <w:tl2br w:val="nil"/>
                    <w:tr2bl w:val="nil"/>
                  </w:tcBorders>
                  <w:vAlign w:val="center"/>
                </w:tcPr>
                <w:p w14:paraId="75D24C3E">
                  <w:pPr>
                    <w:pStyle w:val="48"/>
                    <w:rPr>
                      <w:u w:val="single"/>
                    </w:rPr>
                  </w:pPr>
                </w:p>
              </w:tc>
              <w:tc>
                <w:tcPr>
                  <w:tcW w:w="559" w:type="pct"/>
                  <w:vMerge w:val="continue"/>
                  <w:tcBorders>
                    <w:tl2br w:val="nil"/>
                    <w:tr2bl w:val="nil"/>
                  </w:tcBorders>
                  <w:vAlign w:val="center"/>
                </w:tcPr>
                <w:p w14:paraId="1FC3D5A5">
                  <w:pPr>
                    <w:pStyle w:val="48"/>
                    <w:rPr>
                      <w:u w:val="single"/>
                    </w:rPr>
                  </w:pPr>
                </w:p>
              </w:tc>
            </w:tr>
            <w:tr w14:paraId="34A08E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047" w:type="pct"/>
                  <w:vMerge w:val="continue"/>
                  <w:tcBorders>
                    <w:tl2br w:val="nil"/>
                    <w:tr2bl w:val="nil"/>
                  </w:tcBorders>
                  <w:vAlign w:val="center"/>
                </w:tcPr>
                <w:p w14:paraId="780E97B6">
                  <w:pPr>
                    <w:pStyle w:val="48"/>
                    <w:rPr>
                      <w:u w:val="single"/>
                    </w:rPr>
                  </w:pPr>
                </w:p>
              </w:tc>
              <w:tc>
                <w:tcPr>
                  <w:tcW w:w="674" w:type="pct"/>
                  <w:tcBorders>
                    <w:tl2br w:val="nil"/>
                    <w:tr2bl w:val="nil"/>
                  </w:tcBorders>
                  <w:vAlign w:val="center"/>
                </w:tcPr>
                <w:p w14:paraId="62DF08E4">
                  <w:pPr>
                    <w:pStyle w:val="48"/>
                    <w:rPr>
                      <w:rFonts w:hint="default" w:eastAsia="宋体"/>
                      <w:u w:val="none"/>
                      <w:lang w:val="en-US" w:eastAsia="zh-CN"/>
                    </w:rPr>
                  </w:pPr>
                  <w:r>
                    <w:rPr>
                      <w:rFonts w:hint="eastAsia"/>
                      <w:u w:val="none"/>
                      <w:lang w:val="en-US" w:eastAsia="zh-CN"/>
                    </w:rPr>
                    <w:t>2025.8.1</w:t>
                  </w:r>
                </w:p>
              </w:tc>
              <w:tc>
                <w:tcPr>
                  <w:tcW w:w="2067" w:type="pct"/>
                  <w:tcBorders>
                    <w:tl2br w:val="nil"/>
                    <w:tr2bl w:val="nil"/>
                  </w:tcBorders>
                  <w:vAlign w:val="center"/>
                </w:tcPr>
                <w:p w14:paraId="216502B3">
                  <w:pPr>
                    <w:pStyle w:val="48"/>
                    <w:rPr>
                      <w:rFonts w:hint="default" w:eastAsia="宋体"/>
                      <w:u w:val="none"/>
                      <w:lang w:val="en-US" w:eastAsia="zh-CN"/>
                    </w:rPr>
                  </w:pPr>
                  <w:r>
                    <w:rPr>
                      <w:rFonts w:hint="eastAsia"/>
                      <w:u w:val="none"/>
                      <w:lang w:val="en-US" w:eastAsia="zh-CN"/>
                    </w:rPr>
                    <w:t>0.018</w:t>
                  </w:r>
                </w:p>
              </w:tc>
              <w:tc>
                <w:tcPr>
                  <w:tcW w:w="651" w:type="pct"/>
                  <w:vMerge w:val="continue"/>
                  <w:tcBorders>
                    <w:tl2br w:val="nil"/>
                    <w:tr2bl w:val="nil"/>
                  </w:tcBorders>
                  <w:vAlign w:val="center"/>
                </w:tcPr>
                <w:p w14:paraId="3B2547C6">
                  <w:pPr>
                    <w:pStyle w:val="48"/>
                    <w:rPr>
                      <w:u w:val="single"/>
                    </w:rPr>
                  </w:pPr>
                </w:p>
              </w:tc>
              <w:tc>
                <w:tcPr>
                  <w:tcW w:w="559" w:type="pct"/>
                  <w:vMerge w:val="continue"/>
                  <w:tcBorders>
                    <w:tl2br w:val="nil"/>
                    <w:tr2bl w:val="nil"/>
                  </w:tcBorders>
                  <w:vAlign w:val="center"/>
                </w:tcPr>
                <w:p w14:paraId="203F39FE">
                  <w:pPr>
                    <w:pStyle w:val="48"/>
                    <w:rPr>
                      <w:u w:val="single"/>
                    </w:rPr>
                  </w:pPr>
                </w:p>
              </w:tc>
            </w:tr>
          </w:tbl>
          <w:p w14:paraId="76CC7425">
            <w:pPr>
              <w:autoSpaceDE w:val="0"/>
              <w:autoSpaceDN w:val="0"/>
              <w:adjustRightInd w:val="0"/>
              <w:snapToGrid w:val="0"/>
              <w:spacing w:before="120" w:beforeLines="50"/>
              <w:ind w:firstLine="480"/>
              <w:rPr>
                <w:szCs w:val="21"/>
              </w:rPr>
            </w:pPr>
            <w:r>
              <w:rPr>
                <w:rFonts w:hint="eastAsia"/>
                <w:u w:val="none"/>
              </w:rPr>
              <w:t>由</w:t>
            </w:r>
            <w:r>
              <w:rPr>
                <w:u w:val="none"/>
              </w:rPr>
              <w:t>上表的结果可知，</w:t>
            </w:r>
            <w:r>
              <w:rPr>
                <w:rFonts w:hint="eastAsia"/>
                <w:u w:val="none"/>
              </w:rPr>
              <w:t>本项目所在区域</w:t>
            </w:r>
            <w:r>
              <w:rPr>
                <w:u w:val="none"/>
              </w:rPr>
              <w:t>TSP日均值浓度符合《环境空气质量标准》（GB 3095-</w:t>
            </w:r>
            <w:r>
              <w:rPr>
                <w:rFonts w:hint="eastAsia"/>
                <w:u w:val="none"/>
                <w:lang w:val="en-US" w:eastAsia="zh-CN"/>
              </w:rPr>
              <w:t>2026</w:t>
            </w:r>
            <w:r>
              <w:rPr>
                <w:u w:val="none"/>
              </w:rPr>
              <w:t>）二级标准。</w:t>
            </w:r>
          </w:p>
          <w:p w14:paraId="1C909C2A">
            <w:pPr>
              <w:numPr>
                <w:ilvl w:val="0"/>
                <w:numId w:val="23"/>
              </w:numPr>
              <w:autoSpaceDE w:val="0"/>
              <w:autoSpaceDN w:val="0"/>
              <w:adjustRightInd w:val="0"/>
              <w:snapToGrid w:val="0"/>
              <w:ind w:left="0" w:firstLine="0" w:firstLineChars="0"/>
              <w:rPr>
                <w:b/>
              </w:rPr>
            </w:pPr>
            <w:r>
              <w:rPr>
                <w:rFonts w:hint="eastAsia"/>
                <w:b/>
              </w:rPr>
              <w:t>地表水质量现状</w:t>
            </w:r>
          </w:p>
          <w:p w14:paraId="72C3C04F">
            <w:pPr>
              <w:autoSpaceDE w:val="0"/>
              <w:autoSpaceDN w:val="0"/>
              <w:adjustRightInd w:val="0"/>
              <w:snapToGrid w:val="0"/>
              <w:ind w:firstLine="480"/>
            </w:pPr>
            <w:r>
              <w:rPr>
                <w:rFonts w:hint="eastAsia"/>
              </w:rPr>
              <w:t>本项目无废水外排。</w:t>
            </w:r>
          </w:p>
          <w:p w14:paraId="5AB59AB9">
            <w:pPr>
              <w:autoSpaceDE w:val="0"/>
              <w:autoSpaceDN w:val="0"/>
              <w:adjustRightInd w:val="0"/>
              <w:snapToGrid w:val="0"/>
              <w:ind w:firstLine="480"/>
              <w:rPr>
                <w:szCs w:val="21"/>
              </w:rPr>
            </w:pPr>
            <w:r>
              <w:rPr>
                <w:rFonts w:hint="eastAsia"/>
              </w:rPr>
              <w:t>根据岳阳市生态环境局公布的《岳阳市202</w:t>
            </w:r>
            <w:r>
              <w:rPr>
                <w:rFonts w:hint="eastAsia"/>
                <w:lang w:val="en-US" w:eastAsia="zh-CN"/>
              </w:rPr>
              <w:t>5</w:t>
            </w:r>
            <w:r>
              <w:rPr>
                <w:rFonts w:hint="eastAsia"/>
              </w:rPr>
              <w:t>年度生态环境质量公报》，</w:t>
            </w:r>
            <w:r>
              <w:rPr>
                <w:color w:val="333333"/>
                <w:shd w:val="clear" w:color="auto" w:fill="FFFFFF"/>
              </w:rPr>
              <w:t>202</w:t>
            </w:r>
            <w:r>
              <w:rPr>
                <w:rFonts w:hint="eastAsia"/>
                <w:color w:val="333333"/>
                <w:shd w:val="clear" w:color="auto" w:fill="FFFFFF"/>
                <w:lang w:val="en-US" w:eastAsia="zh-CN"/>
              </w:rPr>
              <w:t>5</w:t>
            </w:r>
            <w:r>
              <w:rPr>
                <w:color w:val="333333"/>
                <w:shd w:val="clear" w:color="auto" w:fill="FFFFFF"/>
              </w:rPr>
              <w:t>年岳阳市地表水水质总体为良，水环境质量整体状况稳定，局部水域水质有所改善。202</w:t>
            </w:r>
            <w:r>
              <w:rPr>
                <w:rFonts w:hint="eastAsia"/>
                <w:color w:val="333333"/>
                <w:shd w:val="clear" w:color="auto" w:fill="FFFFFF"/>
                <w:lang w:val="en-US" w:eastAsia="zh-CN"/>
              </w:rPr>
              <w:t>5</w:t>
            </w:r>
            <w:r>
              <w:rPr>
                <w:color w:val="333333"/>
                <w:shd w:val="clear" w:color="auto" w:fill="FFFFFF"/>
              </w:rPr>
              <w:t>年长江干流岳阳段水体水质总体为优。</w:t>
            </w:r>
            <w:r>
              <w:rPr>
                <w:rFonts w:hint="eastAsia"/>
                <w:sz w:val="24"/>
              </w:rPr>
              <w:t>长江城陵矶、陆城等5个监测断面水质均达到</w:t>
            </w:r>
            <w:r>
              <w:rPr>
                <w:sz w:val="24"/>
              </w:rPr>
              <w:t>Ⅱ类</w:t>
            </w:r>
            <w:r>
              <w:rPr>
                <w:rFonts w:hint="eastAsia"/>
                <w:sz w:val="24"/>
              </w:rPr>
              <w:t>。</w:t>
            </w:r>
          </w:p>
          <w:p w14:paraId="03FD8726">
            <w:pPr>
              <w:numPr>
                <w:ilvl w:val="0"/>
                <w:numId w:val="23"/>
              </w:numPr>
              <w:autoSpaceDE w:val="0"/>
              <w:autoSpaceDN w:val="0"/>
              <w:adjustRightInd w:val="0"/>
              <w:snapToGrid w:val="0"/>
              <w:ind w:left="0" w:firstLine="0" w:firstLineChars="0"/>
              <w:rPr>
                <w:b/>
              </w:rPr>
            </w:pPr>
            <w:r>
              <w:rPr>
                <w:rFonts w:hint="eastAsia"/>
                <w:b/>
              </w:rPr>
              <w:t>声环境质量现状</w:t>
            </w:r>
          </w:p>
          <w:p w14:paraId="30366B69">
            <w:pPr>
              <w:ind w:firstLine="480"/>
              <w:rPr>
                <w:rFonts w:hint="default" w:eastAsia="宋体"/>
                <w:lang w:val="en-US" w:eastAsia="zh-CN"/>
              </w:rPr>
            </w:pPr>
            <w:r>
              <w:rPr>
                <w:highlight w:val="none"/>
              </w:rPr>
              <w:t>根据《建设项目环境影响报告表技术指南（污染影响类）</w:t>
            </w:r>
            <w:r>
              <w:rPr>
                <w:rFonts w:hint="eastAsia"/>
                <w:highlight w:val="none"/>
              </w:rPr>
              <w:t>（试行）》</w:t>
            </w:r>
            <w:r>
              <w:rPr>
                <w:highlight w:val="none"/>
              </w:rPr>
              <w:t>中“需要监测厂界外周边50米范围内存在的声环境保护目标”。本项目位于</w:t>
            </w:r>
            <w:r>
              <w:rPr>
                <w:rFonts w:hint="eastAsia"/>
                <w:bCs/>
                <w:highlight w:val="none"/>
                <w:lang w:val="en-US" w:eastAsia="zh-CN"/>
              </w:rPr>
              <w:t>湖南省岳阳市岳阳楼区月冲路华能湖南岳阳发电有限责任公司现有厂区内</w:t>
            </w:r>
            <w:r>
              <w:rPr>
                <w:highlight w:val="none"/>
              </w:rPr>
              <w:t>，根据现场踏勘调查，本项目厂界外周边50米范围</w:t>
            </w:r>
            <w:r>
              <w:rPr>
                <w:rFonts w:hint="eastAsia"/>
                <w:highlight w:val="none"/>
                <w:lang w:val="en-US" w:eastAsia="zh-CN"/>
              </w:rPr>
              <w:t>无声环境敏感目标</w:t>
            </w:r>
            <w:r>
              <w:rPr>
                <w:highlight w:val="none"/>
              </w:rPr>
              <w:t>，</w:t>
            </w:r>
            <w:r>
              <w:rPr>
                <w:rFonts w:hint="eastAsia"/>
                <w:highlight w:val="none"/>
                <w:lang w:val="en-US" w:eastAsia="zh-CN"/>
              </w:rPr>
              <w:t>本项目不需要对声环境质量现状进行监测。</w:t>
            </w:r>
          </w:p>
          <w:p w14:paraId="32C3743C">
            <w:pPr>
              <w:numPr>
                <w:ilvl w:val="0"/>
                <w:numId w:val="23"/>
              </w:numPr>
              <w:autoSpaceDE w:val="0"/>
              <w:autoSpaceDN w:val="0"/>
              <w:adjustRightInd w:val="0"/>
              <w:snapToGrid w:val="0"/>
              <w:ind w:left="0" w:firstLine="0" w:firstLineChars="0"/>
              <w:rPr>
                <w:b/>
              </w:rPr>
            </w:pPr>
            <w:r>
              <w:rPr>
                <w:rFonts w:hint="eastAsia"/>
                <w:b/>
              </w:rPr>
              <w:t>生态环境现状</w:t>
            </w:r>
          </w:p>
          <w:p w14:paraId="0F4EFA84">
            <w:pPr>
              <w:autoSpaceDE w:val="0"/>
              <w:autoSpaceDN w:val="0"/>
              <w:adjustRightInd w:val="0"/>
              <w:snapToGrid w:val="0"/>
              <w:ind w:firstLine="480"/>
              <w:rPr>
                <w:rFonts w:hint="eastAsia" w:eastAsia="宋体"/>
                <w:lang w:eastAsia="zh-CN"/>
              </w:rPr>
            </w:pPr>
            <w:r>
              <w:rPr>
                <w:rFonts w:hint="eastAsia"/>
              </w:rPr>
              <w:t>本项目利用现有场地进行生产，项目用地为工业用地，</w:t>
            </w:r>
            <w:r>
              <w:t>本项目</w:t>
            </w:r>
            <w:r>
              <w:rPr>
                <w:rFonts w:hint="eastAsia"/>
              </w:rPr>
              <w:t>选址</w:t>
            </w:r>
            <w:r>
              <w:t>不在自然保护区、风景名胜区、饮用水源保护区、</w:t>
            </w:r>
            <w:r>
              <w:rPr>
                <w:rFonts w:hint="eastAsia"/>
              </w:rPr>
              <w:t>生态保护红线、</w:t>
            </w:r>
            <w:r>
              <w:t>水产种质资源保护区、国家湿地公园</w:t>
            </w:r>
            <w:r>
              <w:rPr>
                <w:rFonts w:hint="eastAsia"/>
              </w:rPr>
              <w:t>等特殊保护目标，生态环境不属于敏感区；项目区域内未发现属于国家保护植物的种类，无珍稀濒危的野生保护植物物种和古树名木，不涉及重要植被资源和国家保护种栖息地</w:t>
            </w:r>
            <w:r>
              <w:rPr>
                <w:rFonts w:hint="eastAsia"/>
                <w:lang w:eastAsia="zh-CN"/>
              </w:rPr>
              <w:t>。</w:t>
            </w:r>
          </w:p>
          <w:p w14:paraId="63ED4FD3">
            <w:pPr>
              <w:numPr>
                <w:ilvl w:val="0"/>
                <w:numId w:val="23"/>
              </w:numPr>
              <w:autoSpaceDE w:val="0"/>
              <w:autoSpaceDN w:val="0"/>
              <w:adjustRightInd w:val="0"/>
              <w:snapToGrid w:val="0"/>
              <w:ind w:left="0" w:firstLine="0" w:firstLineChars="0"/>
              <w:rPr>
                <w:b/>
              </w:rPr>
            </w:pPr>
            <w:bookmarkStart w:id="98" w:name="_Toc9166"/>
            <w:bookmarkStart w:id="99" w:name="_Toc658"/>
            <w:r>
              <w:rPr>
                <w:rFonts w:hint="eastAsia"/>
                <w:b/>
              </w:rPr>
              <w:t>地下水</w:t>
            </w:r>
            <w:bookmarkEnd w:id="98"/>
            <w:bookmarkEnd w:id="99"/>
            <w:r>
              <w:rPr>
                <w:rFonts w:hint="eastAsia"/>
                <w:b/>
              </w:rPr>
              <w:t>及土壤</w:t>
            </w:r>
          </w:p>
          <w:p w14:paraId="221C427F">
            <w:pPr>
              <w:autoSpaceDE w:val="0"/>
              <w:autoSpaceDN w:val="0"/>
              <w:adjustRightInd w:val="0"/>
              <w:snapToGrid w:val="0"/>
              <w:ind w:firstLine="480"/>
              <w:rPr>
                <w:szCs w:val="21"/>
              </w:rPr>
            </w:pPr>
            <w:r>
              <w:rPr>
                <w:rFonts w:hint="eastAsia"/>
              </w:rPr>
              <w:t>本项目地面均进行硬化等防渗处理，不设置地下储罐等地下设施，基本不存在土壤、地下水环境污染途径，根据《建设项目环境影响报告表编制技术指南（污染影响类）（试行）》，本项目可不进行土壤及地下水环境评价调查。</w:t>
            </w:r>
          </w:p>
        </w:tc>
      </w:tr>
      <w:tr w14:paraId="2A5FC1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90" w:hRule="atLeast"/>
          <w:jc w:val="center"/>
        </w:trPr>
        <w:tc>
          <w:tcPr>
            <w:tcW w:w="334" w:type="pct"/>
            <w:vAlign w:val="center"/>
          </w:tcPr>
          <w:p w14:paraId="1181B53E">
            <w:pPr>
              <w:autoSpaceDE w:val="0"/>
              <w:autoSpaceDN w:val="0"/>
              <w:adjustRightInd w:val="0"/>
              <w:snapToGrid w:val="0"/>
              <w:spacing w:line="240" w:lineRule="auto"/>
              <w:ind w:firstLine="0" w:firstLineChars="0"/>
              <w:jc w:val="center"/>
              <w:rPr>
                <w:szCs w:val="21"/>
              </w:rPr>
            </w:pPr>
            <w:r>
              <w:rPr>
                <w:szCs w:val="21"/>
              </w:rPr>
              <w:t>环境保护目标</w:t>
            </w:r>
          </w:p>
        </w:tc>
        <w:tc>
          <w:tcPr>
            <w:tcW w:w="4665" w:type="pct"/>
            <w:vAlign w:val="center"/>
          </w:tcPr>
          <w:p w14:paraId="3812B350">
            <w:pPr>
              <w:autoSpaceDE w:val="0"/>
              <w:autoSpaceDN w:val="0"/>
              <w:adjustRightInd w:val="0"/>
              <w:snapToGrid w:val="0"/>
              <w:spacing w:before="120" w:beforeLines="50"/>
              <w:ind w:firstLine="480"/>
              <w:rPr>
                <w:rFonts w:hint="eastAsia"/>
                <w:szCs w:val="21"/>
              </w:rPr>
            </w:pPr>
            <w:r>
              <w:t>根据对区域的现场踏勘调查</w:t>
            </w:r>
            <w:r>
              <w:rPr>
                <w:rFonts w:hint="eastAsia"/>
                <w:szCs w:val="21"/>
              </w:rPr>
              <w:t>，厂界外50米范围内</w:t>
            </w:r>
            <w:r>
              <w:rPr>
                <w:rFonts w:hint="eastAsia"/>
                <w:szCs w:val="21"/>
                <w:lang w:val="en-US" w:eastAsia="zh-CN"/>
              </w:rPr>
              <w:t>无</w:t>
            </w:r>
            <w:r>
              <w:rPr>
                <w:rFonts w:hint="eastAsia"/>
                <w:szCs w:val="21"/>
              </w:rPr>
              <w:t>声环境保护目标；厂界外500米范围内无地下水集中式饮用水水源和热水、矿泉水、温泉等特殊地下水资源、</w:t>
            </w:r>
            <w:r>
              <w:rPr>
                <w:rFonts w:hint="eastAsia"/>
                <w:szCs w:val="21"/>
                <w:lang w:val="en-US" w:eastAsia="zh-CN"/>
              </w:rPr>
              <w:t>项目厂界500米范围内</w:t>
            </w:r>
            <w:r>
              <w:rPr>
                <w:rFonts w:hint="eastAsia"/>
                <w:szCs w:val="21"/>
              </w:rPr>
              <w:t>地表水环境保护目标</w:t>
            </w:r>
            <w:r>
              <w:rPr>
                <w:rFonts w:hint="eastAsia"/>
                <w:szCs w:val="21"/>
                <w:lang w:val="en-US" w:eastAsia="zh-CN"/>
              </w:rPr>
              <w:t>和</w:t>
            </w:r>
            <w:r>
              <w:rPr>
                <w:rFonts w:hint="eastAsia"/>
                <w:szCs w:val="21"/>
              </w:rPr>
              <w:t>大气环境保护目标见下表。</w:t>
            </w:r>
          </w:p>
          <w:p w14:paraId="4075C8D9">
            <w:pPr>
              <w:pStyle w:val="379"/>
              <w:keepNext w:val="0"/>
              <w:keepLines w:val="0"/>
              <w:pageBreakBefore w:val="0"/>
              <w:widowControl w:val="0"/>
              <w:numPr>
                <w:ilvl w:val="0"/>
                <w:numId w:val="25"/>
              </w:numPr>
              <w:kinsoku/>
              <w:wordWrap/>
              <w:overflowPunct/>
              <w:topLinePunct w:val="0"/>
              <w:autoSpaceDE/>
              <w:autoSpaceDN/>
              <w:bidi w:val="0"/>
              <w:adjustRightInd/>
              <w:snapToGrid/>
              <w:spacing w:line="240" w:lineRule="auto"/>
              <w:textAlignment w:val="auto"/>
              <w:rPr>
                <w:b/>
                <w:bCs/>
              </w:rPr>
            </w:pPr>
            <w:r>
              <w:rPr>
                <w:rFonts w:hint="eastAsia"/>
                <w:b/>
                <w:bCs/>
              </w:rPr>
              <w:t>大气环境保护目标一览表</w:t>
            </w:r>
          </w:p>
          <w:tbl>
            <w:tblPr>
              <w:tblStyle w:val="31"/>
              <w:tblW w:w="499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12"/>
              <w:gridCol w:w="1238"/>
              <w:gridCol w:w="1197"/>
              <w:gridCol w:w="752"/>
              <w:gridCol w:w="868"/>
              <w:gridCol w:w="1259"/>
              <w:gridCol w:w="815"/>
              <w:gridCol w:w="1008"/>
            </w:tblGrid>
            <w:tr w14:paraId="129AA6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620" w:type="pct"/>
                  <w:vMerge w:val="restart"/>
                  <w:vAlign w:val="center"/>
                </w:tcPr>
                <w:p w14:paraId="7C2EAC0D">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名称</w:t>
                  </w:r>
                </w:p>
              </w:tc>
              <w:tc>
                <w:tcPr>
                  <w:tcW w:w="1494" w:type="pct"/>
                  <w:gridSpan w:val="2"/>
                  <w:vAlign w:val="center"/>
                </w:tcPr>
                <w:p w14:paraId="5452C9E6">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经纬度</w:t>
                  </w:r>
                </w:p>
              </w:tc>
              <w:tc>
                <w:tcPr>
                  <w:tcW w:w="461" w:type="pct"/>
                  <w:vMerge w:val="restart"/>
                  <w:vAlign w:val="center"/>
                </w:tcPr>
                <w:p w14:paraId="40BAA185">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保护</w:t>
                  </w:r>
                </w:p>
                <w:p w14:paraId="2DAAAFC9">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对象</w:t>
                  </w:r>
                </w:p>
              </w:tc>
              <w:tc>
                <w:tcPr>
                  <w:tcW w:w="532" w:type="pct"/>
                  <w:vMerge w:val="restart"/>
                  <w:vAlign w:val="center"/>
                </w:tcPr>
                <w:p w14:paraId="50B4957C">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保护</w:t>
                  </w:r>
                </w:p>
                <w:p w14:paraId="231B1C21">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内容</w:t>
                  </w:r>
                </w:p>
              </w:tc>
              <w:tc>
                <w:tcPr>
                  <w:tcW w:w="772" w:type="pct"/>
                  <w:vMerge w:val="restart"/>
                  <w:vAlign w:val="center"/>
                </w:tcPr>
                <w:p w14:paraId="28B97CCC">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环境功能区</w:t>
                  </w:r>
                </w:p>
              </w:tc>
              <w:tc>
                <w:tcPr>
                  <w:tcW w:w="500" w:type="pct"/>
                  <w:vMerge w:val="restart"/>
                  <w:vAlign w:val="center"/>
                </w:tcPr>
                <w:p w14:paraId="3ECB2107">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相对厂址方位</w:t>
                  </w:r>
                </w:p>
              </w:tc>
              <w:tc>
                <w:tcPr>
                  <w:tcW w:w="618" w:type="pct"/>
                  <w:vMerge w:val="restart"/>
                  <w:vAlign w:val="center"/>
                </w:tcPr>
                <w:p w14:paraId="16861492">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相对厂界距离</w:t>
                  </w:r>
                  <w:r>
                    <w:rPr>
                      <w:rFonts w:hint="eastAsia"/>
                      <w:b/>
                      <w:bCs/>
                      <w:sz w:val="21"/>
                      <w:szCs w:val="21"/>
                      <w:u w:val="none"/>
                      <w:lang w:eastAsia="zh-CN"/>
                    </w:rPr>
                    <w:t>（</w:t>
                  </w:r>
                  <w:r>
                    <w:rPr>
                      <w:rFonts w:hint="eastAsia"/>
                      <w:b/>
                      <w:bCs/>
                      <w:sz w:val="21"/>
                      <w:szCs w:val="21"/>
                      <w:u w:val="none"/>
                      <w:lang w:val="en-US" w:eastAsia="zh-CN"/>
                    </w:rPr>
                    <w:t>最近</w:t>
                  </w:r>
                  <w:r>
                    <w:rPr>
                      <w:rFonts w:hint="eastAsia"/>
                      <w:b/>
                      <w:bCs/>
                      <w:sz w:val="21"/>
                      <w:szCs w:val="21"/>
                      <w:u w:val="none"/>
                      <w:lang w:eastAsia="zh-CN"/>
                    </w:rPr>
                    <w:t>）</w:t>
                  </w:r>
                  <w:r>
                    <w:rPr>
                      <w:rFonts w:hint="default"/>
                      <w:b/>
                      <w:bCs/>
                      <w:sz w:val="21"/>
                      <w:szCs w:val="21"/>
                      <w:u w:val="none"/>
                    </w:rPr>
                    <w:t>/m</w:t>
                  </w:r>
                </w:p>
              </w:tc>
            </w:tr>
            <w:tr w14:paraId="1FA558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620" w:type="pct"/>
                  <w:vMerge w:val="continue"/>
                  <w:vAlign w:val="center"/>
                </w:tcPr>
                <w:p w14:paraId="5888BD36">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p>
              </w:tc>
              <w:tc>
                <w:tcPr>
                  <w:tcW w:w="759" w:type="pct"/>
                  <w:vAlign w:val="center"/>
                </w:tcPr>
                <w:p w14:paraId="06B1897C">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经度</w:t>
                  </w:r>
                </w:p>
              </w:tc>
              <w:tc>
                <w:tcPr>
                  <w:tcW w:w="734" w:type="pct"/>
                  <w:vAlign w:val="center"/>
                </w:tcPr>
                <w:p w14:paraId="44618979">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纬度</w:t>
                  </w:r>
                </w:p>
              </w:tc>
              <w:tc>
                <w:tcPr>
                  <w:tcW w:w="461" w:type="pct"/>
                  <w:vMerge w:val="continue"/>
                  <w:vAlign w:val="center"/>
                </w:tcPr>
                <w:p w14:paraId="031601E6">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p>
              </w:tc>
              <w:tc>
                <w:tcPr>
                  <w:tcW w:w="532" w:type="pct"/>
                  <w:vMerge w:val="continue"/>
                  <w:vAlign w:val="center"/>
                </w:tcPr>
                <w:p w14:paraId="0BC8AC13">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p>
              </w:tc>
              <w:tc>
                <w:tcPr>
                  <w:tcW w:w="772" w:type="pct"/>
                  <w:vMerge w:val="continue"/>
                  <w:vAlign w:val="center"/>
                </w:tcPr>
                <w:p w14:paraId="5B01607B">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p>
              </w:tc>
              <w:tc>
                <w:tcPr>
                  <w:tcW w:w="500" w:type="pct"/>
                  <w:vMerge w:val="continue"/>
                  <w:vAlign w:val="center"/>
                </w:tcPr>
                <w:p w14:paraId="04DF1DBE">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p>
              </w:tc>
              <w:tc>
                <w:tcPr>
                  <w:tcW w:w="618" w:type="pct"/>
                  <w:vMerge w:val="continue"/>
                  <w:vAlign w:val="center"/>
                </w:tcPr>
                <w:p w14:paraId="5B009705">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p>
              </w:tc>
            </w:tr>
            <w:tr w14:paraId="76E31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20" w:type="pct"/>
                  <w:vAlign w:val="center"/>
                </w:tcPr>
                <w:p w14:paraId="11922BBB">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eastAsia="宋体"/>
                      <w:sz w:val="21"/>
                      <w:szCs w:val="21"/>
                      <w:u w:val="none"/>
                      <w:lang w:val="en-US" w:eastAsia="zh-CN"/>
                    </w:rPr>
                  </w:pPr>
                  <w:r>
                    <w:rPr>
                      <w:rFonts w:hint="eastAsia"/>
                      <w:sz w:val="21"/>
                      <w:szCs w:val="21"/>
                      <w:u w:val="none"/>
                      <w:lang w:val="en-US" w:eastAsia="zh-CN"/>
                    </w:rPr>
                    <w:t>城陵矶社区</w:t>
                  </w:r>
                </w:p>
              </w:tc>
              <w:tc>
                <w:tcPr>
                  <w:tcW w:w="759" w:type="pct"/>
                  <w:vAlign w:val="center"/>
                </w:tcPr>
                <w:p w14:paraId="214023FC">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rPr>
                  </w:pPr>
                  <w:r>
                    <w:rPr>
                      <w:rFonts w:hint="eastAsia"/>
                      <w:sz w:val="21"/>
                      <w:szCs w:val="21"/>
                      <w:u w:val="none"/>
                    </w:rPr>
                    <w:t>113.151444</w:t>
                  </w:r>
                </w:p>
              </w:tc>
              <w:tc>
                <w:tcPr>
                  <w:tcW w:w="734" w:type="pct"/>
                  <w:vAlign w:val="center"/>
                </w:tcPr>
                <w:p w14:paraId="75C513EF">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rPr>
                  </w:pPr>
                  <w:r>
                    <w:rPr>
                      <w:rFonts w:hint="default"/>
                      <w:sz w:val="21"/>
                      <w:szCs w:val="21"/>
                      <w:u w:val="none"/>
                    </w:rPr>
                    <w:t>29.439436</w:t>
                  </w:r>
                </w:p>
              </w:tc>
              <w:tc>
                <w:tcPr>
                  <w:tcW w:w="461" w:type="pct"/>
                  <w:vAlign w:val="center"/>
                </w:tcPr>
                <w:p w14:paraId="1AEB3E7A">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eastAsia" w:eastAsia="宋体"/>
                      <w:sz w:val="21"/>
                      <w:szCs w:val="21"/>
                      <w:u w:val="none"/>
                      <w:lang w:val="en-US" w:eastAsia="zh-CN"/>
                    </w:rPr>
                  </w:pPr>
                  <w:r>
                    <w:rPr>
                      <w:rFonts w:hint="eastAsia"/>
                      <w:sz w:val="21"/>
                      <w:szCs w:val="21"/>
                      <w:u w:val="none"/>
                      <w:lang w:val="en-US" w:eastAsia="zh-CN"/>
                    </w:rPr>
                    <w:t>居民</w:t>
                  </w:r>
                </w:p>
              </w:tc>
              <w:tc>
                <w:tcPr>
                  <w:tcW w:w="532" w:type="pct"/>
                  <w:vAlign w:val="center"/>
                </w:tcPr>
                <w:p w14:paraId="7BE8D1D2">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eastAsia="宋体"/>
                      <w:sz w:val="21"/>
                      <w:szCs w:val="21"/>
                      <w:u w:val="none"/>
                      <w:lang w:val="en-US" w:eastAsia="zh-CN"/>
                    </w:rPr>
                  </w:pPr>
                  <w:r>
                    <w:rPr>
                      <w:rFonts w:hint="eastAsia"/>
                      <w:sz w:val="21"/>
                      <w:szCs w:val="21"/>
                      <w:u w:val="none"/>
                      <w:lang w:val="en-US" w:eastAsia="zh-CN"/>
                    </w:rPr>
                    <w:t>约350人</w:t>
                  </w:r>
                </w:p>
              </w:tc>
              <w:tc>
                <w:tcPr>
                  <w:tcW w:w="772" w:type="pct"/>
                  <w:vMerge w:val="restart"/>
                  <w:vAlign w:val="center"/>
                </w:tcPr>
                <w:p w14:paraId="6EC35F2D">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both"/>
                    <w:textAlignment w:val="auto"/>
                    <w:rPr>
                      <w:rFonts w:hint="default"/>
                      <w:sz w:val="21"/>
                      <w:szCs w:val="21"/>
                      <w:u w:val="none"/>
                    </w:rPr>
                  </w:pPr>
                  <w:r>
                    <w:rPr>
                      <w:rFonts w:hint="default"/>
                      <w:sz w:val="21"/>
                      <w:szCs w:val="21"/>
                      <w:u w:val="none"/>
                    </w:rPr>
                    <w:t>《环境空气质量标准》GB3095-2012中的二级标准</w:t>
                  </w:r>
                </w:p>
              </w:tc>
              <w:tc>
                <w:tcPr>
                  <w:tcW w:w="500" w:type="pct"/>
                  <w:vAlign w:val="center"/>
                </w:tcPr>
                <w:p w14:paraId="3D8907CB">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eastAsia="宋体"/>
                      <w:sz w:val="21"/>
                      <w:szCs w:val="21"/>
                      <w:u w:val="none"/>
                      <w:lang w:val="en-US" w:eastAsia="zh-CN"/>
                    </w:rPr>
                  </w:pPr>
                  <w:r>
                    <w:rPr>
                      <w:rFonts w:hint="eastAsia"/>
                      <w:sz w:val="21"/>
                      <w:szCs w:val="21"/>
                      <w:u w:val="none"/>
                      <w:lang w:val="en-US" w:eastAsia="zh-CN"/>
                    </w:rPr>
                    <w:t>西南</w:t>
                  </w:r>
                </w:p>
              </w:tc>
              <w:tc>
                <w:tcPr>
                  <w:tcW w:w="618" w:type="pct"/>
                  <w:vAlign w:val="center"/>
                </w:tcPr>
                <w:p w14:paraId="4B7D4C01">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eastAsia="宋体"/>
                      <w:sz w:val="21"/>
                      <w:szCs w:val="21"/>
                      <w:u w:val="none"/>
                      <w:lang w:val="en-US" w:eastAsia="zh-CN"/>
                    </w:rPr>
                  </w:pPr>
                  <w:r>
                    <w:rPr>
                      <w:rFonts w:hint="eastAsia"/>
                      <w:sz w:val="21"/>
                      <w:szCs w:val="21"/>
                      <w:u w:val="none"/>
                      <w:lang w:val="en-US" w:eastAsia="zh-CN"/>
                    </w:rPr>
                    <w:t>约155m</w:t>
                  </w:r>
                </w:p>
              </w:tc>
            </w:tr>
            <w:tr w14:paraId="43D8BD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20" w:type="pct"/>
                  <w:vAlign w:val="center"/>
                </w:tcPr>
                <w:p w14:paraId="57664157">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eastAsia"/>
                      <w:sz w:val="21"/>
                      <w:szCs w:val="21"/>
                      <w:u w:val="none"/>
                      <w:lang w:val="en-US" w:eastAsia="zh-CN"/>
                    </w:rPr>
                  </w:pPr>
                  <w:r>
                    <w:rPr>
                      <w:rFonts w:hint="eastAsia"/>
                      <w:sz w:val="21"/>
                      <w:szCs w:val="21"/>
                      <w:u w:val="none"/>
                      <w:lang w:val="en-US" w:eastAsia="zh-CN"/>
                    </w:rPr>
                    <w:t>环岛</w:t>
                  </w:r>
                </w:p>
                <w:p w14:paraId="7968EA54">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小区</w:t>
                  </w:r>
                </w:p>
              </w:tc>
              <w:tc>
                <w:tcPr>
                  <w:tcW w:w="759" w:type="pct"/>
                  <w:vAlign w:val="center"/>
                </w:tcPr>
                <w:p w14:paraId="7623C5BA">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eastAsia="宋体"/>
                      <w:sz w:val="21"/>
                      <w:szCs w:val="21"/>
                      <w:u w:val="none"/>
                      <w:lang w:val="en-US" w:eastAsia="zh-CN"/>
                    </w:rPr>
                  </w:pPr>
                  <w:r>
                    <w:rPr>
                      <w:rFonts w:hint="eastAsia"/>
                      <w:sz w:val="21"/>
                      <w:szCs w:val="21"/>
                      <w:u w:val="none"/>
                    </w:rPr>
                    <w:t>113.1534</w:t>
                  </w:r>
                  <w:r>
                    <w:rPr>
                      <w:rFonts w:hint="eastAsia"/>
                      <w:sz w:val="21"/>
                      <w:szCs w:val="21"/>
                      <w:u w:val="none"/>
                      <w:lang w:val="en-US" w:eastAsia="zh-CN"/>
                    </w:rPr>
                    <w:t>40</w:t>
                  </w:r>
                </w:p>
              </w:tc>
              <w:tc>
                <w:tcPr>
                  <w:tcW w:w="734" w:type="pct"/>
                  <w:vAlign w:val="center"/>
                </w:tcPr>
                <w:p w14:paraId="0A6C9BD7">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eastAsia" w:eastAsia="宋体"/>
                      <w:sz w:val="21"/>
                      <w:szCs w:val="21"/>
                      <w:u w:val="none"/>
                      <w:lang w:val="en-US" w:eastAsia="zh-CN"/>
                    </w:rPr>
                  </w:pPr>
                  <w:r>
                    <w:rPr>
                      <w:rFonts w:hint="eastAsia"/>
                      <w:sz w:val="21"/>
                      <w:szCs w:val="21"/>
                      <w:u w:val="none"/>
                    </w:rPr>
                    <w:t>29.44180</w:t>
                  </w:r>
                  <w:r>
                    <w:rPr>
                      <w:rFonts w:hint="eastAsia"/>
                      <w:sz w:val="21"/>
                      <w:szCs w:val="21"/>
                      <w:u w:val="none"/>
                      <w:lang w:val="en-US" w:eastAsia="zh-CN"/>
                    </w:rPr>
                    <w:t>8</w:t>
                  </w:r>
                </w:p>
              </w:tc>
              <w:tc>
                <w:tcPr>
                  <w:tcW w:w="461" w:type="pct"/>
                  <w:vAlign w:val="center"/>
                </w:tcPr>
                <w:p w14:paraId="70F19A97">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居民</w:t>
                  </w:r>
                </w:p>
              </w:tc>
              <w:tc>
                <w:tcPr>
                  <w:tcW w:w="532" w:type="pct"/>
                  <w:vAlign w:val="center"/>
                </w:tcPr>
                <w:p w14:paraId="2AC1F132">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约2800人</w:t>
                  </w:r>
                </w:p>
              </w:tc>
              <w:tc>
                <w:tcPr>
                  <w:tcW w:w="772" w:type="pct"/>
                  <w:vMerge w:val="continue"/>
                  <w:vAlign w:val="center"/>
                </w:tcPr>
                <w:p w14:paraId="5652E1C8">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both"/>
                    <w:textAlignment w:val="auto"/>
                    <w:rPr>
                      <w:rFonts w:hint="default"/>
                      <w:sz w:val="21"/>
                      <w:szCs w:val="21"/>
                      <w:u w:val="none"/>
                    </w:rPr>
                  </w:pPr>
                </w:p>
              </w:tc>
              <w:tc>
                <w:tcPr>
                  <w:tcW w:w="500" w:type="pct"/>
                  <w:vAlign w:val="center"/>
                </w:tcPr>
                <w:p w14:paraId="3AA07DB6">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西南</w:t>
                  </w:r>
                </w:p>
              </w:tc>
              <w:tc>
                <w:tcPr>
                  <w:tcW w:w="618" w:type="pct"/>
                  <w:vAlign w:val="center"/>
                </w:tcPr>
                <w:p w14:paraId="205FE54B">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约87m</w:t>
                  </w:r>
                </w:p>
              </w:tc>
            </w:tr>
            <w:tr w14:paraId="2F6063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20" w:type="pct"/>
                  <w:vAlign w:val="center"/>
                </w:tcPr>
                <w:p w14:paraId="6A89BFA6">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eastAsia"/>
                      <w:sz w:val="21"/>
                      <w:szCs w:val="21"/>
                      <w:u w:val="none"/>
                      <w:lang w:val="en-US" w:eastAsia="zh-CN"/>
                    </w:rPr>
                  </w:pPr>
                  <w:r>
                    <w:rPr>
                      <w:rFonts w:hint="eastAsia"/>
                      <w:sz w:val="21"/>
                      <w:szCs w:val="21"/>
                      <w:u w:val="none"/>
                      <w:lang w:val="en-US" w:eastAsia="zh-CN"/>
                    </w:rPr>
                    <w:t>安居</w:t>
                  </w:r>
                </w:p>
                <w:p w14:paraId="222622B6">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小区</w:t>
                  </w:r>
                </w:p>
              </w:tc>
              <w:tc>
                <w:tcPr>
                  <w:tcW w:w="759" w:type="pct"/>
                  <w:vAlign w:val="center"/>
                </w:tcPr>
                <w:p w14:paraId="0A0E7EF0">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default"/>
                      <w:sz w:val="21"/>
                      <w:szCs w:val="21"/>
                      <w:u w:val="none"/>
                      <w:lang w:val="en-US" w:eastAsia="zh-CN"/>
                    </w:rPr>
                    <w:t>113.155403</w:t>
                  </w:r>
                </w:p>
              </w:tc>
              <w:tc>
                <w:tcPr>
                  <w:tcW w:w="734" w:type="pct"/>
                  <w:vAlign w:val="center"/>
                </w:tcPr>
                <w:p w14:paraId="441B3C50">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default"/>
                      <w:sz w:val="21"/>
                      <w:szCs w:val="21"/>
                      <w:u w:val="none"/>
                      <w:lang w:val="en-US" w:eastAsia="zh-CN"/>
                    </w:rPr>
                    <w:t>29.440005</w:t>
                  </w:r>
                </w:p>
              </w:tc>
              <w:tc>
                <w:tcPr>
                  <w:tcW w:w="461" w:type="pct"/>
                  <w:vAlign w:val="center"/>
                </w:tcPr>
                <w:p w14:paraId="64F9A704">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居民</w:t>
                  </w:r>
                </w:p>
              </w:tc>
              <w:tc>
                <w:tcPr>
                  <w:tcW w:w="532" w:type="pct"/>
                  <w:vAlign w:val="center"/>
                </w:tcPr>
                <w:p w14:paraId="63C04B8B">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约2800人</w:t>
                  </w:r>
                </w:p>
              </w:tc>
              <w:tc>
                <w:tcPr>
                  <w:tcW w:w="772" w:type="pct"/>
                  <w:vMerge w:val="continue"/>
                  <w:vAlign w:val="center"/>
                </w:tcPr>
                <w:p w14:paraId="2F47609A">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both"/>
                    <w:textAlignment w:val="auto"/>
                    <w:rPr>
                      <w:rFonts w:hint="default"/>
                      <w:sz w:val="21"/>
                      <w:szCs w:val="21"/>
                      <w:u w:val="none"/>
                    </w:rPr>
                  </w:pPr>
                </w:p>
              </w:tc>
              <w:tc>
                <w:tcPr>
                  <w:tcW w:w="500" w:type="pct"/>
                  <w:vAlign w:val="center"/>
                </w:tcPr>
                <w:p w14:paraId="456DB36A">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南</w:t>
                  </w:r>
                </w:p>
              </w:tc>
              <w:tc>
                <w:tcPr>
                  <w:tcW w:w="618" w:type="pct"/>
                  <w:vAlign w:val="center"/>
                </w:tcPr>
                <w:p w14:paraId="4D684D0A">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约230m</w:t>
                  </w:r>
                </w:p>
              </w:tc>
            </w:tr>
            <w:tr w14:paraId="5268D6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20" w:type="pct"/>
                  <w:vAlign w:val="center"/>
                </w:tcPr>
                <w:p w14:paraId="59EA158B">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eastAsia"/>
                      <w:sz w:val="21"/>
                      <w:szCs w:val="21"/>
                      <w:u w:val="none"/>
                      <w:lang w:val="en-US" w:eastAsia="zh-CN"/>
                    </w:rPr>
                  </w:pPr>
                  <w:r>
                    <w:rPr>
                      <w:rFonts w:hint="eastAsia"/>
                      <w:sz w:val="21"/>
                      <w:szCs w:val="21"/>
                      <w:u w:val="none"/>
                      <w:lang w:val="en-US" w:eastAsia="zh-CN"/>
                    </w:rPr>
                    <w:t>华能</w:t>
                  </w:r>
                </w:p>
                <w:p w14:paraId="70D077AF">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二区</w:t>
                  </w:r>
                </w:p>
              </w:tc>
              <w:tc>
                <w:tcPr>
                  <w:tcW w:w="759" w:type="pct"/>
                  <w:vAlign w:val="center"/>
                </w:tcPr>
                <w:p w14:paraId="7BFD3AA8">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default"/>
                      <w:sz w:val="21"/>
                      <w:szCs w:val="21"/>
                      <w:u w:val="none"/>
                      <w:lang w:val="en-US" w:eastAsia="zh-CN"/>
                    </w:rPr>
                    <w:t>113.158332</w:t>
                  </w:r>
                </w:p>
              </w:tc>
              <w:tc>
                <w:tcPr>
                  <w:tcW w:w="734" w:type="pct"/>
                  <w:vAlign w:val="center"/>
                </w:tcPr>
                <w:p w14:paraId="548907CF">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default"/>
                      <w:sz w:val="21"/>
                      <w:szCs w:val="21"/>
                      <w:u w:val="none"/>
                      <w:lang w:val="en-US" w:eastAsia="zh-CN"/>
                    </w:rPr>
                    <w:t>29.439758</w:t>
                  </w:r>
                </w:p>
              </w:tc>
              <w:tc>
                <w:tcPr>
                  <w:tcW w:w="461" w:type="pct"/>
                  <w:vAlign w:val="center"/>
                </w:tcPr>
                <w:p w14:paraId="2F1D4265">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居民</w:t>
                  </w:r>
                </w:p>
              </w:tc>
              <w:tc>
                <w:tcPr>
                  <w:tcW w:w="532" w:type="pct"/>
                  <w:vAlign w:val="center"/>
                </w:tcPr>
                <w:p w14:paraId="599C7479">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约1050人</w:t>
                  </w:r>
                </w:p>
              </w:tc>
              <w:tc>
                <w:tcPr>
                  <w:tcW w:w="772" w:type="pct"/>
                  <w:vMerge w:val="continue"/>
                  <w:vAlign w:val="center"/>
                </w:tcPr>
                <w:p w14:paraId="5814A5BE">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both"/>
                    <w:textAlignment w:val="auto"/>
                    <w:rPr>
                      <w:rFonts w:hint="default"/>
                      <w:sz w:val="21"/>
                      <w:szCs w:val="21"/>
                      <w:u w:val="none"/>
                    </w:rPr>
                  </w:pPr>
                </w:p>
              </w:tc>
              <w:tc>
                <w:tcPr>
                  <w:tcW w:w="500" w:type="pct"/>
                  <w:vAlign w:val="center"/>
                </w:tcPr>
                <w:p w14:paraId="065615AD">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南</w:t>
                  </w:r>
                </w:p>
              </w:tc>
              <w:tc>
                <w:tcPr>
                  <w:tcW w:w="618" w:type="pct"/>
                  <w:vAlign w:val="center"/>
                </w:tcPr>
                <w:p w14:paraId="280A45D7">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约110m</w:t>
                  </w:r>
                </w:p>
              </w:tc>
            </w:tr>
            <w:tr w14:paraId="0DBF74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20" w:type="pct"/>
                  <w:vAlign w:val="center"/>
                </w:tcPr>
                <w:p w14:paraId="62F52D4D">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叶家岔</w:t>
                  </w:r>
                </w:p>
              </w:tc>
              <w:tc>
                <w:tcPr>
                  <w:tcW w:w="759" w:type="pct"/>
                  <w:vAlign w:val="center"/>
                </w:tcPr>
                <w:p w14:paraId="26E7C987">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default"/>
                      <w:sz w:val="21"/>
                      <w:szCs w:val="21"/>
                      <w:u w:val="none"/>
                      <w:lang w:val="en-US" w:eastAsia="zh-CN"/>
                    </w:rPr>
                    <w:t>113.162291</w:t>
                  </w:r>
                </w:p>
              </w:tc>
              <w:tc>
                <w:tcPr>
                  <w:tcW w:w="734" w:type="pct"/>
                  <w:vAlign w:val="center"/>
                </w:tcPr>
                <w:p w14:paraId="0C29D862">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default"/>
                      <w:sz w:val="21"/>
                      <w:szCs w:val="21"/>
                      <w:u w:val="none"/>
                      <w:lang w:val="en-US" w:eastAsia="zh-CN"/>
                    </w:rPr>
                    <w:t>29.439420</w:t>
                  </w:r>
                </w:p>
              </w:tc>
              <w:tc>
                <w:tcPr>
                  <w:tcW w:w="461" w:type="pct"/>
                  <w:vAlign w:val="center"/>
                </w:tcPr>
                <w:p w14:paraId="6E4E6E5F">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居民</w:t>
                  </w:r>
                </w:p>
              </w:tc>
              <w:tc>
                <w:tcPr>
                  <w:tcW w:w="532" w:type="pct"/>
                  <w:vAlign w:val="center"/>
                </w:tcPr>
                <w:p w14:paraId="30617EC7">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约400人</w:t>
                  </w:r>
                </w:p>
              </w:tc>
              <w:tc>
                <w:tcPr>
                  <w:tcW w:w="772" w:type="pct"/>
                  <w:vMerge w:val="continue"/>
                  <w:vAlign w:val="center"/>
                </w:tcPr>
                <w:p w14:paraId="03106010">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both"/>
                    <w:textAlignment w:val="auto"/>
                    <w:rPr>
                      <w:rFonts w:hint="default"/>
                      <w:sz w:val="21"/>
                      <w:szCs w:val="21"/>
                      <w:u w:val="none"/>
                    </w:rPr>
                  </w:pPr>
                </w:p>
              </w:tc>
              <w:tc>
                <w:tcPr>
                  <w:tcW w:w="500" w:type="pct"/>
                  <w:vAlign w:val="center"/>
                </w:tcPr>
                <w:p w14:paraId="689A98C4">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东南</w:t>
                  </w:r>
                </w:p>
              </w:tc>
              <w:tc>
                <w:tcPr>
                  <w:tcW w:w="618" w:type="pct"/>
                  <w:vAlign w:val="center"/>
                </w:tcPr>
                <w:p w14:paraId="02B20EC9">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约150m</w:t>
                  </w:r>
                </w:p>
              </w:tc>
            </w:tr>
            <w:tr w14:paraId="23FA2C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20" w:type="pct"/>
                  <w:vAlign w:val="center"/>
                </w:tcPr>
                <w:p w14:paraId="7BCD48C9">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eastAsia"/>
                      <w:sz w:val="21"/>
                      <w:szCs w:val="21"/>
                      <w:u w:val="none"/>
                      <w:lang w:val="en-US" w:eastAsia="zh-CN"/>
                    </w:rPr>
                  </w:pPr>
                  <w:r>
                    <w:rPr>
                      <w:rFonts w:hint="eastAsia"/>
                      <w:sz w:val="21"/>
                      <w:szCs w:val="21"/>
                      <w:u w:val="none"/>
                      <w:lang w:val="en-US" w:eastAsia="zh-CN"/>
                    </w:rPr>
                    <w:t>岳纸</w:t>
                  </w:r>
                </w:p>
                <w:p w14:paraId="7FE5E042">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学校</w:t>
                  </w:r>
                </w:p>
              </w:tc>
              <w:tc>
                <w:tcPr>
                  <w:tcW w:w="759" w:type="pct"/>
                  <w:vAlign w:val="center"/>
                </w:tcPr>
                <w:p w14:paraId="1BD95B89">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default"/>
                      <w:sz w:val="21"/>
                      <w:szCs w:val="21"/>
                      <w:u w:val="none"/>
                      <w:lang w:val="en-US" w:eastAsia="zh-CN"/>
                    </w:rPr>
                    <w:t>113.156808</w:t>
                  </w:r>
                </w:p>
              </w:tc>
              <w:tc>
                <w:tcPr>
                  <w:tcW w:w="734" w:type="pct"/>
                  <w:vAlign w:val="center"/>
                </w:tcPr>
                <w:p w14:paraId="546C401B">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default"/>
                      <w:sz w:val="21"/>
                      <w:szCs w:val="21"/>
                      <w:u w:val="none"/>
                      <w:lang w:val="en-US" w:eastAsia="zh-CN"/>
                    </w:rPr>
                    <w:t>29.439790</w:t>
                  </w:r>
                </w:p>
              </w:tc>
              <w:tc>
                <w:tcPr>
                  <w:tcW w:w="461" w:type="pct"/>
                  <w:vAlign w:val="center"/>
                </w:tcPr>
                <w:p w14:paraId="7A7DDD93">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师生</w:t>
                  </w:r>
                </w:p>
              </w:tc>
              <w:tc>
                <w:tcPr>
                  <w:tcW w:w="532" w:type="pct"/>
                  <w:vAlign w:val="center"/>
                </w:tcPr>
                <w:p w14:paraId="7D477C98">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约400人</w:t>
                  </w:r>
                </w:p>
              </w:tc>
              <w:tc>
                <w:tcPr>
                  <w:tcW w:w="772" w:type="pct"/>
                  <w:vMerge w:val="continue"/>
                  <w:vAlign w:val="center"/>
                </w:tcPr>
                <w:p w14:paraId="515B104D">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both"/>
                    <w:textAlignment w:val="auto"/>
                    <w:rPr>
                      <w:rFonts w:hint="default"/>
                      <w:sz w:val="21"/>
                      <w:szCs w:val="21"/>
                      <w:u w:val="none"/>
                    </w:rPr>
                  </w:pPr>
                </w:p>
              </w:tc>
              <w:tc>
                <w:tcPr>
                  <w:tcW w:w="500" w:type="pct"/>
                  <w:vAlign w:val="center"/>
                </w:tcPr>
                <w:p w14:paraId="6C625CF4">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南</w:t>
                  </w:r>
                </w:p>
              </w:tc>
              <w:tc>
                <w:tcPr>
                  <w:tcW w:w="618" w:type="pct"/>
                  <w:vAlign w:val="center"/>
                </w:tcPr>
                <w:p w14:paraId="2CB8CEEF">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约230m</w:t>
                  </w:r>
                </w:p>
              </w:tc>
            </w:tr>
          </w:tbl>
          <w:p w14:paraId="64A50939">
            <w:pPr>
              <w:pStyle w:val="379"/>
              <w:keepNext w:val="0"/>
              <w:keepLines w:val="0"/>
              <w:pageBreakBefore w:val="0"/>
              <w:widowControl w:val="0"/>
              <w:numPr>
                <w:ilvl w:val="0"/>
                <w:numId w:val="25"/>
              </w:numPr>
              <w:kinsoku/>
              <w:wordWrap/>
              <w:overflowPunct/>
              <w:topLinePunct w:val="0"/>
              <w:autoSpaceDE/>
              <w:autoSpaceDN/>
              <w:bidi w:val="0"/>
              <w:adjustRightInd/>
              <w:snapToGrid/>
              <w:spacing w:before="164" w:beforeLines="50" w:line="240" w:lineRule="auto"/>
              <w:textAlignment w:val="auto"/>
            </w:pPr>
            <w:r>
              <w:rPr>
                <w:rFonts w:hint="eastAsia"/>
                <w:b/>
                <w:bCs/>
                <w:lang w:val="en-US" w:eastAsia="zh-CN"/>
              </w:rPr>
              <w:t>地表水环境保护目标一览表</w:t>
            </w:r>
          </w:p>
          <w:tbl>
            <w:tblPr>
              <w:tblStyle w:val="31"/>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84"/>
              <w:gridCol w:w="976"/>
              <w:gridCol w:w="1597"/>
              <w:gridCol w:w="1227"/>
              <w:gridCol w:w="2870"/>
            </w:tblGrid>
            <w:tr w14:paraId="6A38E0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03" w:hRule="atLeast"/>
                <w:jc w:val="center"/>
              </w:trPr>
              <w:tc>
                <w:tcPr>
                  <w:tcW w:w="909" w:type="pct"/>
                  <w:vAlign w:val="center"/>
                </w:tcPr>
                <w:p w14:paraId="7E6524CA">
                  <w:pPr>
                    <w:keepNext w:val="0"/>
                    <w:keepLines w:val="0"/>
                    <w:pageBreakBefore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rPr>
                      <w:rFonts w:hint="default"/>
                      <w:b/>
                      <w:bCs/>
                      <w:sz w:val="21"/>
                      <w:szCs w:val="21"/>
                    </w:rPr>
                  </w:pPr>
                  <w:r>
                    <w:rPr>
                      <w:rFonts w:hint="default"/>
                      <w:b/>
                      <w:bCs/>
                      <w:sz w:val="21"/>
                      <w:szCs w:val="21"/>
                    </w:rPr>
                    <w:t>保护目标</w:t>
                  </w:r>
                </w:p>
              </w:tc>
              <w:tc>
                <w:tcPr>
                  <w:tcW w:w="598" w:type="pct"/>
                  <w:vAlign w:val="center"/>
                </w:tcPr>
                <w:p w14:paraId="72A69C32">
                  <w:pPr>
                    <w:keepNext w:val="0"/>
                    <w:keepLines w:val="0"/>
                    <w:pageBreakBefore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rPr>
                      <w:rFonts w:hint="default"/>
                      <w:sz w:val="21"/>
                      <w:szCs w:val="21"/>
                    </w:rPr>
                  </w:pPr>
                  <w:r>
                    <w:rPr>
                      <w:rFonts w:hint="default"/>
                      <w:b/>
                      <w:bCs/>
                      <w:sz w:val="21"/>
                      <w:szCs w:val="21"/>
                    </w:rPr>
                    <w:t>相对厂址方位</w:t>
                  </w:r>
                </w:p>
              </w:tc>
              <w:tc>
                <w:tcPr>
                  <w:tcW w:w="979" w:type="pct"/>
                  <w:vAlign w:val="center"/>
                </w:tcPr>
                <w:p w14:paraId="0A049CCF">
                  <w:pPr>
                    <w:keepNext w:val="0"/>
                    <w:keepLines w:val="0"/>
                    <w:pageBreakBefore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rPr>
                      <w:rFonts w:hint="default"/>
                      <w:b/>
                      <w:bCs/>
                      <w:sz w:val="21"/>
                      <w:szCs w:val="21"/>
                    </w:rPr>
                  </w:pPr>
                  <w:r>
                    <w:rPr>
                      <w:rFonts w:hint="default"/>
                      <w:b/>
                      <w:bCs/>
                      <w:sz w:val="21"/>
                      <w:szCs w:val="21"/>
                    </w:rPr>
                    <w:t>相对厂界距离</w:t>
                  </w:r>
                </w:p>
              </w:tc>
              <w:tc>
                <w:tcPr>
                  <w:tcW w:w="752" w:type="pct"/>
                  <w:vAlign w:val="center"/>
                </w:tcPr>
                <w:p w14:paraId="2CD7FFD2">
                  <w:pPr>
                    <w:pStyle w:val="120"/>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rPr>
                      <w:rFonts w:hint="default" w:ascii="Times New Roman"/>
                      <w:b/>
                      <w:bCs/>
                      <w:sz w:val="21"/>
                      <w:szCs w:val="21"/>
                    </w:rPr>
                  </w:pPr>
                  <w:r>
                    <w:rPr>
                      <w:rFonts w:hint="default" w:ascii="Times New Roman"/>
                      <w:b/>
                      <w:bCs/>
                      <w:sz w:val="21"/>
                      <w:szCs w:val="21"/>
                    </w:rPr>
                    <w:t>规模、功能</w:t>
                  </w:r>
                </w:p>
              </w:tc>
              <w:tc>
                <w:tcPr>
                  <w:tcW w:w="1759" w:type="pct"/>
                  <w:vAlign w:val="center"/>
                </w:tcPr>
                <w:p w14:paraId="2524EF27">
                  <w:pPr>
                    <w:keepNext w:val="0"/>
                    <w:keepLines w:val="0"/>
                    <w:pageBreakBefore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rPr>
                      <w:rFonts w:hint="default"/>
                      <w:b/>
                      <w:bCs/>
                      <w:sz w:val="21"/>
                      <w:szCs w:val="21"/>
                    </w:rPr>
                  </w:pPr>
                  <w:r>
                    <w:rPr>
                      <w:rFonts w:hint="default"/>
                      <w:b/>
                      <w:bCs/>
                      <w:sz w:val="21"/>
                      <w:szCs w:val="21"/>
                    </w:rPr>
                    <w:t>保护级别</w:t>
                  </w:r>
                </w:p>
              </w:tc>
            </w:tr>
            <w:tr w14:paraId="469AD0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09" w:type="pct"/>
                  <w:vAlign w:val="center"/>
                </w:tcPr>
                <w:p w14:paraId="64855AD6">
                  <w:pPr>
                    <w:keepNext w:val="0"/>
                    <w:keepLines w:val="0"/>
                    <w:pageBreakBefore w:val="0"/>
                    <w:suppressLineNumbers w:val="0"/>
                    <w:kinsoku/>
                    <w:wordWrap/>
                    <w:overflowPunct/>
                    <w:topLinePunct w:val="0"/>
                    <w:bidi w:val="0"/>
                    <w:spacing w:beforeAutospacing="0" w:afterAutospacing="0" w:line="240" w:lineRule="auto"/>
                    <w:ind w:left="0" w:leftChars="0" w:right="0" w:rightChars="0" w:firstLine="0" w:firstLineChars="0"/>
                    <w:jc w:val="center"/>
                    <w:rPr>
                      <w:rFonts w:hint="default"/>
                      <w:sz w:val="21"/>
                      <w:szCs w:val="21"/>
                    </w:rPr>
                  </w:pPr>
                  <w:r>
                    <w:rPr>
                      <w:rFonts w:hint="default"/>
                      <w:sz w:val="21"/>
                      <w:szCs w:val="21"/>
                    </w:rPr>
                    <w:t>长江</w:t>
                  </w:r>
                </w:p>
              </w:tc>
              <w:tc>
                <w:tcPr>
                  <w:tcW w:w="598" w:type="pct"/>
                  <w:vAlign w:val="center"/>
                </w:tcPr>
                <w:p w14:paraId="509D3906">
                  <w:pPr>
                    <w:keepNext w:val="0"/>
                    <w:keepLines w:val="0"/>
                    <w:pageBreakBefore w:val="0"/>
                    <w:suppressLineNumbers w:val="0"/>
                    <w:kinsoku/>
                    <w:wordWrap/>
                    <w:overflowPunct/>
                    <w:topLinePunct w:val="0"/>
                    <w:bidi w:val="0"/>
                    <w:spacing w:beforeAutospacing="0" w:afterAutospacing="0" w:line="240" w:lineRule="auto"/>
                    <w:ind w:left="0" w:leftChars="0" w:right="0" w:rightChars="0" w:firstLine="0" w:firstLineChars="0"/>
                    <w:jc w:val="center"/>
                    <w:rPr>
                      <w:rFonts w:hint="default" w:eastAsia="宋体"/>
                      <w:sz w:val="21"/>
                      <w:szCs w:val="21"/>
                      <w:lang w:val="en-US" w:eastAsia="zh-CN"/>
                    </w:rPr>
                  </w:pPr>
                  <w:r>
                    <w:rPr>
                      <w:rFonts w:hint="eastAsia"/>
                      <w:sz w:val="21"/>
                      <w:szCs w:val="21"/>
                      <w:lang w:val="en-US" w:eastAsia="zh-CN"/>
                    </w:rPr>
                    <w:t>西南</w:t>
                  </w:r>
                </w:p>
              </w:tc>
              <w:tc>
                <w:tcPr>
                  <w:tcW w:w="979" w:type="pct"/>
                  <w:vAlign w:val="center"/>
                </w:tcPr>
                <w:p w14:paraId="19055BA7">
                  <w:pPr>
                    <w:keepNext w:val="0"/>
                    <w:keepLines w:val="0"/>
                    <w:pageBreakBefore w:val="0"/>
                    <w:suppressLineNumbers w:val="0"/>
                    <w:kinsoku/>
                    <w:wordWrap/>
                    <w:overflowPunct/>
                    <w:topLinePunct w:val="0"/>
                    <w:bidi w:val="0"/>
                    <w:spacing w:beforeAutospacing="0" w:afterAutospacing="0" w:line="240" w:lineRule="auto"/>
                    <w:ind w:left="0" w:leftChars="0" w:right="0" w:rightChars="0" w:firstLine="0" w:firstLineChars="0"/>
                    <w:jc w:val="center"/>
                    <w:rPr>
                      <w:rFonts w:hint="default" w:eastAsia="宋体"/>
                      <w:sz w:val="21"/>
                      <w:szCs w:val="21"/>
                      <w:lang w:val="en-US" w:eastAsia="zh-CN"/>
                    </w:rPr>
                  </w:pPr>
                  <w:r>
                    <w:rPr>
                      <w:rFonts w:hint="eastAsia"/>
                      <w:sz w:val="21"/>
                      <w:szCs w:val="21"/>
                      <w:lang w:val="en-US" w:eastAsia="zh-CN"/>
                    </w:rPr>
                    <w:t>约100m</w:t>
                  </w:r>
                </w:p>
              </w:tc>
              <w:tc>
                <w:tcPr>
                  <w:tcW w:w="752" w:type="pct"/>
                  <w:vAlign w:val="center"/>
                </w:tcPr>
                <w:p w14:paraId="28F5CFEE">
                  <w:pPr>
                    <w:keepNext w:val="0"/>
                    <w:keepLines w:val="0"/>
                    <w:pageBreakBefore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rPr>
                      <w:rFonts w:hint="default"/>
                      <w:sz w:val="21"/>
                      <w:szCs w:val="21"/>
                    </w:rPr>
                  </w:pPr>
                  <w:r>
                    <w:rPr>
                      <w:rFonts w:hint="default"/>
                      <w:sz w:val="21"/>
                      <w:szCs w:val="21"/>
                    </w:rPr>
                    <w:t>大河</w:t>
                  </w:r>
                  <w:r>
                    <w:rPr>
                      <w:rFonts w:hint="eastAsia"/>
                      <w:sz w:val="21"/>
                      <w:szCs w:val="21"/>
                      <w:lang w:eastAsia="zh-CN"/>
                    </w:rPr>
                    <w:t>、</w:t>
                  </w:r>
                  <w:r>
                    <w:rPr>
                      <w:rFonts w:hint="default"/>
                      <w:sz w:val="21"/>
                      <w:szCs w:val="21"/>
                    </w:rPr>
                    <w:t>渔业用水区</w:t>
                  </w:r>
                </w:p>
              </w:tc>
              <w:tc>
                <w:tcPr>
                  <w:tcW w:w="1759" w:type="pct"/>
                  <w:vMerge w:val="restart"/>
                  <w:vAlign w:val="center"/>
                </w:tcPr>
                <w:p w14:paraId="44C5DB2C">
                  <w:pPr>
                    <w:keepNext w:val="0"/>
                    <w:keepLines w:val="0"/>
                    <w:pageBreakBefore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rPr>
                      <w:rFonts w:hint="default"/>
                      <w:sz w:val="21"/>
                      <w:szCs w:val="21"/>
                    </w:rPr>
                  </w:pPr>
                  <w:r>
                    <w:rPr>
                      <w:rFonts w:hint="default"/>
                      <w:sz w:val="21"/>
                      <w:szCs w:val="21"/>
                    </w:rPr>
                    <w:t>《地表水环境质量标准》（GB3838-2002）Ⅲ类标准</w:t>
                  </w:r>
                </w:p>
              </w:tc>
            </w:tr>
            <w:tr w14:paraId="555A85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09" w:type="pct"/>
                  <w:vAlign w:val="center"/>
                </w:tcPr>
                <w:p w14:paraId="3A696B8A">
                  <w:pPr>
                    <w:keepNext w:val="0"/>
                    <w:keepLines w:val="0"/>
                    <w:pageBreakBefore w:val="0"/>
                    <w:suppressLineNumbers w:val="0"/>
                    <w:kinsoku/>
                    <w:wordWrap/>
                    <w:overflowPunct/>
                    <w:topLinePunct w:val="0"/>
                    <w:bidi w:val="0"/>
                    <w:spacing w:beforeAutospacing="0" w:afterAutospacing="0" w:line="240" w:lineRule="auto"/>
                    <w:ind w:left="0" w:leftChars="0" w:right="0" w:rightChars="0" w:firstLine="0" w:firstLineChars="0"/>
                    <w:jc w:val="center"/>
                    <w:rPr>
                      <w:rFonts w:hint="default" w:eastAsia="宋体"/>
                      <w:sz w:val="21"/>
                      <w:szCs w:val="21"/>
                      <w:lang w:val="en-US" w:eastAsia="zh-CN"/>
                    </w:rPr>
                  </w:pPr>
                  <w:r>
                    <w:rPr>
                      <w:rFonts w:hint="eastAsia"/>
                      <w:sz w:val="21"/>
                      <w:szCs w:val="21"/>
                      <w:lang w:val="en-US" w:eastAsia="zh-CN"/>
                    </w:rPr>
                    <w:t>芭蕉湖</w:t>
                  </w:r>
                </w:p>
              </w:tc>
              <w:tc>
                <w:tcPr>
                  <w:tcW w:w="598" w:type="pct"/>
                  <w:vAlign w:val="center"/>
                </w:tcPr>
                <w:p w14:paraId="1C9952C7">
                  <w:pPr>
                    <w:keepNext w:val="0"/>
                    <w:keepLines w:val="0"/>
                    <w:pageBreakBefore w:val="0"/>
                    <w:suppressLineNumbers w:val="0"/>
                    <w:kinsoku/>
                    <w:wordWrap/>
                    <w:overflowPunct/>
                    <w:topLinePunct w:val="0"/>
                    <w:bidi w:val="0"/>
                    <w:spacing w:beforeAutospacing="0" w:afterAutospacing="0" w:line="240" w:lineRule="auto"/>
                    <w:ind w:left="0" w:leftChars="0" w:right="0" w:rightChars="0" w:firstLine="0" w:firstLineChars="0"/>
                    <w:jc w:val="center"/>
                    <w:rPr>
                      <w:rFonts w:hint="default" w:eastAsia="宋体"/>
                      <w:sz w:val="21"/>
                      <w:szCs w:val="21"/>
                      <w:lang w:val="en-US" w:eastAsia="zh-CN"/>
                    </w:rPr>
                  </w:pPr>
                  <w:r>
                    <w:rPr>
                      <w:rFonts w:hint="eastAsia"/>
                      <w:sz w:val="21"/>
                      <w:szCs w:val="21"/>
                      <w:lang w:val="en-US" w:eastAsia="zh-CN"/>
                    </w:rPr>
                    <w:t>东南</w:t>
                  </w:r>
                </w:p>
              </w:tc>
              <w:tc>
                <w:tcPr>
                  <w:tcW w:w="979" w:type="pct"/>
                  <w:vAlign w:val="center"/>
                </w:tcPr>
                <w:p w14:paraId="4A6E286F">
                  <w:pPr>
                    <w:keepNext w:val="0"/>
                    <w:keepLines w:val="0"/>
                    <w:pageBreakBefore w:val="0"/>
                    <w:suppressLineNumbers w:val="0"/>
                    <w:kinsoku/>
                    <w:wordWrap/>
                    <w:overflowPunct/>
                    <w:topLinePunct w:val="0"/>
                    <w:bidi w:val="0"/>
                    <w:spacing w:beforeAutospacing="0" w:afterAutospacing="0" w:line="240" w:lineRule="auto"/>
                    <w:ind w:left="0" w:leftChars="0" w:right="0" w:rightChars="0" w:firstLine="0" w:firstLineChars="0"/>
                    <w:jc w:val="center"/>
                    <w:rPr>
                      <w:rFonts w:hint="default" w:eastAsia="宋体"/>
                      <w:sz w:val="21"/>
                      <w:szCs w:val="21"/>
                      <w:lang w:val="en-US" w:eastAsia="zh-CN"/>
                    </w:rPr>
                  </w:pPr>
                  <w:r>
                    <w:rPr>
                      <w:rFonts w:hint="eastAsia"/>
                      <w:sz w:val="21"/>
                      <w:szCs w:val="21"/>
                      <w:lang w:val="en-US" w:eastAsia="zh-CN"/>
                    </w:rPr>
                    <w:t>约150m</w:t>
                  </w:r>
                </w:p>
              </w:tc>
              <w:tc>
                <w:tcPr>
                  <w:tcW w:w="752" w:type="pct"/>
                  <w:shd w:val="clear" w:color="auto" w:fill="auto"/>
                  <w:vAlign w:val="center"/>
                </w:tcPr>
                <w:p w14:paraId="45A149E7">
                  <w:pPr>
                    <w:keepNext w:val="0"/>
                    <w:keepLines w:val="0"/>
                    <w:pageBreakBefore w:val="0"/>
                    <w:suppressLineNumbers w:val="0"/>
                    <w:kinsoku/>
                    <w:wordWrap/>
                    <w:overflowPunct/>
                    <w:topLinePunct w:val="0"/>
                    <w:autoSpaceDE w:val="0"/>
                    <w:autoSpaceDN w:val="0"/>
                    <w:bidi w:val="0"/>
                    <w:spacing w:beforeAutospacing="0" w:afterAutospacing="0" w:line="240" w:lineRule="auto"/>
                    <w:ind w:left="0" w:right="0" w:firstLine="0" w:firstLineChars="0"/>
                    <w:jc w:val="center"/>
                    <w:rPr>
                      <w:rFonts w:hint="default" w:ascii="Times New Roman" w:hAnsi="Times New Roman" w:cs="Times New Roman" w:eastAsiaTheme="minorEastAsia"/>
                      <w:caps w:val="0"/>
                      <w:color w:val="000000" w:themeColor="text1"/>
                      <w:kern w:val="2"/>
                      <w:sz w:val="21"/>
                      <w:szCs w:val="21"/>
                      <w:u w:val="none" w:color="auto"/>
                      <w:lang w:val="en-US" w:eastAsia="zh-CN" w:bidi="ar-SA"/>
                      <w14:textFill>
                        <w14:solidFill>
                          <w14:schemeClr w14:val="tx1"/>
                        </w14:solidFill>
                      </w14:textFill>
                    </w:rPr>
                  </w:pPr>
                  <w:r>
                    <w:rPr>
                      <w:rFonts w:hint="eastAsia" w:cs="Times New Roman" w:eastAsiaTheme="minorEastAsia"/>
                      <w:caps w:val="0"/>
                      <w:color w:val="000000" w:themeColor="text1"/>
                      <w:kern w:val="2"/>
                      <w:sz w:val="21"/>
                      <w:szCs w:val="21"/>
                      <w:u w:val="none" w:color="auto"/>
                      <w:lang w:val="en-US" w:eastAsia="zh-CN" w:bidi="ar-SA"/>
                      <w14:textFill>
                        <w14:solidFill>
                          <w14:schemeClr w14:val="tx1"/>
                        </w14:solidFill>
                      </w14:textFill>
                    </w:rPr>
                    <w:t>小湖、渔业用水</w:t>
                  </w:r>
                </w:p>
              </w:tc>
              <w:tc>
                <w:tcPr>
                  <w:tcW w:w="1759" w:type="pct"/>
                  <w:vMerge w:val="continue"/>
                  <w:shd w:val="clear" w:color="auto" w:fill="auto"/>
                  <w:vAlign w:val="center"/>
                </w:tcPr>
                <w:p w14:paraId="6E9E7C0A">
                  <w:pPr>
                    <w:keepNext w:val="0"/>
                    <w:keepLines w:val="0"/>
                    <w:pageBreakBefore w:val="0"/>
                    <w:suppressLineNumbers w:val="0"/>
                    <w:kinsoku/>
                    <w:wordWrap/>
                    <w:overflowPunct/>
                    <w:topLinePunct w:val="0"/>
                    <w:autoSpaceDE w:val="0"/>
                    <w:autoSpaceDN w:val="0"/>
                    <w:bidi w:val="0"/>
                    <w:spacing w:beforeAutospacing="0" w:afterAutospacing="0" w:line="240" w:lineRule="auto"/>
                    <w:ind w:left="0" w:right="0" w:firstLine="0" w:firstLineChars="0"/>
                    <w:jc w:val="center"/>
                    <w:rPr>
                      <w:rFonts w:hint="default" w:ascii="Times New Roman" w:hAnsi="Times New Roman" w:cs="Times New Roman" w:eastAsiaTheme="minorEastAsia"/>
                      <w:caps w:val="0"/>
                      <w:color w:val="000000" w:themeColor="text1"/>
                      <w:kern w:val="2"/>
                      <w:sz w:val="21"/>
                      <w:szCs w:val="21"/>
                      <w:u w:val="none" w:color="auto"/>
                      <w:lang w:val="en-US" w:eastAsia="zh-CN" w:bidi="ar-SA"/>
                      <w14:textFill>
                        <w14:solidFill>
                          <w14:schemeClr w14:val="tx1"/>
                        </w14:solidFill>
                      </w14:textFill>
                    </w:rPr>
                  </w:pPr>
                </w:p>
              </w:tc>
            </w:tr>
          </w:tbl>
          <w:p w14:paraId="71022E27">
            <w:pPr>
              <w:pStyle w:val="379"/>
              <w:keepNext w:val="0"/>
              <w:keepLines w:val="0"/>
              <w:pageBreakBefore w:val="0"/>
              <w:widowControl w:val="0"/>
              <w:numPr>
                <w:ilvl w:val="0"/>
                <w:numId w:val="0"/>
              </w:numPr>
              <w:kinsoku/>
              <w:wordWrap/>
              <w:overflowPunct/>
              <w:topLinePunct w:val="0"/>
              <w:autoSpaceDE/>
              <w:autoSpaceDN/>
              <w:bidi w:val="0"/>
              <w:adjustRightInd/>
              <w:snapToGrid/>
              <w:spacing w:before="164" w:beforeLines="50" w:line="240" w:lineRule="auto"/>
              <w:ind w:leftChars="0"/>
              <w:jc w:val="both"/>
              <w:textAlignment w:val="auto"/>
            </w:pPr>
          </w:p>
        </w:tc>
      </w:tr>
      <w:tr w14:paraId="4B544D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13" w:hRule="atLeast"/>
          <w:jc w:val="center"/>
        </w:trPr>
        <w:tc>
          <w:tcPr>
            <w:tcW w:w="334" w:type="pct"/>
            <w:tcMar>
              <w:left w:w="28" w:type="dxa"/>
              <w:right w:w="28" w:type="dxa"/>
            </w:tcMar>
            <w:vAlign w:val="center"/>
          </w:tcPr>
          <w:p w14:paraId="3692E805">
            <w:pPr>
              <w:autoSpaceDE w:val="0"/>
              <w:autoSpaceDN w:val="0"/>
              <w:adjustRightInd w:val="0"/>
              <w:snapToGrid w:val="0"/>
              <w:spacing w:line="240" w:lineRule="auto"/>
              <w:ind w:firstLine="0" w:firstLineChars="0"/>
              <w:jc w:val="center"/>
              <w:rPr>
                <w:szCs w:val="21"/>
              </w:rPr>
            </w:pPr>
            <w:r>
              <w:rPr>
                <w:szCs w:val="21"/>
              </w:rPr>
              <w:t>污染物排放控制标准</w:t>
            </w:r>
          </w:p>
        </w:tc>
        <w:tc>
          <w:tcPr>
            <w:tcW w:w="4665" w:type="pct"/>
            <w:vAlign w:val="center"/>
          </w:tcPr>
          <w:p w14:paraId="3CDBCEB3">
            <w:pPr>
              <w:numPr>
                <w:ilvl w:val="0"/>
                <w:numId w:val="26"/>
              </w:numPr>
              <w:autoSpaceDE w:val="0"/>
              <w:autoSpaceDN w:val="0"/>
              <w:adjustRightInd w:val="0"/>
              <w:snapToGrid w:val="0"/>
              <w:ind w:left="0" w:firstLine="0" w:firstLineChars="0"/>
              <w:rPr>
                <w:b/>
              </w:rPr>
            </w:pPr>
            <w:r>
              <w:rPr>
                <w:rFonts w:hint="eastAsia"/>
                <w:b/>
              </w:rPr>
              <w:t>废气排放标准</w:t>
            </w:r>
          </w:p>
          <w:p w14:paraId="57957C6C">
            <w:pPr>
              <w:autoSpaceDE w:val="0"/>
              <w:autoSpaceDN w:val="0"/>
              <w:adjustRightInd w:val="0"/>
              <w:snapToGrid w:val="0"/>
              <w:ind w:firstLine="480"/>
              <w:rPr>
                <w:rFonts w:hint="eastAsia"/>
                <w:u w:val="none"/>
              </w:rPr>
            </w:pPr>
            <w:r>
              <w:rPr>
                <w:rFonts w:hint="eastAsia"/>
                <w:szCs w:val="21"/>
                <w:u w:val="none"/>
              </w:rPr>
              <w:t>本项目废气来源于</w:t>
            </w:r>
            <w:r>
              <w:rPr>
                <w:rFonts w:hint="eastAsia"/>
                <w:szCs w:val="21"/>
                <w:u w:val="none"/>
                <w:lang w:val="en-US" w:eastAsia="zh-CN"/>
              </w:rPr>
              <w:t>灰库呼吸粉尘和罐车气力输送粉尘</w:t>
            </w:r>
            <w:r>
              <w:rPr>
                <w:rFonts w:hint="eastAsia"/>
                <w:szCs w:val="21"/>
                <w:u w:val="none"/>
              </w:rPr>
              <w:t>，主要污染物为颗粒物，颗粒物执行《大气污染</w:t>
            </w:r>
            <w:r>
              <w:rPr>
                <w:rFonts w:hint="eastAsia"/>
                <w:szCs w:val="21"/>
                <w:u w:val="none"/>
                <w:lang w:val="en-US" w:eastAsia="zh-CN"/>
              </w:rPr>
              <w:t>物</w:t>
            </w:r>
            <w:r>
              <w:rPr>
                <w:rFonts w:hint="eastAsia"/>
                <w:szCs w:val="21"/>
                <w:u w:val="none"/>
              </w:rPr>
              <w:t>综合排放标准》（GB16297-1996）</w:t>
            </w:r>
            <w:r>
              <w:rPr>
                <w:rFonts w:hint="eastAsia"/>
                <w:u w:val="none"/>
              </w:rPr>
              <w:t>表2相关排放限值，详见下表。</w:t>
            </w:r>
          </w:p>
          <w:p w14:paraId="72F6C33B">
            <w:pPr>
              <w:autoSpaceDE w:val="0"/>
              <w:autoSpaceDN w:val="0"/>
              <w:adjustRightInd w:val="0"/>
              <w:snapToGrid w:val="0"/>
              <w:ind w:firstLine="480"/>
              <w:rPr>
                <w:rFonts w:hint="eastAsia"/>
                <w:u w:val="none"/>
              </w:rPr>
            </w:pPr>
          </w:p>
          <w:p w14:paraId="0B2D1C42">
            <w:pPr>
              <w:autoSpaceDE w:val="0"/>
              <w:autoSpaceDN w:val="0"/>
              <w:adjustRightInd w:val="0"/>
              <w:snapToGrid w:val="0"/>
              <w:ind w:firstLine="480"/>
              <w:rPr>
                <w:rFonts w:hint="eastAsia"/>
                <w:u w:val="none"/>
              </w:rPr>
            </w:pPr>
          </w:p>
          <w:p w14:paraId="16D2F00C">
            <w:pPr>
              <w:pStyle w:val="379"/>
              <w:keepNext w:val="0"/>
              <w:keepLines w:val="0"/>
              <w:pageBreakBefore w:val="0"/>
              <w:widowControl w:val="0"/>
              <w:numPr>
                <w:ilvl w:val="0"/>
                <w:numId w:val="25"/>
              </w:numPr>
              <w:kinsoku/>
              <w:wordWrap/>
              <w:overflowPunct/>
              <w:topLinePunct w:val="0"/>
              <w:autoSpaceDE/>
              <w:autoSpaceDN/>
              <w:bidi w:val="0"/>
              <w:adjustRightInd/>
              <w:snapToGrid/>
              <w:spacing w:line="240" w:lineRule="auto"/>
              <w:textAlignment w:val="auto"/>
              <w:rPr>
                <w:b/>
                <w:bCs/>
              </w:rPr>
            </w:pPr>
            <w:r>
              <w:rPr>
                <w:rFonts w:hint="eastAsia"/>
                <w:b/>
                <w:bCs/>
              </w:rPr>
              <w:t>大气污染物综合排放标准</w:t>
            </w:r>
          </w:p>
          <w:tbl>
            <w:tblPr>
              <w:tblStyle w:val="32"/>
              <w:tblW w:w="5000"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918"/>
              <w:gridCol w:w="1278"/>
              <w:gridCol w:w="1631"/>
              <w:gridCol w:w="2808"/>
            </w:tblGrid>
            <w:tr w14:paraId="4DAD8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932" w:type="pct"/>
                  <w:tcBorders>
                    <w:tl2br w:val="nil"/>
                    <w:tr2bl w:val="nil"/>
                  </w:tcBorders>
                  <w:vAlign w:val="center"/>
                </w:tcPr>
                <w:p w14:paraId="354FA858">
                  <w:pPr>
                    <w:pStyle w:val="4"/>
                    <w:widowControl/>
                    <w:spacing w:line="240" w:lineRule="auto"/>
                    <w:ind w:left="0" w:leftChars="0" w:right="0" w:rightChars="0" w:firstLine="0" w:firstLineChars="0"/>
                    <w:jc w:val="center"/>
                    <w:rPr>
                      <w:b/>
                      <w:bCs/>
                      <w:sz w:val="21"/>
                      <w:szCs w:val="21"/>
                    </w:rPr>
                  </w:pPr>
                  <w:r>
                    <w:rPr>
                      <w:rFonts w:hint="eastAsia"/>
                      <w:b/>
                      <w:bCs/>
                      <w:sz w:val="21"/>
                      <w:szCs w:val="21"/>
                    </w:rPr>
                    <w:t>污染物项目</w:t>
                  </w:r>
                </w:p>
              </w:tc>
              <w:tc>
                <w:tcPr>
                  <w:tcW w:w="2345" w:type="pct"/>
                  <w:gridSpan w:val="3"/>
                  <w:tcBorders>
                    <w:tl2br w:val="nil"/>
                    <w:tr2bl w:val="nil"/>
                  </w:tcBorders>
                  <w:vAlign w:val="center"/>
                </w:tcPr>
                <w:p w14:paraId="4BFA0359">
                  <w:pPr>
                    <w:pStyle w:val="4"/>
                    <w:widowControl/>
                    <w:spacing w:line="240" w:lineRule="auto"/>
                    <w:ind w:left="0" w:leftChars="0" w:right="0" w:rightChars="0" w:firstLine="0" w:firstLineChars="0"/>
                    <w:jc w:val="center"/>
                    <w:rPr>
                      <w:b/>
                      <w:bCs/>
                      <w:sz w:val="21"/>
                      <w:szCs w:val="21"/>
                    </w:rPr>
                  </w:pPr>
                  <w:r>
                    <w:rPr>
                      <w:rFonts w:hint="eastAsia"/>
                      <w:b/>
                      <w:bCs/>
                      <w:sz w:val="21"/>
                      <w:szCs w:val="21"/>
                    </w:rPr>
                    <w:t>排放浓度限值  单位：mg/m</w:t>
                  </w:r>
                  <w:r>
                    <w:rPr>
                      <w:rFonts w:hint="eastAsia"/>
                      <w:b/>
                      <w:bCs/>
                      <w:sz w:val="21"/>
                      <w:szCs w:val="21"/>
                      <w:vertAlign w:val="superscript"/>
                    </w:rPr>
                    <w:t>3</w:t>
                  </w:r>
                </w:p>
              </w:tc>
              <w:tc>
                <w:tcPr>
                  <w:tcW w:w="1721" w:type="pct"/>
                  <w:tcBorders>
                    <w:tl2br w:val="nil"/>
                    <w:tr2bl w:val="nil"/>
                  </w:tcBorders>
                  <w:vAlign w:val="center"/>
                </w:tcPr>
                <w:p w14:paraId="515F3CD5">
                  <w:pPr>
                    <w:pStyle w:val="4"/>
                    <w:widowControl/>
                    <w:spacing w:line="240" w:lineRule="auto"/>
                    <w:ind w:left="0" w:leftChars="0" w:right="0" w:rightChars="0" w:firstLine="0" w:firstLineChars="0"/>
                    <w:jc w:val="center"/>
                    <w:rPr>
                      <w:b/>
                      <w:bCs/>
                      <w:sz w:val="21"/>
                      <w:szCs w:val="21"/>
                    </w:rPr>
                  </w:pPr>
                  <w:r>
                    <w:rPr>
                      <w:rFonts w:hint="eastAsia"/>
                      <w:b/>
                      <w:bCs/>
                      <w:sz w:val="21"/>
                      <w:szCs w:val="21"/>
                    </w:rPr>
                    <w:t>排放速率限值 kg/h</w:t>
                  </w:r>
                </w:p>
              </w:tc>
            </w:tr>
            <w:tr w14:paraId="38A126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32" w:type="pct"/>
                  <w:vMerge w:val="restart"/>
                  <w:tcBorders>
                    <w:tl2br w:val="nil"/>
                    <w:tr2bl w:val="nil"/>
                  </w:tcBorders>
                  <w:vAlign w:val="center"/>
                </w:tcPr>
                <w:p w14:paraId="150DD583">
                  <w:pPr>
                    <w:pStyle w:val="4"/>
                    <w:widowControl/>
                    <w:spacing w:line="240" w:lineRule="auto"/>
                    <w:ind w:left="0" w:leftChars="0" w:right="0" w:rightChars="0" w:firstLine="0" w:firstLineChars="0"/>
                    <w:jc w:val="center"/>
                    <w:rPr>
                      <w:sz w:val="21"/>
                      <w:szCs w:val="21"/>
                    </w:rPr>
                  </w:pPr>
                  <w:r>
                    <w:rPr>
                      <w:rFonts w:hint="eastAsia"/>
                      <w:sz w:val="21"/>
                      <w:szCs w:val="21"/>
                    </w:rPr>
                    <w:t>颗粒物</w:t>
                  </w:r>
                </w:p>
              </w:tc>
              <w:tc>
                <w:tcPr>
                  <w:tcW w:w="562" w:type="pct"/>
                  <w:vMerge w:val="restart"/>
                  <w:tcBorders>
                    <w:tl2br w:val="nil"/>
                    <w:tr2bl w:val="nil"/>
                  </w:tcBorders>
                  <w:vAlign w:val="center"/>
                </w:tcPr>
                <w:p w14:paraId="4EC4C37A">
                  <w:pPr>
                    <w:pStyle w:val="4"/>
                    <w:widowControl w:val="0"/>
                    <w:spacing w:line="240" w:lineRule="auto"/>
                    <w:ind w:left="0" w:leftChars="0" w:right="0" w:rightChars="0" w:firstLine="0" w:firstLineChars="0"/>
                    <w:jc w:val="center"/>
                    <w:rPr>
                      <w:sz w:val="21"/>
                      <w:szCs w:val="21"/>
                    </w:rPr>
                  </w:pPr>
                  <w:r>
                    <w:rPr>
                      <w:rFonts w:hint="eastAsia"/>
                      <w:sz w:val="21"/>
                      <w:szCs w:val="21"/>
                    </w:rPr>
                    <w:t>有组织</w:t>
                  </w:r>
                </w:p>
              </w:tc>
              <w:tc>
                <w:tcPr>
                  <w:tcW w:w="783" w:type="pct"/>
                  <w:tcBorders>
                    <w:tl2br w:val="nil"/>
                    <w:tr2bl w:val="nil"/>
                  </w:tcBorders>
                  <w:vAlign w:val="center"/>
                </w:tcPr>
                <w:p w14:paraId="1FAC4150">
                  <w:pPr>
                    <w:pStyle w:val="4"/>
                    <w:widowControl w:val="0"/>
                    <w:spacing w:line="240" w:lineRule="auto"/>
                    <w:ind w:left="0" w:leftChars="0" w:right="0" w:rightChars="0" w:firstLine="0" w:firstLineChars="0"/>
                    <w:jc w:val="center"/>
                    <w:rPr>
                      <w:rFonts w:hint="eastAsia"/>
                      <w:sz w:val="21"/>
                      <w:szCs w:val="21"/>
                      <w:lang w:val="en-US" w:eastAsia="zh-CN"/>
                    </w:rPr>
                  </w:pPr>
                  <w:r>
                    <w:rPr>
                      <w:rFonts w:hint="eastAsia"/>
                      <w:sz w:val="21"/>
                      <w:szCs w:val="21"/>
                      <w:lang w:val="en-US" w:eastAsia="zh-CN"/>
                    </w:rPr>
                    <w:t>P1、P2、P4</w:t>
                  </w:r>
                </w:p>
                <w:p w14:paraId="3CB48A63">
                  <w:pPr>
                    <w:widowControl w:val="0"/>
                    <w:spacing w:line="240" w:lineRule="auto"/>
                    <w:ind w:firstLine="0" w:firstLineChars="0"/>
                    <w:jc w:val="center"/>
                    <w:rPr>
                      <w:rFonts w:hint="default"/>
                      <w:lang w:val="en-US" w:eastAsia="zh-CN"/>
                    </w:rPr>
                  </w:pPr>
                  <w:r>
                    <w:rPr>
                      <w:rFonts w:hint="eastAsia"/>
                      <w:sz w:val="21"/>
                      <w:szCs w:val="21"/>
                      <w:lang w:val="en-US" w:eastAsia="zh-CN"/>
                    </w:rPr>
                    <w:t>（28m）</w:t>
                  </w:r>
                </w:p>
              </w:tc>
              <w:tc>
                <w:tcPr>
                  <w:tcW w:w="999" w:type="pct"/>
                  <w:vMerge w:val="restart"/>
                  <w:tcBorders>
                    <w:tl2br w:val="nil"/>
                    <w:tr2bl w:val="nil"/>
                  </w:tcBorders>
                  <w:vAlign w:val="center"/>
                </w:tcPr>
                <w:p w14:paraId="6D8C04B2">
                  <w:pPr>
                    <w:pStyle w:val="4"/>
                    <w:widowControl/>
                    <w:spacing w:line="240" w:lineRule="auto"/>
                    <w:ind w:left="0" w:leftChars="0" w:right="0" w:rightChars="0" w:firstLine="0" w:firstLineChars="0"/>
                    <w:jc w:val="center"/>
                    <w:rPr>
                      <w:sz w:val="21"/>
                      <w:szCs w:val="21"/>
                    </w:rPr>
                  </w:pPr>
                  <w:r>
                    <w:rPr>
                      <w:rFonts w:hint="eastAsia"/>
                      <w:sz w:val="21"/>
                      <w:szCs w:val="21"/>
                    </w:rPr>
                    <w:t>120</w:t>
                  </w:r>
                </w:p>
              </w:tc>
              <w:tc>
                <w:tcPr>
                  <w:tcW w:w="1721" w:type="pct"/>
                  <w:tcBorders>
                    <w:tl2br w:val="nil"/>
                    <w:tr2bl w:val="nil"/>
                  </w:tcBorders>
                  <w:vAlign w:val="center"/>
                </w:tcPr>
                <w:p w14:paraId="2F9D17A7">
                  <w:pPr>
                    <w:pStyle w:val="4"/>
                    <w:widowControl/>
                    <w:spacing w:line="240" w:lineRule="auto"/>
                    <w:ind w:left="0" w:leftChars="0" w:right="0" w:rightChars="0" w:firstLine="0" w:firstLineChars="0"/>
                    <w:jc w:val="center"/>
                    <w:rPr>
                      <w:sz w:val="21"/>
                      <w:szCs w:val="21"/>
                    </w:rPr>
                  </w:pPr>
                  <w:r>
                    <w:rPr>
                      <w:rFonts w:hint="eastAsia"/>
                      <w:sz w:val="21"/>
                      <w:szCs w:val="21"/>
                      <w:lang w:val="en-US" w:eastAsia="zh-CN"/>
                    </w:rPr>
                    <w:t>19.53</w:t>
                  </w:r>
                </w:p>
              </w:tc>
            </w:tr>
            <w:tr w14:paraId="3A0C46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32" w:type="pct"/>
                  <w:vMerge w:val="continue"/>
                  <w:tcBorders>
                    <w:tl2br w:val="nil"/>
                    <w:tr2bl w:val="nil"/>
                  </w:tcBorders>
                  <w:vAlign w:val="center"/>
                </w:tcPr>
                <w:p w14:paraId="4214BF96">
                  <w:pPr>
                    <w:pStyle w:val="4"/>
                    <w:widowControl/>
                    <w:spacing w:line="240" w:lineRule="auto"/>
                    <w:ind w:left="0" w:leftChars="0" w:right="0" w:rightChars="0" w:firstLine="0" w:firstLineChars="0"/>
                    <w:jc w:val="center"/>
                    <w:rPr>
                      <w:rFonts w:hint="eastAsia"/>
                      <w:sz w:val="21"/>
                      <w:szCs w:val="21"/>
                    </w:rPr>
                  </w:pPr>
                </w:p>
              </w:tc>
              <w:tc>
                <w:tcPr>
                  <w:tcW w:w="562" w:type="pct"/>
                  <w:vMerge w:val="continue"/>
                  <w:tcBorders>
                    <w:tl2br w:val="nil"/>
                    <w:tr2bl w:val="nil"/>
                  </w:tcBorders>
                  <w:vAlign w:val="center"/>
                </w:tcPr>
                <w:p w14:paraId="716463F4">
                  <w:pPr>
                    <w:pStyle w:val="4"/>
                    <w:widowControl w:val="0"/>
                    <w:spacing w:line="240" w:lineRule="auto"/>
                    <w:ind w:left="0" w:leftChars="0" w:right="0" w:rightChars="0" w:firstLine="0" w:firstLineChars="0"/>
                    <w:jc w:val="center"/>
                    <w:rPr>
                      <w:rFonts w:hint="eastAsia"/>
                      <w:sz w:val="21"/>
                      <w:szCs w:val="21"/>
                    </w:rPr>
                  </w:pPr>
                </w:p>
              </w:tc>
              <w:tc>
                <w:tcPr>
                  <w:tcW w:w="783" w:type="pct"/>
                  <w:tcBorders>
                    <w:tl2br w:val="nil"/>
                    <w:tr2bl w:val="nil"/>
                  </w:tcBorders>
                  <w:vAlign w:val="center"/>
                </w:tcPr>
                <w:p w14:paraId="11E55835">
                  <w:pPr>
                    <w:pStyle w:val="4"/>
                    <w:widowControl w:val="0"/>
                    <w:spacing w:line="240" w:lineRule="auto"/>
                    <w:ind w:left="0" w:leftChars="0" w:right="0" w:rightChars="0" w:firstLine="0" w:firstLineChars="0"/>
                    <w:jc w:val="center"/>
                    <w:rPr>
                      <w:rFonts w:hint="default" w:eastAsia="宋体"/>
                      <w:sz w:val="21"/>
                      <w:szCs w:val="21"/>
                      <w:lang w:val="en-US" w:eastAsia="zh-CN"/>
                    </w:rPr>
                  </w:pPr>
                  <w:r>
                    <w:rPr>
                      <w:rFonts w:hint="eastAsia"/>
                      <w:sz w:val="21"/>
                      <w:szCs w:val="21"/>
                      <w:lang w:val="en-US" w:eastAsia="zh-CN"/>
                    </w:rPr>
                    <w:t>P3（24m）</w:t>
                  </w:r>
                </w:p>
              </w:tc>
              <w:tc>
                <w:tcPr>
                  <w:tcW w:w="999" w:type="pct"/>
                  <w:vMerge w:val="continue"/>
                  <w:tcBorders>
                    <w:tl2br w:val="nil"/>
                    <w:tr2bl w:val="nil"/>
                  </w:tcBorders>
                  <w:vAlign w:val="center"/>
                </w:tcPr>
                <w:p w14:paraId="6DBA768E">
                  <w:pPr>
                    <w:pStyle w:val="4"/>
                    <w:widowControl/>
                    <w:spacing w:line="240" w:lineRule="auto"/>
                    <w:ind w:left="0" w:leftChars="0" w:right="0" w:rightChars="0" w:firstLine="0" w:firstLineChars="0"/>
                    <w:jc w:val="center"/>
                    <w:rPr>
                      <w:rFonts w:hint="eastAsia"/>
                      <w:sz w:val="21"/>
                      <w:szCs w:val="21"/>
                    </w:rPr>
                  </w:pPr>
                </w:p>
              </w:tc>
              <w:tc>
                <w:tcPr>
                  <w:tcW w:w="1721" w:type="pct"/>
                  <w:tcBorders>
                    <w:tl2br w:val="nil"/>
                    <w:tr2bl w:val="nil"/>
                  </w:tcBorders>
                  <w:vAlign w:val="center"/>
                </w:tcPr>
                <w:p w14:paraId="0E3CE7EB">
                  <w:pPr>
                    <w:pStyle w:val="4"/>
                    <w:widowControl/>
                    <w:spacing w:line="240" w:lineRule="auto"/>
                    <w:ind w:left="0" w:leftChars="0" w:right="0" w:rightChars="0" w:firstLine="0" w:firstLineChars="0"/>
                    <w:jc w:val="center"/>
                    <w:rPr>
                      <w:rFonts w:hint="default" w:eastAsia="宋体"/>
                      <w:sz w:val="21"/>
                      <w:szCs w:val="21"/>
                      <w:lang w:val="en-US" w:eastAsia="zh-CN"/>
                    </w:rPr>
                  </w:pPr>
                  <w:r>
                    <w:rPr>
                      <w:rFonts w:hint="eastAsia"/>
                      <w:sz w:val="21"/>
                      <w:szCs w:val="21"/>
                      <w:lang w:val="en-US" w:eastAsia="zh-CN"/>
                    </w:rPr>
                    <w:t>12.74</w:t>
                  </w:r>
                </w:p>
              </w:tc>
            </w:tr>
            <w:tr w14:paraId="553D4A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32" w:type="pct"/>
                  <w:vMerge w:val="continue"/>
                  <w:tcBorders>
                    <w:tl2br w:val="nil"/>
                    <w:tr2bl w:val="nil"/>
                  </w:tcBorders>
                  <w:vAlign w:val="center"/>
                </w:tcPr>
                <w:p w14:paraId="714189E4">
                  <w:pPr>
                    <w:pStyle w:val="4"/>
                    <w:widowControl/>
                    <w:spacing w:line="240" w:lineRule="auto"/>
                    <w:ind w:left="0" w:leftChars="0" w:right="0" w:rightChars="0" w:firstLine="0" w:firstLineChars="0"/>
                    <w:jc w:val="center"/>
                    <w:rPr>
                      <w:sz w:val="21"/>
                      <w:szCs w:val="21"/>
                    </w:rPr>
                  </w:pPr>
                </w:p>
              </w:tc>
              <w:tc>
                <w:tcPr>
                  <w:tcW w:w="1346" w:type="pct"/>
                  <w:gridSpan w:val="2"/>
                  <w:tcBorders>
                    <w:tl2br w:val="nil"/>
                    <w:tr2bl w:val="nil"/>
                  </w:tcBorders>
                  <w:vAlign w:val="center"/>
                </w:tcPr>
                <w:p w14:paraId="6F3BC6FE">
                  <w:pPr>
                    <w:pStyle w:val="4"/>
                    <w:widowControl w:val="0"/>
                    <w:spacing w:line="240" w:lineRule="auto"/>
                    <w:ind w:left="0" w:leftChars="0" w:right="0" w:rightChars="0" w:firstLine="0" w:firstLineChars="0"/>
                    <w:jc w:val="center"/>
                    <w:rPr>
                      <w:sz w:val="21"/>
                      <w:szCs w:val="21"/>
                    </w:rPr>
                  </w:pPr>
                  <w:r>
                    <w:rPr>
                      <w:rFonts w:hint="eastAsia"/>
                      <w:sz w:val="21"/>
                      <w:szCs w:val="21"/>
                    </w:rPr>
                    <w:t>无组织</w:t>
                  </w:r>
                </w:p>
              </w:tc>
              <w:tc>
                <w:tcPr>
                  <w:tcW w:w="999" w:type="pct"/>
                  <w:tcBorders>
                    <w:tl2br w:val="nil"/>
                    <w:tr2bl w:val="nil"/>
                  </w:tcBorders>
                  <w:vAlign w:val="center"/>
                </w:tcPr>
                <w:p w14:paraId="634DFB8D">
                  <w:pPr>
                    <w:pStyle w:val="4"/>
                    <w:widowControl/>
                    <w:spacing w:line="240" w:lineRule="auto"/>
                    <w:ind w:left="0" w:leftChars="0" w:right="0" w:rightChars="0" w:firstLine="0" w:firstLineChars="0"/>
                    <w:jc w:val="center"/>
                    <w:rPr>
                      <w:sz w:val="21"/>
                      <w:szCs w:val="21"/>
                    </w:rPr>
                  </w:pPr>
                  <w:r>
                    <w:rPr>
                      <w:rFonts w:hint="eastAsia"/>
                      <w:sz w:val="21"/>
                      <w:szCs w:val="21"/>
                    </w:rPr>
                    <w:t>1.0</w:t>
                  </w:r>
                </w:p>
              </w:tc>
              <w:tc>
                <w:tcPr>
                  <w:tcW w:w="1721" w:type="pct"/>
                  <w:tcBorders>
                    <w:tl2br w:val="nil"/>
                    <w:tr2bl w:val="nil"/>
                  </w:tcBorders>
                  <w:vAlign w:val="center"/>
                </w:tcPr>
                <w:p w14:paraId="41B84509">
                  <w:pPr>
                    <w:pStyle w:val="4"/>
                    <w:widowControl/>
                    <w:spacing w:line="240" w:lineRule="auto"/>
                    <w:ind w:left="0" w:leftChars="0" w:right="0" w:rightChars="0" w:firstLine="0" w:firstLineChars="0"/>
                    <w:jc w:val="center"/>
                    <w:rPr>
                      <w:sz w:val="21"/>
                      <w:szCs w:val="21"/>
                    </w:rPr>
                  </w:pPr>
                  <w:r>
                    <w:rPr>
                      <w:rFonts w:hint="eastAsia"/>
                      <w:sz w:val="21"/>
                      <w:szCs w:val="21"/>
                    </w:rPr>
                    <w:t>/</w:t>
                  </w:r>
                </w:p>
              </w:tc>
            </w:tr>
          </w:tbl>
          <w:p w14:paraId="05890774">
            <w:pPr>
              <w:numPr>
                <w:ilvl w:val="0"/>
                <w:numId w:val="26"/>
              </w:numPr>
              <w:autoSpaceDE w:val="0"/>
              <w:autoSpaceDN w:val="0"/>
              <w:adjustRightInd w:val="0"/>
              <w:snapToGrid w:val="0"/>
              <w:spacing w:before="120" w:beforeLines="50"/>
              <w:ind w:left="0" w:firstLine="0" w:firstLineChars="0"/>
              <w:rPr>
                <w:b/>
              </w:rPr>
            </w:pPr>
            <w:r>
              <w:rPr>
                <w:rFonts w:hint="eastAsia"/>
                <w:b/>
              </w:rPr>
              <w:t>废水</w:t>
            </w:r>
          </w:p>
          <w:p w14:paraId="24BB94DC">
            <w:pPr>
              <w:autoSpaceDE w:val="0"/>
              <w:autoSpaceDN w:val="0"/>
              <w:adjustRightInd w:val="0"/>
              <w:snapToGrid w:val="0"/>
              <w:ind w:firstLine="480"/>
              <w:rPr>
                <w:rFonts w:hint="eastAsia"/>
                <w:highlight w:val="none"/>
                <w:lang w:val="en-US" w:eastAsia="zh-CN"/>
              </w:rPr>
            </w:pPr>
            <w:r>
              <w:rPr>
                <w:rFonts w:hint="eastAsia"/>
                <w:lang w:val="en-US" w:eastAsia="zh-CN"/>
              </w:rPr>
              <w:t>地面冲洗废水和车辆冲洗废水在现有项目中已进行核算，本项目不重复核算，地面冲洗废水和车辆冲洗废水经沉淀池收集沉淀后回用。</w:t>
            </w:r>
          </w:p>
          <w:p w14:paraId="74EF9A52">
            <w:pPr>
              <w:autoSpaceDE w:val="0"/>
              <w:autoSpaceDN w:val="0"/>
              <w:adjustRightInd w:val="0"/>
              <w:snapToGrid w:val="0"/>
              <w:ind w:firstLine="480"/>
              <w:rPr>
                <w:rFonts w:hint="eastAsia"/>
              </w:rPr>
            </w:pPr>
            <w:r>
              <w:rPr>
                <w:rFonts w:hint="eastAsia"/>
                <w:lang w:val="en-US" w:eastAsia="zh-CN"/>
              </w:rPr>
              <w:t>本项目无废水外排，不设废水排放标准</w:t>
            </w:r>
            <w:r>
              <w:rPr>
                <w:rFonts w:hint="eastAsia"/>
              </w:rPr>
              <w:t>。</w:t>
            </w:r>
          </w:p>
          <w:p w14:paraId="270029EF">
            <w:pPr>
              <w:numPr>
                <w:ilvl w:val="0"/>
                <w:numId w:val="26"/>
              </w:numPr>
              <w:autoSpaceDE w:val="0"/>
              <w:autoSpaceDN w:val="0"/>
              <w:adjustRightInd w:val="0"/>
              <w:snapToGrid w:val="0"/>
              <w:ind w:left="0" w:firstLine="0" w:firstLineChars="0"/>
              <w:rPr>
                <w:b/>
              </w:rPr>
            </w:pPr>
            <w:r>
              <w:rPr>
                <w:rFonts w:hint="eastAsia"/>
                <w:b/>
              </w:rPr>
              <w:t>噪声</w:t>
            </w:r>
          </w:p>
          <w:p w14:paraId="4C559043">
            <w:pPr>
              <w:autoSpaceDE w:val="0"/>
              <w:autoSpaceDN w:val="0"/>
              <w:adjustRightInd w:val="0"/>
              <w:snapToGrid w:val="0"/>
              <w:ind w:firstLine="480"/>
              <w:rPr>
                <w:szCs w:val="21"/>
              </w:rPr>
            </w:pPr>
            <w:r>
              <w:rPr>
                <w:szCs w:val="21"/>
              </w:rPr>
              <w:t>本项目位于湖南省岳阳市</w:t>
            </w:r>
            <w:r>
              <w:rPr>
                <w:rFonts w:hint="eastAsia"/>
                <w:szCs w:val="21"/>
              </w:rPr>
              <w:t>岳阳楼区</w:t>
            </w:r>
            <w:r>
              <w:rPr>
                <w:rFonts w:hint="eastAsia"/>
                <w:lang w:val="en-US" w:eastAsia="zh-CN"/>
              </w:rPr>
              <w:t>城陵矶</w:t>
            </w:r>
            <w:r>
              <w:rPr>
                <w:rFonts w:hint="eastAsia" w:ascii="Times New Roman" w:hAnsi="Times New Roman" w:eastAsia="宋体" w:cs="Times New Roman"/>
              </w:rPr>
              <w:t>月冲路</w:t>
            </w:r>
            <w:r>
              <w:rPr>
                <w:szCs w:val="21"/>
              </w:rPr>
              <w:t>，</w:t>
            </w:r>
            <w:r>
              <w:rPr>
                <w:rFonts w:hint="eastAsia"/>
                <w:szCs w:val="21"/>
              </w:rPr>
              <w:t>项目</w:t>
            </w:r>
            <w:r>
              <w:rPr>
                <w:szCs w:val="21"/>
              </w:rPr>
              <w:t>施工期噪声执行</w:t>
            </w:r>
            <w:r>
              <w:t>《建筑施工噪声排放标准》（GB12523-20</w:t>
            </w:r>
            <w:r>
              <w:rPr>
                <w:rFonts w:hint="eastAsia"/>
                <w:lang w:val="en-US" w:eastAsia="zh-CN"/>
              </w:rPr>
              <w:t>25</w:t>
            </w:r>
            <w:r>
              <w:t>），</w:t>
            </w:r>
            <w:r>
              <w:rPr>
                <w:szCs w:val="21"/>
              </w:rPr>
              <w:t>营运期厂界噪声排放执行《工业企业厂界环境噪声排放标准》（GB12348-2008）</w:t>
            </w:r>
            <w:r>
              <w:rPr>
                <w:rFonts w:hint="eastAsia"/>
                <w:szCs w:val="21"/>
              </w:rPr>
              <w:t>中的</w:t>
            </w:r>
            <w:r>
              <w:rPr>
                <w:rFonts w:hint="eastAsia"/>
                <w:szCs w:val="21"/>
                <w:lang w:val="en-US" w:eastAsia="zh-CN"/>
              </w:rPr>
              <w:t>3</w:t>
            </w:r>
            <w:r>
              <w:rPr>
                <w:szCs w:val="21"/>
              </w:rPr>
              <w:t>类标准。</w:t>
            </w:r>
          </w:p>
          <w:p w14:paraId="098C3D66">
            <w:pPr>
              <w:pStyle w:val="379"/>
              <w:keepNext w:val="0"/>
              <w:keepLines w:val="0"/>
              <w:pageBreakBefore w:val="0"/>
              <w:widowControl w:val="0"/>
              <w:numPr>
                <w:ilvl w:val="0"/>
                <w:numId w:val="25"/>
              </w:numPr>
              <w:kinsoku/>
              <w:wordWrap/>
              <w:overflowPunct/>
              <w:topLinePunct w:val="0"/>
              <w:autoSpaceDE/>
              <w:autoSpaceDN/>
              <w:bidi w:val="0"/>
              <w:adjustRightInd/>
              <w:snapToGrid/>
              <w:spacing w:line="240" w:lineRule="auto"/>
              <w:textAlignment w:val="auto"/>
            </w:pPr>
            <w:r>
              <w:rPr>
                <w:rFonts w:hint="eastAsia"/>
                <w:b/>
                <w:bCs/>
              </w:rPr>
              <w:t>声环境质量标准</w:t>
            </w:r>
          </w:p>
          <w:tbl>
            <w:tblPr>
              <w:tblStyle w:val="175"/>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239"/>
              <w:gridCol w:w="3836"/>
              <w:gridCol w:w="1495"/>
              <w:gridCol w:w="1585"/>
            </w:tblGrid>
            <w:tr w14:paraId="70D0E4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759" w:type="pct"/>
                  <w:vMerge w:val="restart"/>
                  <w:tcBorders>
                    <w:tl2br w:val="nil"/>
                    <w:tr2bl w:val="nil"/>
                  </w:tcBorders>
                  <w:vAlign w:val="center"/>
                </w:tcPr>
                <w:p w14:paraId="641C2A79">
                  <w:pPr>
                    <w:pStyle w:val="9"/>
                    <w:widowControl w:val="0"/>
                    <w:autoSpaceDE w:val="0"/>
                    <w:autoSpaceDN w:val="0"/>
                    <w:rPr>
                      <w:rFonts w:hint="default" w:ascii="Times New Roman" w:hAnsi="Times New Roman" w:cs="Times New Roman"/>
                      <w:b/>
                      <w:bCs/>
                      <w:lang w:eastAsia="en-US"/>
                    </w:rPr>
                  </w:pPr>
                  <w:r>
                    <w:rPr>
                      <w:rFonts w:hint="default" w:ascii="Times New Roman" w:hAnsi="Times New Roman" w:cs="Times New Roman"/>
                      <w:b/>
                      <w:bCs/>
                      <w:lang w:eastAsia="en-US"/>
                    </w:rPr>
                    <w:t>阶段</w:t>
                  </w:r>
                </w:p>
              </w:tc>
              <w:tc>
                <w:tcPr>
                  <w:tcW w:w="2350" w:type="pct"/>
                  <w:vMerge w:val="restart"/>
                  <w:tcBorders>
                    <w:tl2br w:val="nil"/>
                    <w:tr2bl w:val="nil"/>
                  </w:tcBorders>
                  <w:vAlign w:val="center"/>
                </w:tcPr>
                <w:p w14:paraId="27965B8B">
                  <w:pPr>
                    <w:pStyle w:val="9"/>
                    <w:widowControl w:val="0"/>
                    <w:autoSpaceDE w:val="0"/>
                    <w:autoSpaceDN w:val="0"/>
                    <w:rPr>
                      <w:rFonts w:hint="default" w:ascii="Times New Roman" w:hAnsi="Times New Roman" w:cs="Times New Roman"/>
                      <w:b/>
                      <w:bCs/>
                      <w:lang w:eastAsia="en-US"/>
                    </w:rPr>
                  </w:pPr>
                  <w:r>
                    <w:rPr>
                      <w:rFonts w:hint="default" w:ascii="Times New Roman" w:hAnsi="Times New Roman" w:cs="Times New Roman"/>
                      <w:b/>
                      <w:bCs/>
                      <w:lang w:eastAsia="en-US"/>
                    </w:rPr>
                    <w:t>执行标准</w:t>
                  </w:r>
                </w:p>
              </w:tc>
              <w:tc>
                <w:tcPr>
                  <w:tcW w:w="1889" w:type="pct"/>
                  <w:gridSpan w:val="2"/>
                  <w:tcBorders>
                    <w:tl2br w:val="nil"/>
                    <w:tr2bl w:val="nil"/>
                  </w:tcBorders>
                  <w:vAlign w:val="center"/>
                </w:tcPr>
                <w:p w14:paraId="4E42B970">
                  <w:pPr>
                    <w:pStyle w:val="9"/>
                    <w:widowControl w:val="0"/>
                    <w:autoSpaceDE w:val="0"/>
                    <w:autoSpaceDN w:val="0"/>
                    <w:rPr>
                      <w:rFonts w:hint="default" w:ascii="Times New Roman" w:hAnsi="Times New Roman" w:cs="Times New Roman"/>
                      <w:b/>
                      <w:bCs/>
                      <w:lang w:eastAsia="en-US"/>
                    </w:rPr>
                  </w:pPr>
                  <w:r>
                    <w:rPr>
                      <w:rFonts w:hint="default" w:ascii="Times New Roman" w:hAnsi="Times New Roman" w:cs="Times New Roman"/>
                      <w:b/>
                      <w:bCs/>
                      <w:lang w:eastAsia="en-US"/>
                    </w:rPr>
                    <w:t>时段</w:t>
                  </w:r>
                </w:p>
              </w:tc>
            </w:tr>
            <w:tr w14:paraId="72F0AD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759" w:type="pct"/>
                  <w:vMerge w:val="continue"/>
                  <w:tcBorders>
                    <w:tl2br w:val="nil"/>
                    <w:tr2bl w:val="nil"/>
                  </w:tcBorders>
                  <w:vAlign w:val="center"/>
                </w:tcPr>
                <w:p w14:paraId="18E03116">
                  <w:pPr>
                    <w:pStyle w:val="9"/>
                    <w:widowControl w:val="0"/>
                    <w:autoSpaceDE w:val="0"/>
                    <w:autoSpaceDN w:val="0"/>
                    <w:rPr>
                      <w:rFonts w:hint="default" w:ascii="Times New Roman" w:hAnsi="Times New Roman" w:cs="Times New Roman"/>
                      <w:b/>
                      <w:bCs/>
                      <w:lang w:eastAsia="en-US"/>
                    </w:rPr>
                  </w:pPr>
                </w:p>
              </w:tc>
              <w:tc>
                <w:tcPr>
                  <w:tcW w:w="2350" w:type="pct"/>
                  <w:vMerge w:val="continue"/>
                  <w:tcBorders>
                    <w:tl2br w:val="nil"/>
                    <w:tr2bl w:val="nil"/>
                  </w:tcBorders>
                  <w:vAlign w:val="center"/>
                </w:tcPr>
                <w:p w14:paraId="6BC7D3CF">
                  <w:pPr>
                    <w:pStyle w:val="9"/>
                    <w:widowControl w:val="0"/>
                    <w:autoSpaceDE w:val="0"/>
                    <w:autoSpaceDN w:val="0"/>
                    <w:rPr>
                      <w:rFonts w:hint="default" w:ascii="Times New Roman" w:hAnsi="Times New Roman" w:cs="Times New Roman"/>
                      <w:b/>
                      <w:bCs/>
                      <w:lang w:eastAsia="en-US"/>
                    </w:rPr>
                  </w:pPr>
                </w:p>
              </w:tc>
              <w:tc>
                <w:tcPr>
                  <w:tcW w:w="917" w:type="pct"/>
                  <w:tcBorders>
                    <w:tl2br w:val="nil"/>
                    <w:tr2bl w:val="nil"/>
                  </w:tcBorders>
                  <w:vAlign w:val="center"/>
                </w:tcPr>
                <w:p w14:paraId="6C159C97">
                  <w:pPr>
                    <w:pStyle w:val="9"/>
                    <w:widowControl w:val="0"/>
                    <w:autoSpaceDE w:val="0"/>
                    <w:autoSpaceDN w:val="0"/>
                    <w:rPr>
                      <w:rFonts w:hint="default" w:ascii="Times New Roman" w:hAnsi="Times New Roman" w:cs="Times New Roman"/>
                      <w:b/>
                      <w:bCs/>
                      <w:lang w:eastAsia="en-US"/>
                    </w:rPr>
                  </w:pPr>
                  <w:r>
                    <w:rPr>
                      <w:rFonts w:hint="default" w:ascii="Times New Roman" w:hAnsi="Times New Roman" w:cs="Times New Roman"/>
                      <w:b/>
                      <w:bCs/>
                      <w:lang w:eastAsia="en-US"/>
                    </w:rPr>
                    <w:t>昼间</w:t>
                  </w:r>
                </w:p>
              </w:tc>
              <w:tc>
                <w:tcPr>
                  <w:tcW w:w="971" w:type="pct"/>
                  <w:tcBorders>
                    <w:tl2br w:val="nil"/>
                    <w:tr2bl w:val="nil"/>
                  </w:tcBorders>
                  <w:vAlign w:val="center"/>
                </w:tcPr>
                <w:p w14:paraId="14253861">
                  <w:pPr>
                    <w:pStyle w:val="9"/>
                    <w:widowControl w:val="0"/>
                    <w:autoSpaceDE w:val="0"/>
                    <w:autoSpaceDN w:val="0"/>
                    <w:rPr>
                      <w:rFonts w:hint="default" w:ascii="Times New Roman" w:hAnsi="Times New Roman" w:cs="Times New Roman"/>
                      <w:b/>
                      <w:bCs/>
                      <w:lang w:eastAsia="en-US"/>
                    </w:rPr>
                  </w:pPr>
                  <w:r>
                    <w:rPr>
                      <w:rFonts w:hint="default" w:ascii="Times New Roman" w:hAnsi="Times New Roman" w:cs="Times New Roman"/>
                      <w:b/>
                      <w:bCs/>
                      <w:lang w:eastAsia="en-US"/>
                    </w:rPr>
                    <w:t>夜间</w:t>
                  </w:r>
                </w:p>
              </w:tc>
            </w:tr>
            <w:tr w14:paraId="0B8437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759" w:type="pct"/>
                  <w:tcBorders>
                    <w:tl2br w:val="nil"/>
                    <w:tr2bl w:val="nil"/>
                  </w:tcBorders>
                  <w:vAlign w:val="center"/>
                </w:tcPr>
                <w:p w14:paraId="164BD6B4">
                  <w:pPr>
                    <w:pStyle w:val="9"/>
                    <w:widowControl w:val="0"/>
                    <w:autoSpaceDE w:val="0"/>
                    <w:autoSpaceDN w:val="0"/>
                    <w:rPr>
                      <w:rFonts w:hint="default" w:ascii="Times New Roman" w:hAnsi="Times New Roman" w:cs="Times New Roman"/>
                      <w:lang w:eastAsia="en-US"/>
                    </w:rPr>
                  </w:pPr>
                  <w:r>
                    <w:rPr>
                      <w:rFonts w:hint="default" w:ascii="Times New Roman" w:hAnsi="Times New Roman" w:cs="Times New Roman"/>
                      <w:lang w:eastAsia="en-US"/>
                    </w:rPr>
                    <w:t>施工期</w:t>
                  </w:r>
                </w:p>
              </w:tc>
              <w:tc>
                <w:tcPr>
                  <w:tcW w:w="2350" w:type="pct"/>
                  <w:tcBorders>
                    <w:tl2br w:val="nil"/>
                    <w:tr2bl w:val="nil"/>
                  </w:tcBorders>
                  <w:vAlign w:val="center"/>
                </w:tcPr>
                <w:p w14:paraId="767866F8">
                  <w:pPr>
                    <w:pStyle w:val="9"/>
                    <w:widowControl w:val="0"/>
                    <w:autoSpaceDE w:val="0"/>
                    <w:autoSpaceDN w:val="0"/>
                    <w:rPr>
                      <w:rFonts w:hint="default" w:ascii="Times New Roman" w:hAnsi="Times New Roman" w:cs="Times New Roman"/>
                      <w:lang w:eastAsia="zh-CN"/>
                    </w:rPr>
                  </w:pPr>
                  <w:r>
                    <w:rPr>
                      <w:rFonts w:hint="default" w:ascii="Times New Roman" w:hAnsi="Times New Roman" w:cs="Times New Roman"/>
                      <w:lang w:eastAsia="zh-CN"/>
                    </w:rPr>
                    <w:t>《建筑施工噪声排放标准》（GB12523-</w:t>
                  </w:r>
                  <w:r>
                    <w:rPr>
                      <w:rFonts w:hint="eastAsia" w:cs="Times New Roman"/>
                      <w:lang w:val="en-US" w:eastAsia="zh-CN"/>
                    </w:rPr>
                    <w:t>2025</w:t>
                  </w:r>
                  <w:r>
                    <w:rPr>
                      <w:rFonts w:hint="default" w:ascii="Times New Roman" w:hAnsi="Times New Roman" w:cs="Times New Roman"/>
                      <w:lang w:eastAsia="zh-CN"/>
                    </w:rPr>
                    <w:t>）</w:t>
                  </w:r>
                </w:p>
              </w:tc>
              <w:tc>
                <w:tcPr>
                  <w:tcW w:w="917" w:type="pct"/>
                  <w:tcBorders>
                    <w:tl2br w:val="nil"/>
                    <w:tr2bl w:val="nil"/>
                  </w:tcBorders>
                  <w:vAlign w:val="center"/>
                </w:tcPr>
                <w:p w14:paraId="04131F0D">
                  <w:pPr>
                    <w:pStyle w:val="9"/>
                    <w:widowControl w:val="0"/>
                    <w:autoSpaceDE w:val="0"/>
                    <w:autoSpaceDN w:val="0"/>
                    <w:rPr>
                      <w:rFonts w:hint="default" w:ascii="Times New Roman" w:hAnsi="Times New Roman" w:cs="Times New Roman"/>
                      <w:lang w:eastAsia="en-US"/>
                    </w:rPr>
                  </w:pPr>
                  <w:r>
                    <w:rPr>
                      <w:rFonts w:hint="default" w:ascii="Times New Roman" w:hAnsi="Times New Roman" w:cs="Times New Roman"/>
                      <w:lang w:eastAsia="en-US"/>
                    </w:rPr>
                    <w:t>70dB（A）</w:t>
                  </w:r>
                </w:p>
              </w:tc>
              <w:tc>
                <w:tcPr>
                  <w:tcW w:w="971" w:type="pct"/>
                  <w:tcBorders>
                    <w:tl2br w:val="nil"/>
                    <w:tr2bl w:val="nil"/>
                  </w:tcBorders>
                  <w:vAlign w:val="center"/>
                </w:tcPr>
                <w:p w14:paraId="6C9AD903">
                  <w:pPr>
                    <w:pStyle w:val="9"/>
                    <w:widowControl w:val="0"/>
                    <w:autoSpaceDE w:val="0"/>
                    <w:autoSpaceDN w:val="0"/>
                    <w:rPr>
                      <w:rFonts w:hint="default" w:ascii="Times New Roman" w:hAnsi="Times New Roman" w:cs="Times New Roman"/>
                      <w:lang w:eastAsia="en-US"/>
                    </w:rPr>
                  </w:pPr>
                  <w:r>
                    <w:rPr>
                      <w:rFonts w:hint="default" w:ascii="Times New Roman" w:hAnsi="Times New Roman" w:cs="Times New Roman"/>
                      <w:lang w:eastAsia="en-US"/>
                    </w:rPr>
                    <w:t>55dB（A）</w:t>
                  </w:r>
                </w:p>
              </w:tc>
            </w:tr>
            <w:tr w14:paraId="23ABC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759" w:type="pct"/>
                  <w:tcBorders>
                    <w:tl2br w:val="nil"/>
                    <w:tr2bl w:val="nil"/>
                  </w:tcBorders>
                  <w:vAlign w:val="center"/>
                </w:tcPr>
                <w:p w14:paraId="6A43F4AE">
                  <w:pPr>
                    <w:pStyle w:val="9"/>
                    <w:widowControl w:val="0"/>
                    <w:autoSpaceDE w:val="0"/>
                    <w:autoSpaceDN w:val="0"/>
                    <w:rPr>
                      <w:rFonts w:hint="default" w:ascii="Times New Roman" w:hAnsi="Times New Roman" w:cs="Times New Roman"/>
                      <w:lang w:eastAsia="en-US"/>
                    </w:rPr>
                  </w:pPr>
                  <w:r>
                    <w:rPr>
                      <w:rFonts w:hint="default" w:ascii="Times New Roman" w:hAnsi="Times New Roman" w:cs="Times New Roman"/>
                      <w:lang w:eastAsia="en-US"/>
                    </w:rPr>
                    <w:t>运营期</w:t>
                  </w:r>
                </w:p>
              </w:tc>
              <w:tc>
                <w:tcPr>
                  <w:tcW w:w="2350" w:type="pct"/>
                  <w:tcBorders>
                    <w:tl2br w:val="nil"/>
                    <w:tr2bl w:val="nil"/>
                  </w:tcBorders>
                  <w:vAlign w:val="center"/>
                </w:tcPr>
                <w:p w14:paraId="4C0EB58A">
                  <w:pPr>
                    <w:pStyle w:val="9"/>
                    <w:widowControl w:val="0"/>
                    <w:autoSpaceDE w:val="0"/>
                    <w:autoSpaceDN w:val="0"/>
                    <w:rPr>
                      <w:rFonts w:hint="default" w:ascii="Times New Roman" w:hAnsi="Times New Roman" w:cs="Times New Roman"/>
                      <w:lang w:eastAsia="zh-CN"/>
                    </w:rPr>
                  </w:pPr>
                  <w:r>
                    <w:rPr>
                      <w:rFonts w:hint="default" w:ascii="Times New Roman" w:hAnsi="Times New Roman" w:cs="Times New Roman"/>
                      <w:lang w:eastAsia="zh-CN"/>
                    </w:rPr>
                    <w:t>《工业企业厂界环境噪声排放标准》（GB12348-2008）</w:t>
                  </w:r>
                  <w:r>
                    <w:rPr>
                      <w:rFonts w:hint="eastAsia" w:cs="Times New Roman"/>
                      <w:lang w:val="en-US" w:eastAsia="zh-CN"/>
                    </w:rPr>
                    <w:t>3</w:t>
                  </w:r>
                  <w:r>
                    <w:rPr>
                      <w:rFonts w:hint="default" w:ascii="Times New Roman" w:hAnsi="Times New Roman" w:cs="Times New Roman"/>
                      <w:lang w:eastAsia="zh-CN"/>
                    </w:rPr>
                    <w:t>类标准</w:t>
                  </w:r>
                </w:p>
              </w:tc>
              <w:tc>
                <w:tcPr>
                  <w:tcW w:w="917" w:type="pct"/>
                  <w:tcBorders>
                    <w:tl2br w:val="nil"/>
                    <w:tr2bl w:val="nil"/>
                  </w:tcBorders>
                  <w:vAlign w:val="center"/>
                </w:tcPr>
                <w:p w14:paraId="6B575269">
                  <w:pPr>
                    <w:pStyle w:val="9"/>
                    <w:widowControl w:val="0"/>
                    <w:autoSpaceDE w:val="0"/>
                    <w:autoSpaceDN w:val="0"/>
                    <w:rPr>
                      <w:rFonts w:hint="default" w:ascii="Times New Roman" w:hAnsi="Times New Roman" w:cs="Times New Roman"/>
                      <w:lang w:eastAsia="en-US"/>
                    </w:rPr>
                  </w:pPr>
                  <w:r>
                    <w:rPr>
                      <w:rFonts w:hint="default" w:ascii="Times New Roman" w:hAnsi="Times New Roman" w:cs="Times New Roman"/>
                      <w:lang w:eastAsia="en-US"/>
                    </w:rPr>
                    <w:t>6</w:t>
                  </w:r>
                  <w:r>
                    <w:rPr>
                      <w:rFonts w:hint="eastAsia" w:cs="Times New Roman"/>
                      <w:lang w:val="en-US" w:eastAsia="zh-CN"/>
                    </w:rPr>
                    <w:t>5</w:t>
                  </w:r>
                  <w:r>
                    <w:rPr>
                      <w:rFonts w:hint="default" w:ascii="Times New Roman" w:hAnsi="Times New Roman" w:cs="Times New Roman"/>
                      <w:lang w:eastAsia="en-US"/>
                    </w:rPr>
                    <w:t>dB（A）</w:t>
                  </w:r>
                </w:p>
              </w:tc>
              <w:tc>
                <w:tcPr>
                  <w:tcW w:w="971" w:type="pct"/>
                  <w:tcBorders>
                    <w:tl2br w:val="nil"/>
                    <w:tr2bl w:val="nil"/>
                  </w:tcBorders>
                  <w:vAlign w:val="center"/>
                </w:tcPr>
                <w:p w14:paraId="100179D6">
                  <w:pPr>
                    <w:pStyle w:val="9"/>
                    <w:widowControl w:val="0"/>
                    <w:autoSpaceDE w:val="0"/>
                    <w:autoSpaceDN w:val="0"/>
                    <w:rPr>
                      <w:rFonts w:hint="default" w:ascii="Times New Roman" w:hAnsi="Times New Roman" w:cs="Times New Roman"/>
                      <w:lang w:eastAsia="en-US"/>
                    </w:rPr>
                  </w:pPr>
                  <w:r>
                    <w:rPr>
                      <w:rFonts w:hint="default" w:ascii="Times New Roman" w:hAnsi="Times New Roman" w:cs="Times New Roman"/>
                      <w:lang w:eastAsia="en-US"/>
                    </w:rPr>
                    <w:t>5</w:t>
                  </w:r>
                  <w:r>
                    <w:rPr>
                      <w:rFonts w:hint="eastAsia" w:cs="Times New Roman"/>
                      <w:lang w:val="en-US" w:eastAsia="zh-CN"/>
                    </w:rPr>
                    <w:t>5</w:t>
                  </w:r>
                  <w:r>
                    <w:rPr>
                      <w:rFonts w:hint="default" w:ascii="Times New Roman" w:hAnsi="Times New Roman" w:cs="Times New Roman"/>
                      <w:lang w:eastAsia="en-US"/>
                    </w:rPr>
                    <w:t>dB（A）</w:t>
                  </w:r>
                </w:p>
              </w:tc>
            </w:tr>
          </w:tbl>
          <w:p w14:paraId="10AEAA04">
            <w:pPr>
              <w:numPr>
                <w:ilvl w:val="0"/>
                <w:numId w:val="26"/>
              </w:numPr>
              <w:autoSpaceDE w:val="0"/>
              <w:autoSpaceDN w:val="0"/>
              <w:adjustRightInd w:val="0"/>
              <w:snapToGrid w:val="0"/>
              <w:spacing w:before="120" w:beforeLines="50"/>
              <w:ind w:left="0" w:firstLine="0" w:firstLineChars="0"/>
              <w:rPr>
                <w:b/>
              </w:rPr>
            </w:pPr>
            <w:r>
              <w:rPr>
                <w:rFonts w:hint="eastAsia"/>
                <w:b/>
              </w:rPr>
              <w:t>固体废物</w:t>
            </w:r>
          </w:p>
          <w:p w14:paraId="17BD117B">
            <w:pPr>
              <w:autoSpaceDE w:val="0"/>
              <w:autoSpaceDN w:val="0"/>
              <w:adjustRightInd w:val="0"/>
              <w:snapToGrid w:val="0"/>
              <w:ind w:firstLine="480"/>
              <w:rPr>
                <w:rFonts w:hint="default" w:eastAsia="宋体"/>
                <w:szCs w:val="21"/>
                <w:lang w:val="en-US" w:eastAsia="zh-CN"/>
              </w:rPr>
            </w:pPr>
            <w:r>
              <w:rPr>
                <w:rFonts w:hint="eastAsia"/>
                <w:szCs w:val="21"/>
              </w:rPr>
              <w:t>一般工业固体废物执行《一般工业固体废物贮存和填埋污染控制标准》（GB18599-2020）等要求；危险废物贮存执行《危险废物贮存污染控制标准》（GB18597-2023）中的相关标准。</w:t>
            </w:r>
          </w:p>
        </w:tc>
      </w:tr>
      <w:tr w14:paraId="37BB7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29" w:hRule="atLeast"/>
          <w:jc w:val="center"/>
        </w:trPr>
        <w:tc>
          <w:tcPr>
            <w:tcW w:w="334" w:type="pct"/>
            <w:vAlign w:val="center"/>
          </w:tcPr>
          <w:p w14:paraId="7C370C05">
            <w:pPr>
              <w:autoSpaceDE w:val="0"/>
              <w:autoSpaceDN w:val="0"/>
              <w:adjustRightInd w:val="0"/>
              <w:snapToGrid w:val="0"/>
              <w:spacing w:line="240" w:lineRule="auto"/>
              <w:ind w:firstLine="0" w:firstLineChars="0"/>
              <w:jc w:val="center"/>
              <w:rPr>
                <w:szCs w:val="21"/>
              </w:rPr>
            </w:pPr>
            <w:r>
              <w:rPr>
                <w:szCs w:val="21"/>
              </w:rPr>
              <w:t>总量控制指标</w:t>
            </w:r>
          </w:p>
        </w:tc>
        <w:tc>
          <w:tcPr>
            <w:tcW w:w="4665" w:type="pct"/>
            <w:vAlign w:val="center"/>
          </w:tcPr>
          <w:p w14:paraId="66D51D24">
            <w:pPr>
              <w:numPr>
                <w:ilvl w:val="0"/>
                <w:numId w:val="27"/>
              </w:numPr>
              <w:ind w:firstLine="480"/>
              <w:rPr>
                <w:rFonts w:hint="eastAsia" w:ascii="宋体" w:hAnsi="宋体" w:cs="宋体"/>
              </w:rPr>
            </w:pPr>
            <w:r>
              <w:rPr>
                <w:rFonts w:ascii="宋体" w:hAnsi="宋体" w:cs="宋体"/>
              </w:rPr>
              <w:t>水污染物排放总量控制指标</w:t>
            </w:r>
          </w:p>
          <w:p w14:paraId="18CBDBB3">
            <w:pPr>
              <w:ind w:firstLine="480"/>
              <w:rPr>
                <w:rFonts w:hint="eastAsia" w:ascii="宋体" w:hAnsi="宋体" w:cs="宋体"/>
              </w:rPr>
            </w:pPr>
            <w:r>
              <w:rPr>
                <w:rFonts w:hint="eastAsia"/>
                <w:lang w:val="en-US" w:eastAsia="zh-CN"/>
              </w:rPr>
              <w:t>地面冲洗废水和车辆冲洗废水在现有项目中已进行核算，本项目不重复核算，地面冲洗废水和车辆冲洗废水经沉淀池收集沉淀后回用，</w:t>
            </w:r>
            <w:r>
              <w:rPr>
                <w:rFonts w:ascii="宋体" w:hAnsi="宋体" w:cs="宋体"/>
              </w:rPr>
              <w:t>故本项目不设水污染物总量控制指标。</w:t>
            </w:r>
          </w:p>
          <w:p w14:paraId="5FB831E6">
            <w:pPr>
              <w:numPr>
                <w:ilvl w:val="0"/>
                <w:numId w:val="27"/>
              </w:numPr>
              <w:ind w:firstLine="480"/>
            </w:pPr>
            <w:r>
              <w:rPr>
                <w:rFonts w:ascii="宋体" w:hAnsi="宋体" w:cs="宋体"/>
              </w:rPr>
              <w:t>大气污染物排放总量控制指标</w:t>
            </w:r>
          </w:p>
          <w:p w14:paraId="5072AC0F">
            <w:pPr>
              <w:ind w:firstLine="480"/>
              <w:rPr>
                <w:sz w:val="24"/>
              </w:rPr>
            </w:pPr>
            <w:r>
              <w:rPr>
                <w:rFonts w:ascii="宋体" w:hAnsi="宋体" w:cs="宋体"/>
              </w:rPr>
              <w:t>本项目产生的大气污染物主要为颗粒物，不需要申请总量控制指标。</w:t>
            </w:r>
          </w:p>
        </w:tc>
      </w:tr>
    </w:tbl>
    <w:p w14:paraId="2CE02BF8">
      <w:pPr>
        <w:ind w:firstLine="480"/>
        <w:sectPr>
          <w:footerReference r:id="rId16" w:type="default"/>
          <w:pgSz w:w="11907" w:h="16840"/>
          <w:pgMar w:top="1418" w:right="1418" w:bottom="1418" w:left="1701" w:header="851" w:footer="992" w:gutter="0"/>
          <w:pgBorders>
            <w:top w:val="none" w:sz="0" w:space="0"/>
            <w:left w:val="none" w:sz="0" w:space="0"/>
            <w:bottom w:val="none" w:sz="0" w:space="0"/>
            <w:right w:val="none" w:sz="0" w:space="0"/>
          </w:pgBorders>
          <w:cols w:space="720" w:num="1"/>
          <w:docGrid w:linePitch="326" w:charSpace="0"/>
        </w:sectPr>
      </w:pPr>
      <w:bookmarkStart w:id="100" w:name="_Toc18673"/>
      <w:bookmarkStart w:id="101" w:name="_Toc10257"/>
      <w:bookmarkStart w:id="102" w:name="_Toc26124"/>
      <w:bookmarkStart w:id="103" w:name="_Toc11347"/>
      <w:bookmarkStart w:id="104" w:name="_Toc17150"/>
      <w:bookmarkStart w:id="105" w:name="_Toc2090"/>
      <w:bookmarkStart w:id="106" w:name="_Toc28064"/>
      <w:bookmarkStart w:id="107" w:name="_Toc15332"/>
      <w:bookmarkStart w:id="108" w:name="_Toc21688"/>
      <w:bookmarkStart w:id="109" w:name="_Toc19882"/>
      <w:bookmarkStart w:id="110" w:name="_Toc22399"/>
      <w:bookmarkStart w:id="111" w:name="_Toc20626"/>
    </w:p>
    <w:p w14:paraId="2F039CDD">
      <w:pPr>
        <w:pStyle w:val="2"/>
        <w:numPr>
          <w:ilvl w:val="255"/>
          <w:numId w:val="0"/>
        </w:numPr>
        <w:spacing w:before="0" w:beforeLines="0" w:after="120" w:afterLines="50"/>
        <w:jc w:val="center"/>
        <w:rPr>
          <w:snapToGrid w:val="0"/>
        </w:rPr>
      </w:pPr>
      <w:bookmarkStart w:id="112" w:name="_Toc15188"/>
      <w:bookmarkStart w:id="113" w:name="_Toc29821"/>
      <w:bookmarkStart w:id="114" w:name="_Toc635"/>
      <w:bookmarkStart w:id="115" w:name="_Toc20440"/>
      <w:bookmarkStart w:id="116" w:name="_Toc4482"/>
      <w:r>
        <w:rPr>
          <w:snapToGrid w:val="0"/>
        </w:rPr>
        <w:t>四、主要环境影响和保护措施</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tbl>
      <w:tblPr>
        <w:tblStyle w:val="31"/>
        <w:tblW w:w="89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74"/>
        <w:gridCol w:w="8450"/>
      </w:tblGrid>
      <w:tr w14:paraId="71802F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4" w:type="dxa"/>
            <w:tcMar>
              <w:left w:w="28" w:type="dxa"/>
              <w:right w:w="28" w:type="dxa"/>
            </w:tcMar>
            <w:vAlign w:val="center"/>
          </w:tcPr>
          <w:p w14:paraId="38A5A6F9">
            <w:pPr>
              <w:pStyle w:val="25"/>
              <w:autoSpaceDE w:val="0"/>
              <w:autoSpaceDN w:val="0"/>
              <w:adjustRightInd w:val="0"/>
              <w:snapToGrid w:val="0"/>
              <w:spacing w:before="0" w:beforeAutospacing="0" w:after="0" w:afterAutospacing="0" w:line="240" w:lineRule="auto"/>
              <w:ind w:firstLine="0" w:firstLineChars="0"/>
              <w:jc w:val="center"/>
              <w:rPr>
                <w:bCs/>
                <w:kern w:val="2"/>
              </w:rPr>
            </w:pPr>
            <w:r>
              <w:rPr>
                <w:kern w:val="2"/>
              </w:rPr>
              <w:t>施工期环境保护措施</w:t>
            </w:r>
          </w:p>
        </w:tc>
        <w:tc>
          <w:tcPr>
            <w:tcW w:w="8420" w:type="dxa"/>
            <w:vAlign w:val="center"/>
          </w:tcPr>
          <w:p w14:paraId="46036C62">
            <w:pPr>
              <w:autoSpaceDE w:val="0"/>
              <w:autoSpaceDN w:val="0"/>
              <w:adjustRightInd w:val="0"/>
              <w:snapToGrid w:val="0"/>
              <w:ind w:firstLine="480"/>
              <w:rPr>
                <w:color w:val="000000"/>
              </w:rPr>
            </w:pPr>
            <w:r>
              <w:t>本项目</w:t>
            </w:r>
            <w:r>
              <w:rPr>
                <w:rFonts w:hint="eastAsia"/>
                <w:lang w:val="en-US" w:eastAsia="zh-CN"/>
              </w:rPr>
              <w:t>在华能湖南岳阳发电有限责任公司现有灰场上新建粉煤灰超细灰生产装置，仅安装设备，不涉及土建施工</w:t>
            </w:r>
            <w:r>
              <w:rPr>
                <w:color w:val="000000"/>
              </w:rPr>
              <w:t>，施工期主要污染物为施工生活污水、噪声、施工扬尘、装修垃圾及生活垃圾。</w:t>
            </w:r>
          </w:p>
          <w:p w14:paraId="0C61C1D9">
            <w:pPr>
              <w:autoSpaceDE w:val="0"/>
              <w:autoSpaceDN w:val="0"/>
              <w:adjustRightInd w:val="0"/>
              <w:snapToGrid w:val="0"/>
              <w:ind w:firstLine="480"/>
              <w:rPr>
                <w:color w:val="000000"/>
              </w:rPr>
            </w:pPr>
            <w:r>
              <w:rPr>
                <w:color w:val="000000"/>
              </w:rPr>
              <w:t>废水：本项目施工期废水主要为施工期生活污水，依托</w:t>
            </w:r>
            <w:r>
              <w:rPr>
                <w:rFonts w:hint="eastAsia"/>
                <w:color w:val="000000"/>
                <w:lang w:val="en-US" w:eastAsia="zh-CN"/>
              </w:rPr>
              <w:t>现有生活污水处理站处理后回用，不外排。</w:t>
            </w:r>
          </w:p>
          <w:p w14:paraId="1D5657EF">
            <w:pPr>
              <w:autoSpaceDE w:val="0"/>
              <w:autoSpaceDN w:val="0"/>
              <w:adjustRightInd w:val="0"/>
              <w:snapToGrid w:val="0"/>
              <w:ind w:firstLine="480"/>
              <w:rPr>
                <w:color w:val="000000"/>
              </w:rPr>
            </w:pPr>
            <w:r>
              <w:rPr>
                <w:color w:val="000000"/>
              </w:rPr>
              <w:t>噪声环境：本次评价建议建设单位合理安排设备安装的时间，施工机械选用质量较好的低噪声设备，避免噪声通过门窗发散，尽量缩短使用时间，减少噪声向周围辐射。同时要求进出汽车限速，禁止鸣笛以降低装卸料噪声及机动车的交通噪声的影响，经墙体隔声自然衰减，噪声不会对周边环境产生影响。</w:t>
            </w:r>
          </w:p>
          <w:p w14:paraId="147824D9">
            <w:pPr>
              <w:autoSpaceDE w:val="0"/>
              <w:autoSpaceDN w:val="0"/>
              <w:adjustRightInd w:val="0"/>
              <w:snapToGrid w:val="0"/>
              <w:ind w:firstLine="480"/>
              <w:rPr>
                <w:color w:val="000000"/>
              </w:rPr>
            </w:pPr>
            <w:r>
              <w:rPr>
                <w:color w:val="000000"/>
              </w:rPr>
              <w:t>大气环境：要求卸货时轻放，防止扬尘的产生，同时要求进出汽车限速，减少运输扬尘的产生。采取措施后粉尘产生量很少，对周边环境影响较小。</w:t>
            </w:r>
          </w:p>
          <w:p w14:paraId="602A5513">
            <w:pPr>
              <w:ind w:firstLine="480"/>
            </w:pPr>
            <w:r>
              <w:rPr>
                <w:color w:val="000000"/>
              </w:rPr>
              <w:t>固体废物：安装设备过程中，拆卸下来的设备外包装材料不能随意堆放，要集中收集至垃圾箱，交由环卫部门统一清运处理。</w:t>
            </w:r>
          </w:p>
          <w:p w14:paraId="530E953D">
            <w:pPr>
              <w:autoSpaceDE w:val="0"/>
              <w:autoSpaceDN w:val="0"/>
              <w:adjustRightInd w:val="0"/>
              <w:snapToGrid w:val="0"/>
              <w:ind w:firstLine="480"/>
            </w:pPr>
            <w:r>
              <w:t>施工</w:t>
            </w:r>
            <w:r>
              <w:rPr>
                <w:rFonts w:hint="eastAsia"/>
              </w:rPr>
              <w:t>期间产生的</w:t>
            </w:r>
            <w:r>
              <w:t>生活垃圾经收集后由</w:t>
            </w:r>
            <w:r>
              <w:rPr>
                <w:rFonts w:hint="eastAsia"/>
              </w:rPr>
              <w:t>当地</w:t>
            </w:r>
            <w:r>
              <w:t>环卫部门</w:t>
            </w:r>
            <w:r>
              <w:rPr>
                <w:rFonts w:hint="eastAsia"/>
              </w:rPr>
              <w:t>统一清运</w:t>
            </w:r>
            <w:r>
              <w:t>。</w:t>
            </w:r>
          </w:p>
        </w:tc>
      </w:tr>
      <w:tr w14:paraId="56E8C2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4" w:type="dxa"/>
            <w:tcBorders>
              <w:left w:val="single" w:color="auto" w:sz="4" w:space="0"/>
              <w:bottom w:val="single" w:color="auto" w:sz="4" w:space="0"/>
            </w:tcBorders>
            <w:tcMar>
              <w:left w:w="28" w:type="dxa"/>
              <w:right w:w="28" w:type="dxa"/>
            </w:tcMar>
            <w:vAlign w:val="center"/>
          </w:tcPr>
          <w:p w14:paraId="5D9C18DE">
            <w:pPr>
              <w:autoSpaceDE w:val="0"/>
              <w:autoSpaceDN w:val="0"/>
              <w:adjustRightInd w:val="0"/>
              <w:snapToGrid w:val="0"/>
              <w:spacing w:line="240" w:lineRule="auto"/>
              <w:ind w:firstLine="0" w:firstLineChars="0"/>
              <w:jc w:val="center"/>
              <w:rPr>
                <w:bCs/>
              </w:rPr>
            </w:pPr>
            <w:r>
              <w:rPr>
                <w:bCs/>
              </w:rPr>
              <w:t>运营期环境影响和保护措施</w:t>
            </w:r>
          </w:p>
        </w:tc>
        <w:tc>
          <w:tcPr>
            <w:tcW w:w="8420" w:type="dxa"/>
            <w:tcBorders>
              <w:bottom w:val="single" w:color="auto" w:sz="4" w:space="0"/>
              <w:right w:val="single" w:color="auto" w:sz="4" w:space="0"/>
            </w:tcBorders>
            <w:vAlign w:val="center"/>
          </w:tcPr>
          <w:p w14:paraId="4872D271">
            <w:pPr>
              <w:numPr>
                <w:ilvl w:val="0"/>
                <w:numId w:val="28"/>
              </w:numPr>
              <w:autoSpaceDE w:val="0"/>
              <w:autoSpaceDN w:val="0"/>
              <w:adjustRightInd w:val="0"/>
              <w:snapToGrid w:val="0"/>
              <w:ind w:firstLineChars="0"/>
              <w:rPr>
                <w:b/>
                <w:sz w:val="28"/>
                <w:szCs w:val="28"/>
              </w:rPr>
            </w:pPr>
            <w:r>
              <w:rPr>
                <w:rFonts w:hint="eastAsia"/>
                <w:b/>
                <w:sz w:val="28"/>
                <w:szCs w:val="28"/>
              </w:rPr>
              <w:t>废气</w:t>
            </w:r>
          </w:p>
          <w:p w14:paraId="78001210">
            <w:pPr>
              <w:ind w:firstLine="0" w:firstLineChars="0"/>
              <w:rPr>
                <w:b/>
                <w:bCs/>
              </w:rPr>
            </w:pPr>
            <w:r>
              <w:rPr>
                <w:rFonts w:hint="eastAsia"/>
                <w:b/>
                <w:bCs/>
              </w:rPr>
              <w:t>1.1</w:t>
            </w:r>
            <w:r>
              <w:rPr>
                <w:rFonts w:hint="eastAsia"/>
                <w:b/>
                <w:bCs/>
                <w:u w:val="single"/>
              </w:rPr>
              <w:t>废气源强</w:t>
            </w:r>
          </w:p>
          <w:p w14:paraId="7F2EC5EC">
            <w:pPr>
              <w:numPr>
                <w:ilvl w:val="0"/>
                <w:numId w:val="29"/>
              </w:numPr>
              <w:ind w:firstLine="480"/>
              <w:rPr>
                <w:rFonts w:hint="default"/>
                <w:highlight w:val="none"/>
                <w:u w:val="single"/>
                <w:lang w:val="en-US" w:eastAsia="zh-CN"/>
              </w:rPr>
            </w:pPr>
            <w:r>
              <w:rPr>
                <w:rFonts w:hint="eastAsia"/>
                <w:highlight w:val="none"/>
                <w:u w:val="single"/>
                <w:lang w:val="en-US" w:eastAsia="zh-CN"/>
              </w:rPr>
              <w:t>粉煤灰分选工艺废气</w:t>
            </w:r>
          </w:p>
          <w:p w14:paraId="60FEB879">
            <w:pPr>
              <w:ind w:firstLine="480"/>
              <w:rPr>
                <w:rFonts w:hint="eastAsia"/>
                <w:highlight w:val="yellow"/>
                <w:u w:val="none"/>
                <w:lang w:val="en-US" w:eastAsia="zh-CN"/>
              </w:rPr>
            </w:pPr>
            <w:r>
              <w:rPr>
                <w:rFonts w:hint="eastAsia"/>
                <w:highlight w:val="none"/>
                <w:u w:val="single"/>
              </w:rPr>
              <w:t>本项目新增粉煤灰超细灰分选装置，对厂区现有粉煤灰进行分级加工，全厂粉煤灰处理总量不增加。本项目不新增灰库筒仓及罐车装车设施，不改变现有粉煤灰输送、贮存及装车系统的运行工况，故本项目不新增筒仓呼吸粉尘和罐车气力输送粉尘排放。因建设单位前期环评为电厂整体建设环评，未对粉煤灰物料输送和贮存过程的废气进行详细核算，本次环评仅对该部分现有废气排放量进行补充核算，作为现有工程污染源强的完善，不纳入本项目新增排放量。</w:t>
            </w:r>
          </w:p>
          <w:p w14:paraId="73DA9FD1">
            <w:pPr>
              <w:numPr>
                <w:ilvl w:val="0"/>
                <w:numId w:val="0"/>
              </w:numPr>
              <w:ind w:left="420" w:leftChars="0"/>
              <w:rPr>
                <w:rFonts w:hint="default" w:ascii="Times New Roman" w:hAnsi="Times New Roman" w:cs="Times New Roman"/>
                <w:u w:val="single"/>
                <w:lang w:val="en-US"/>
              </w:rPr>
            </w:pPr>
            <w:r>
              <w:rPr>
                <w:rFonts w:hint="eastAsia"/>
                <w:u w:val="single"/>
                <w:lang w:val="en-US" w:eastAsia="zh-CN"/>
              </w:rPr>
              <w:t>（1</w:t>
            </w:r>
            <w:r>
              <w:rPr>
                <w:rFonts w:hint="default" w:ascii="Times New Roman" w:hAnsi="Times New Roman" w:cs="Times New Roman"/>
                <w:u w:val="single"/>
                <w:lang w:val="en-US" w:eastAsia="zh-CN"/>
              </w:rPr>
              <w:t>）</w:t>
            </w:r>
            <w:r>
              <w:rPr>
                <w:rFonts w:hint="eastAsia" w:ascii="Times New Roman" w:hAnsi="Times New Roman" w:cs="Times New Roman"/>
                <w:u w:val="single"/>
                <w:lang w:val="en-US" w:eastAsia="zh-CN"/>
              </w:rPr>
              <w:t>筒仓呼吸废气</w:t>
            </w:r>
          </w:p>
          <w:p w14:paraId="6214A5B2">
            <w:pPr>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imes New Roman" w:eastAsia="宋体"/>
                <w:sz w:val="24"/>
                <w:highlight w:val="none"/>
                <w:u w:val="single"/>
                <w:lang w:val="en-US" w:eastAsia="zh-CN"/>
              </w:rPr>
            </w:pPr>
            <w:r>
              <w:rPr>
                <w:rFonts w:hint="default" w:ascii="Times New Roman" w:hAnsi="Times New Roman" w:cs="Times New Roman"/>
                <w:u w:val="single"/>
                <w:lang w:val="en-US" w:eastAsia="zh-CN"/>
              </w:rPr>
              <w:t>本项目粉煤灰均为筒仓储存，</w:t>
            </w:r>
            <w:r>
              <w:rPr>
                <w:rFonts w:hint="default" w:ascii="Times New Roman" w:hAnsi="Times New Roman" w:cs="Times New Roman"/>
                <w:color w:val="auto"/>
                <w:kern w:val="0"/>
                <w:u w:val="single"/>
              </w:rPr>
              <w:t>通过压缩空气将</w:t>
            </w:r>
            <w:r>
              <w:rPr>
                <w:rFonts w:hint="default" w:ascii="Times New Roman" w:hAnsi="Times New Roman" w:cs="Times New Roman"/>
                <w:color w:val="auto"/>
                <w:kern w:val="0"/>
                <w:u w:val="single"/>
                <w:lang w:val="en-US" w:eastAsia="zh-CN"/>
              </w:rPr>
              <w:t>电厂</w:t>
            </w:r>
            <w:r>
              <w:rPr>
                <w:rFonts w:hint="default" w:ascii="Times New Roman" w:hAnsi="Times New Roman" w:cs="Times New Roman"/>
                <w:color w:val="auto"/>
                <w:kern w:val="0"/>
                <w:u w:val="single"/>
              </w:rPr>
              <w:t>除尘器灰斗收集的飞灰通过双套管输送到灰库</w:t>
            </w:r>
            <w:r>
              <w:rPr>
                <w:rFonts w:hint="eastAsia" w:cs="Times New Roman"/>
                <w:color w:val="auto"/>
                <w:kern w:val="0"/>
                <w:u w:val="single"/>
                <w:lang w:val="en-US" w:eastAsia="zh-CN"/>
              </w:rPr>
              <w:t>筒仓贮存</w:t>
            </w:r>
            <w:r>
              <w:rPr>
                <w:rFonts w:hint="default" w:ascii="Times New Roman" w:hAnsi="Times New Roman" w:cs="Times New Roman"/>
                <w:color w:val="auto"/>
                <w:kern w:val="0"/>
                <w:u w:val="single"/>
                <w:lang w:eastAsia="zh-CN"/>
              </w:rPr>
              <w:t>，</w:t>
            </w:r>
            <w:r>
              <w:rPr>
                <w:rFonts w:hint="default" w:ascii="Times New Roman" w:hAnsi="Times New Roman" w:cs="Times New Roman"/>
                <w:color w:val="auto"/>
                <w:kern w:val="0"/>
                <w:u w:val="single"/>
                <w:lang w:val="en-US" w:eastAsia="zh-CN"/>
              </w:rPr>
              <w:t>因受气流冲击，该过程会产生粉尘从仓顶气孔排入大气中。筒仓呼吸孔粉尘参照</w:t>
            </w:r>
            <w:r>
              <w:rPr>
                <w:rFonts w:hint="eastAsia"/>
                <w:u w:val="single"/>
              </w:rPr>
              <w:t>《排放源统计调查产排污核算方法和系数手册》中“3024 轻质建筑材料制品制造行业系数手册--水泥、轻集料、石灰、粉煤灰等--物料输送储存</w:t>
            </w:r>
            <w:r>
              <w:rPr>
                <w:rFonts w:hint="eastAsia" w:ascii="Times New Roman" w:hAnsi="Times New Roman" w:cs="Times New Roman"/>
                <w:color w:val="auto"/>
                <w:kern w:val="0"/>
                <w:u w:val="single"/>
                <w:lang w:val="en-US" w:eastAsia="zh-CN"/>
              </w:rPr>
              <w:t>，</w:t>
            </w:r>
            <w:r>
              <w:rPr>
                <w:rFonts w:hint="eastAsia" w:ascii="Times New Roman" w:eastAsia="宋体"/>
                <w:sz w:val="24"/>
                <w:highlight w:val="none"/>
                <w:u w:val="single"/>
                <w:lang w:val="en-US" w:eastAsia="zh-CN"/>
              </w:rPr>
              <w:t>废气产排污系数见下表。</w:t>
            </w:r>
          </w:p>
          <w:p w14:paraId="1453DC33">
            <w:pPr>
              <w:pStyle w:val="379"/>
              <w:widowControl w:val="0"/>
              <w:spacing w:line="240" w:lineRule="auto"/>
              <w:rPr>
                <w:rFonts w:hint="eastAsia" w:ascii="Times New Roman" w:hAnsi="Times New Roman" w:eastAsia="宋体" w:cs="Times New Roman"/>
                <w:b/>
                <w:bCs/>
                <w:sz w:val="24"/>
                <w:u w:val="single"/>
                <w:lang w:val="en-US" w:eastAsia="zh-CN"/>
              </w:rPr>
            </w:pPr>
            <w:r>
              <w:rPr>
                <w:rFonts w:hint="default" w:ascii="Times New Roman" w:hAnsi="Times New Roman" w:cs="Times New Roman"/>
                <w:b/>
                <w:bCs/>
                <w:color w:val="auto"/>
                <w:kern w:val="0"/>
                <w:u w:val="single"/>
                <w:lang w:val="en-US" w:eastAsia="zh-CN"/>
              </w:rPr>
              <w:t>轻质建筑材料制品制造行业系数表</w:t>
            </w:r>
          </w:p>
          <w:tbl>
            <w:tblPr>
              <w:tblStyle w:val="32"/>
              <w:tblW w:w="82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67"/>
              <w:gridCol w:w="1367"/>
              <w:gridCol w:w="1254"/>
              <w:gridCol w:w="1377"/>
              <w:gridCol w:w="1868"/>
              <w:gridCol w:w="971"/>
            </w:tblGrid>
            <w:tr w14:paraId="176D15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67" w:type="dxa"/>
                  <w:tcBorders>
                    <w:tl2br w:val="nil"/>
                    <w:tr2bl w:val="nil"/>
                  </w:tcBorders>
                  <w:vAlign w:val="center"/>
                </w:tcPr>
                <w:p w14:paraId="6C6FB160">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single"/>
                      <w:vertAlign w:val="baseline"/>
                      <w:lang w:val="en-US" w:eastAsia="zh-CN"/>
                    </w:rPr>
                  </w:pPr>
                  <w:r>
                    <w:rPr>
                      <w:rFonts w:hint="default" w:ascii="Times New Roman" w:hAnsi="Times New Roman" w:cs="Times New Roman"/>
                      <w:b/>
                      <w:bCs/>
                      <w:sz w:val="21"/>
                      <w:szCs w:val="21"/>
                      <w:u w:val="single"/>
                      <w:lang w:val="en-US" w:eastAsia="zh-CN"/>
                    </w:rPr>
                    <w:t>工段</w:t>
                  </w:r>
                  <w:r>
                    <w:rPr>
                      <w:rFonts w:hint="default" w:ascii="Times New Roman" w:hAnsi="Times New Roman" w:cs="Times New Roman"/>
                      <w:b/>
                      <w:bCs/>
                      <w:sz w:val="21"/>
                      <w:szCs w:val="21"/>
                      <w:u w:val="single"/>
                    </w:rPr>
                    <w:t>名称</w:t>
                  </w:r>
                </w:p>
              </w:tc>
              <w:tc>
                <w:tcPr>
                  <w:tcW w:w="1367" w:type="dxa"/>
                  <w:tcBorders>
                    <w:tl2br w:val="nil"/>
                    <w:tr2bl w:val="nil"/>
                  </w:tcBorders>
                  <w:vAlign w:val="center"/>
                </w:tcPr>
                <w:p w14:paraId="6217000F">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single"/>
                      <w:vertAlign w:val="baseline"/>
                      <w:lang w:val="en-US" w:eastAsia="zh-CN"/>
                    </w:rPr>
                  </w:pPr>
                  <w:r>
                    <w:rPr>
                      <w:rFonts w:hint="default" w:ascii="Times New Roman" w:hAnsi="Times New Roman" w:cs="Times New Roman"/>
                      <w:b/>
                      <w:bCs/>
                      <w:sz w:val="21"/>
                      <w:szCs w:val="21"/>
                      <w:u w:val="single"/>
                      <w:lang w:val="en-US" w:eastAsia="zh-CN"/>
                    </w:rPr>
                    <w:t>产品名称</w:t>
                  </w:r>
                </w:p>
              </w:tc>
              <w:tc>
                <w:tcPr>
                  <w:tcW w:w="1254" w:type="dxa"/>
                  <w:tcBorders>
                    <w:tl2br w:val="nil"/>
                    <w:tr2bl w:val="nil"/>
                  </w:tcBorders>
                  <w:vAlign w:val="center"/>
                </w:tcPr>
                <w:p w14:paraId="5C4CDF9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single"/>
                      <w:vertAlign w:val="baseline"/>
                      <w:lang w:val="en-US" w:eastAsia="zh-CN"/>
                    </w:rPr>
                  </w:pPr>
                  <w:r>
                    <w:rPr>
                      <w:rFonts w:hint="default" w:ascii="Times New Roman" w:hAnsi="Times New Roman" w:cs="Times New Roman"/>
                      <w:b/>
                      <w:bCs/>
                      <w:sz w:val="21"/>
                      <w:szCs w:val="21"/>
                      <w:u w:val="single"/>
                      <w:lang w:val="en-US" w:eastAsia="zh-CN"/>
                    </w:rPr>
                    <w:t>工艺名称</w:t>
                  </w:r>
                </w:p>
              </w:tc>
              <w:tc>
                <w:tcPr>
                  <w:tcW w:w="1377" w:type="dxa"/>
                  <w:tcBorders>
                    <w:tl2br w:val="nil"/>
                    <w:tr2bl w:val="nil"/>
                  </w:tcBorders>
                  <w:vAlign w:val="center"/>
                </w:tcPr>
                <w:p w14:paraId="6233AB5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single"/>
                      <w:vertAlign w:val="baseline"/>
                      <w:lang w:val="en-US" w:eastAsia="zh-CN"/>
                    </w:rPr>
                  </w:pPr>
                  <w:r>
                    <w:rPr>
                      <w:rFonts w:hint="default" w:ascii="Times New Roman" w:hAnsi="Times New Roman" w:cs="Times New Roman"/>
                      <w:b/>
                      <w:bCs/>
                      <w:sz w:val="21"/>
                      <w:szCs w:val="21"/>
                      <w:u w:val="single"/>
                    </w:rPr>
                    <w:t>污染物指标</w:t>
                  </w:r>
                </w:p>
              </w:tc>
              <w:tc>
                <w:tcPr>
                  <w:tcW w:w="1868" w:type="dxa"/>
                  <w:tcBorders>
                    <w:tl2br w:val="nil"/>
                    <w:tr2bl w:val="nil"/>
                  </w:tcBorders>
                  <w:vAlign w:val="center"/>
                </w:tcPr>
                <w:p w14:paraId="0E716F3B">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single"/>
                      <w:vertAlign w:val="baseline"/>
                      <w:lang w:val="en-US" w:eastAsia="zh-CN"/>
                    </w:rPr>
                  </w:pPr>
                  <w:r>
                    <w:rPr>
                      <w:rFonts w:hint="default" w:ascii="Times New Roman" w:hAnsi="Times New Roman" w:cs="Times New Roman"/>
                      <w:b/>
                      <w:bCs/>
                      <w:sz w:val="21"/>
                      <w:szCs w:val="21"/>
                      <w:u w:val="single"/>
                    </w:rPr>
                    <w:t>单位</w:t>
                  </w:r>
                </w:p>
              </w:tc>
              <w:tc>
                <w:tcPr>
                  <w:tcW w:w="971" w:type="dxa"/>
                  <w:tcBorders>
                    <w:tl2br w:val="nil"/>
                    <w:tr2bl w:val="nil"/>
                  </w:tcBorders>
                  <w:vAlign w:val="center"/>
                </w:tcPr>
                <w:p w14:paraId="17B0E0FE">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sz w:val="21"/>
                      <w:szCs w:val="21"/>
                      <w:u w:val="single"/>
                    </w:rPr>
                  </w:pPr>
                  <w:r>
                    <w:rPr>
                      <w:rFonts w:hint="default" w:ascii="Times New Roman" w:hAnsi="Times New Roman" w:cs="Times New Roman"/>
                      <w:b/>
                      <w:bCs/>
                      <w:sz w:val="21"/>
                      <w:szCs w:val="21"/>
                      <w:u w:val="single"/>
                    </w:rPr>
                    <w:t>产污</w:t>
                  </w:r>
                </w:p>
                <w:p w14:paraId="4C4345FF">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single"/>
                      <w:vertAlign w:val="baseline"/>
                      <w:lang w:val="en-US" w:eastAsia="zh-CN"/>
                    </w:rPr>
                  </w:pPr>
                  <w:r>
                    <w:rPr>
                      <w:rFonts w:hint="default" w:ascii="Times New Roman" w:hAnsi="Times New Roman" w:cs="Times New Roman"/>
                      <w:b/>
                      <w:bCs/>
                      <w:sz w:val="21"/>
                      <w:szCs w:val="21"/>
                      <w:u w:val="single"/>
                    </w:rPr>
                    <w:t>系数</w:t>
                  </w:r>
                </w:p>
              </w:tc>
            </w:tr>
            <w:tr w14:paraId="0D6A64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67" w:type="dxa"/>
                  <w:vMerge w:val="restart"/>
                  <w:tcBorders>
                    <w:tl2br w:val="nil"/>
                    <w:tr2bl w:val="nil"/>
                  </w:tcBorders>
                  <w:vAlign w:val="center"/>
                </w:tcPr>
                <w:p w14:paraId="31ADA74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single"/>
                      <w:vertAlign w:val="baseline"/>
                      <w:lang w:val="en-US" w:eastAsia="zh-CN"/>
                    </w:rPr>
                  </w:pPr>
                  <w:r>
                    <w:rPr>
                      <w:rFonts w:hint="eastAsia" w:ascii="宋体" w:hAnsi="宋体" w:cs="Times New Roman"/>
                      <w:sz w:val="21"/>
                      <w:szCs w:val="21"/>
                      <w:u w:val="single"/>
                      <w:lang w:val="en-US" w:eastAsia="zh-CN"/>
                    </w:rPr>
                    <w:t>物料输送</w:t>
                  </w:r>
                </w:p>
              </w:tc>
              <w:tc>
                <w:tcPr>
                  <w:tcW w:w="1367" w:type="dxa"/>
                  <w:vMerge w:val="restart"/>
                  <w:tcBorders>
                    <w:tl2br w:val="nil"/>
                    <w:tr2bl w:val="nil"/>
                  </w:tcBorders>
                  <w:vAlign w:val="center"/>
                </w:tcPr>
                <w:p w14:paraId="34B8D4DE">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single"/>
                      <w:vertAlign w:val="baseline"/>
                      <w:lang w:val="en-US" w:eastAsia="zh-CN"/>
                    </w:rPr>
                  </w:pPr>
                  <w:r>
                    <w:rPr>
                      <w:rFonts w:hint="eastAsia" w:ascii="宋体" w:hAnsi="宋体" w:cs="Times New Roman"/>
                      <w:sz w:val="21"/>
                      <w:szCs w:val="21"/>
                      <w:u w:val="single"/>
                      <w:lang w:val="en-US" w:eastAsia="zh-CN"/>
                    </w:rPr>
                    <w:t>水泥、轻集料、石灰、粉煤灰等</w:t>
                  </w:r>
                </w:p>
              </w:tc>
              <w:tc>
                <w:tcPr>
                  <w:tcW w:w="1254" w:type="dxa"/>
                  <w:vMerge w:val="restart"/>
                  <w:tcBorders>
                    <w:tl2br w:val="nil"/>
                    <w:tr2bl w:val="nil"/>
                  </w:tcBorders>
                  <w:vAlign w:val="center"/>
                </w:tcPr>
                <w:p w14:paraId="3BDCD2C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single"/>
                      <w:vertAlign w:val="baseline"/>
                      <w:lang w:val="en-US" w:eastAsia="zh-CN"/>
                    </w:rPr>
                  </w:pPr>
                  <w:r>
                    <w:rPr>
                      <w:rFonts w:hint="eastAsia" w:ascii="宋体" w:hAnsi="宋体" w:cs="Times New Roman"/>
                      <w:sz w:val="21"/>
                      <w:szCs w:val="21"/>
                      <w:u w:val="single"/>
                      <w:lang w:val="en-US" w:eastAsia="zh-CN"/>
                    </w:rPr>
                    <w:t>物料输送储存</w:t>
                  </w:r>
                </w:p>
              </w:tc>
              <w:tc>
                <w:tcPr>
                  <w:tcW w:w="1377" w:type="dxa"/>
                  <w:tcBorders>
                    <w:tl2br w:val="nil"/>
                    <w:tr2bl w:val="nil"/>
                  </w:tcBorders>
                  <w:vAlign w:val="center"/>
                </w:tcPr>
                <w:p w14:paraId="199FD92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single"/>
                      <w:vertAlign w:val="baseline"/>
                      <w:lang w:val="en-US" w:eastAsia="zh-CN"/>
                    </w:rPr>
                  </w:pPr>
                  <w:r>
                    <w:rPr>
                      <w:rFonts w:hint="default" w:ascii="Times New Roman" w:hAnsi="Times New Roman" w:cs="Times New Roman"/>
                      <w:sz w:val="21"/>
                      <w:szCs w:val="21"/>
                      <w:u w:val="single"/>
                    </w:rPr>
                    <w:t>废气量</w:t>
                  </w:r>
                </w:p>
              </w:tc>
              <w:tc>
                <w:tcPr>
                  <w:tcW w:w="1868" w:type="dxa"/>
                  <w:tcBorders>
                    <w:tl2br w:val="nil"/>
                    <w:tr2bl w:val="nil"/>
                  </w:tcBorders>
                  <w:vAlign w:val="center"/>
                </w:tcPr>
                <w:p w14:paraId="229B863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sz w:val="21"/>
                      <w:szCs w:val="21"/>
                      <w:highlight w:val="none"/>
                      <w:u w:val="single"/>
                      <w:vertAlign w:val="baseline"/>
                      <w:lang w:val="en-US" w:eastAsia="zh-CN"/>
                    </w:rPr>
                  </w:pPr>
                  <w:r>
                    <w:rPr>
                      <w:rFonts w:hint="default" w:ascii="Times New Roman" w:hAnsi="Times New Roman" w:cs="Times New Roman"/>
                      <w:sz w:val="21"/>
                      <w:szCs w:val="21"/>
                      <w:u w:val="single"/>
                    </w:rPr>
                    <w:t>标立方米/吨-</w:t>
                  </w:r>
                  <w:r>
                    <w:rPr>
                      <w:rFonts w:hint="eastAsia" w:ascii="Times New Roman" w:hAnsi="Times New Roman" w:cs="Times New Roman"/>
                      <w:sz w:val="21"/>
                      <w:szCs w:val="21"/>
                      <w:u w:val="single"/>
                      <w:lang w:val="en-US" w:eastAsia="zh-CN"/>
                    </w:rPr>
                    <w:t>产品</w:t>
                  </w:r>
                </w:p>
              </w:tc>
              <w:tc>
                <w:tcPr>
                  <w:tcW w:w="971" w:type="dxa"/>
                  <w:tcBorders>
                    <w:tl2br w:val="nil"/>
                    <w:tr2bl w:val="nil"/>
                  </w:tcBorders>
                  <w:vAlign w:val="center"/>
                </w:tcPr>
                <w:p w14:paraId="7F871B71">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single"/>
                      <w:vertAlign w:val="baseline"/>
                      <w:lang w:val="en-US" w:eastAsia="zh-CN"/>
                    </w:rPr>
                  </w:pPr>
                  <w:r>
                    <w:rPr>
                      <w:rFonts w:hint="eastAsia" w:cs="Times New Roman"/>
                      <w:sz w:val="21"/>
                      <w:szCs w:val="21"/>
                      <w:highlight w:val="none"/>
                      <w:u w:val="single"/>
                      <w:vertAlign w:val="baseline"/>
                      <w:lang w:val="en-US" w:eastAsia="zh-CN"/>
                    </w:rPr>
                    <w:t>40.7</w:t>
                  </w:r>
                </w:p>
              </w:tc>
            </w:tr>
            <w:tr w14:paraId="637DDF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67" w:type="dxa"/>
                  <w:vMerge w:val="continue"/>
                  <w:tcBorders>
                    <w:tl2br w:val="nil"/>
                    <w:tr2bl w:val="nil"/>
                  </w:tcBorders>
                  <w:vAlign w:val="center"/>
                </w:tcPr>
                <w:p w14:paraId="262E3922">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single"/>
                      <w:vertAlign w:val="baseline"/>
                      <w:lang w:val="en-US" w:eastAsia="zh-CN"/>
                    </w:rPr>
                  </w:pPr>
                </w:p>
              </w:tc>
              <w:tc>
                <w:tcPr>
                  <w:tcW w:w="1367" w:type="dxa"/>
                  <w:vMerge w:val="continue"/>
                  <w:tcBorders>
                    <w:tl2br w:val="nil"/>
                    <w:tr2bl w:val="nil"/>
                  </w:tcBorders>
                  <w:vAlign w:val="center"/>
                </w:tcPr>
                <w:p w14:paraId="58E044D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single"/>
                      <w:vertAlign w:val="baseline"/>
                      <w:lang w:val="en-US" w:eastAsia="zh-CN"/>
                    </w:rPr>
                  </w:pPr>
                </w:p>
              </w:tc>
              <w:tc>
                <w:tcPr>
                  <w:tcW w:w="1254" w:type="dxa"/>
                  <w:vMerge w:val="continue"/>
                  <w:tcBorders>
                    <w:tl2br w:val="nil"/>
                    <w:tr2bl w:val="nil"/>
                  </w:tcBorders>
                  <w:vAlign w:val="center"/>
                </w:tcPr>
                <w:p w14:paraId="124C488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single"/>
                      <w:vertAlign w:val="baseline"/>
                      <w:lang w:val="en-US" w:eastAsia="zh-CN"/>
                    </w:rPr>
                  </w:pPr>
                </w:p>
              </w:tc>
              <w:tc>
                <w:tcPr>
                  <w:tcW w:w="1377" w:type="dxa"/>
                  <w:tcBorders>
                    <w:tl2br w:val="nil"/>
                    <w:tr2bl w:val="nil"/>
                  </w:tcBorders>
                  <w:vAlign w:val="center"/>
                </w:tcPr>
                <w:p w14:paraId="14DC846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single"/>
                      <w:vertAlign w:val="baseline"/>
                      <w:lang w:val="en-US" w:eastAsia="zh-CN"/>
                    </w:rPr>
                  </w:pPr>
                  <w:r>
                    <w:rPr>
                      <w:rFonts w:hint="default" w:ascii="Times New Roman" w:hAnsi="Times New Roman" w:cs="Times New Roman"/>
                      <w:sz w:val="21"/>
                      <w:szCs w:val="21"/>
                      <w:u w:val="single"/>
                    </w:rPr>
                    <w:t>颗粒物</w:t>
                  </w:r>
                </w:p>
              </w:tc>
              <w:tc>
                <w:tcPr>
                  <w:tcW w:w="1868" w:type="dxa"/>
                  <w:tcBorders>
                    <w:tl2br w:val="nil"/>
                    <w:tr2bl w:val="nil"/>
                  </w:tcBorders>
                  <w:vAlign w:val="center"/>
                </w:tcPr>
                <w:p w14:paraId="75A6884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single"/>
                      <w:vertAlign w:val="baseline"/>
                      <w:lang w:val="en-US" w:eastAsia="zh-CN"/>
                    </w:rPr>
                  </w:pPr>
                  <w:r>
                    <w:rPr>
                      <w:rFonts w:hint="default" w:ascii="Times New Roman" w:hAnsi="Times New Roman" w:cs="Times New Roman"/>
                      <w:sz w:val="21"/>
                      <w:szCs w:val="21"/>
                      <w:u w:val="single"/>
                    </w:rPr>
                    <w:t>千克/吨-</w:t>
                  </w:r>
                  <w:r>
                    <w:rPr>
                      <w:rFonts w:hint="eastAsia" w:ascii="宋体" w:hAnsi="宋体" w:cs="Times New Roman"/>
                      <w:sz w:val="21"/>
                      <w:szCs w:val="21"/>
                      <w:u w:val="single"/>
                      <w:lang w:val="en-US" w:eastAsia="zh-CN"/>
                    </w:rPr>
                    <w:t>产品</w:t>
                  </w:r>
                </w:p>
              </w:tc>
              <w:tc>
                <w:tcPr>
                  <w:tcW w:w="971" w:type="dxa"/>
                  <w:tcBorders>
                    <w:tl2br w:val="nil"/>
                    <w:tr2bl w:val="nil"/>
                  </w:tcBorders>
                  <w:vAlign w:val="center"/>
                </w:tcPr>
                <w:p w14:paraId="2937B8FF">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single"/>
                      <w:vertAlign w:val="baseline"/>
                      <w:lang w:val="en-US" w:eastAsia="zh-CN"/>
                    </w:rPr>
                  </w:pPr>
                  <w:r>
                    <w:rPr>
                      <w:rFonts w:hint="eastAsia" w:ascii="Times New Roman" w:hAnsi="Times New Roman" w:cs="Times New Roman"/>
                      <w:sz w:val="21"/>
                      <w:szCs w:val="21"/>
                      <w:highlight w:val="none"/>
                      <w:u w:val="single"/>
                      <w:vertAlign w:val="baseline"/>
                      <w:lang w:val="en-US" w:eastAsia="zh-CN"/>
                    </w:rPr>
                    <w:t>0.19</w:t>
                  </w:r>
                  <w:r>
                    <w:rPr>
                      <w:rFonts w:hint="eastAsia" w:cs="Times New Roman"/>
                      <w:sz w:val="21"/>
                      <w:szCs w:val="21"/>
                      <w:highlight w:val="none"/>
                      <w:u w:val="single"/>
                      <w:vertAlign w:val="baseline"/>
                      <w:lang w:val="en-US" w:eastAsia="zh-CN"/>
                    </w:rPr>
                    <w:t>7</w:t>
                  </w:r>
                </w:p>
              </w:tc>
            </w:tr>
          </w:tbl>
          <w:p w14:paraId="3142F58F">
            <w:pPr>
              <w:keepNext w:val="0"/>
              <w:keepLines w:val="0"/>
              <w:pageBreakBefore w:val="0"/>
              <w:widowControl/>
              <w:numPr>
                <w:ilvl w:val="0"/>
                <w:numId w:val="0"/>
              </w:numPr>
              <w:kinsoku/>
              <w:wordWrap/>
              <w:overflowPunct/>
              <w:topLinePunct w:val="0"/>
              <w:autoSpaceDE/>
              <w:autoSpaceDN/>
              <w:bidi w:val="0"/>
              <w:adjustRightInd/>
              <w:snapToGrid/>
              <w:spacing w:before="164" w:beforeLines="50"/>
              <w:ind w:firstLine="480" w:firstLineChars="200"/>
              <w:textAlignment w:val="auto"/>
              <w:rPr>
                <w:rFonts w:hint="default" w:cs="Times New Roman"/>
                <w:color w:val="auto"/>
                <w:kern w:val="0"/>
                <w:lang w:val="en-US" w:eastAsia="zh-CN"/>
              </w:rPr>
            </w:pPr>
            <w:r>
              <w:rPr>
                <w:rFonts w:hint="eastAsia" w:ascii="Times New Roman" w:hAnsi="Times New Roman" w:cs="Times New Roman"/>
                <w:color w:val="auto"/>
                <w:kern w:val="0"/>
                <w:u w:val="single"/>
                <w:lang w:val="en-US" w:eastAsia="zh-CN"/>
              </w:rPr>
              <w:t>根据建设单位提供相关资料，本项目</w:t>
            </w:r>
            <w:r>
              <w:rPr>
                <w:rFonts w:hint="eastAsia" w:cs="Times New Roman"/>
                <w:color w:val="auto"/>
                <w:kern w:val="0"/>
                <w:u w:val="single"/>
                <w:lang w:val="en-US" w:eastAsia="zh-CN"/>
              </w:rPr>
              <w:t>年分级综合利用</w:t>
            </w:r>
            <w:r>
              <w:rPr>
                <w:rFonts w:hint="eastAsia" w:ascii="Times New Roman" w:hAnsi="Times New Roman" w:cs="Times New Roman"/>
                <w:color w:val="auto"/>
                <w:kern w:val="0"/>
                <w:u w:val="single"/>
                <w:lang w:val="en-US" w:eastAsia="zh-CN"/>
              </w:rPr>
              <w:t>90万吨粉煤灰，</w:t>
            </w:r>
            <w:r>
              <w:rPr>
                <w:rFonts w:hint="eastAsia" w:cs="Times New Roman"/>
                <w:color w:val="auto"/>
                <w:kern w:val="0"/>
                <w:u w:val="single"/>
                <w:lang w:val="en-US" w:eastAsia="zh-CN"/>
              </w:rPr>
              <w:t>经分级机处理后</w:t>
            </w:r>
            <w:r>
              <w:rPr>
                <w:rFonts w:hint="default" w:ascii="Times New Roman" w:hAnsi="Times New Roman" w:cs="Times New Roman"/>
                <w:color w:val="auto"/>
                <w:kern w:val="0"/>
                <w:u w:val="single"/>
                <w:lang w:val="en-US" w:eastAsia="zh-CN"/>
              </w:rPr>
              <w:t>Ⅲ级粉煤灰</w:t>
            </w:r>
            <w:r>
              <w:rPr>
                <w:rFonts w:hint="eastAsia" w:cs="Times New Roman"/>
                <w:color w:val="auto"/>
                <w:kern w:val="0"/>
                <w:u w:val="single"/>
                <w:lang w:val="en-US" w:eastAsia="zh-CN"/>
              </w:rPr>
              <w:t>的总量为45万吨，</w:t>
            </w:r>
            <w:r>
              <w:rPr>
                <w:rFonts w:hint="default" w:ascii="Times New Roman" w:hAnsi="Times New Roman" w:cs="Times New Roman"/>
                <w:color w:val="auto"/>
                <w:kern w:val="0"/>
                <w:u w:val="single"/>
                <w:lang w:val="en-US" w:eastAsia="zh-CN"/>
              </w:rPr>
              <w:t>Ⅰ、Ⅱ级粉煤灰的量为</w:t>
            </w:r>
            <w:r>
              <w:rPr>
                <w:rFonts w:hint="eastAsia" w:cs="Times New Roman"/>
                <w:color w:val="auto"/>
                <w:kern w:val="0"/>
                <w:u w:val="single"/>
                <w:lang w:val="en-US" w:eastAsia="zh-CN"/>
              </w:rPr>
              <w:t>分别为18</w:t>
            </w:r>
            <w:r>
              <w:rPr>
                <w:rFonts w:hint="default" w:ascii="Times New Roman" w:hAnsi="Times New Roman" w:cs="Times New Roman"/>
                <w:color w:val="auto"/>
                <w:kern w:val="0"/>
                <w:u w:val="single"/>
                <w:lang w:val="en-US" w:eastAsia="zh-CN"/>
              </w:rPr>
              <w:t>万吨</w:t>
            </w:r>
            <w:r>
              <w:rPr>
                <w:rFonts w:hint="eastAsia" w:cs="Times New Roman"/>
                <w:color w:val="auto"/>
                <w:kern w:val="0"/>
                <w:u w:val="single"/>
                <w:lang w:val="en-US" w:eastAsia="zh-CN"/>
              </w:rPr>
              <w:t>、27万吨，一、二、三期筒仓粉煤灰年贮存量见前文表2-3，筒仓呼吸粉尘经仓顶脉冲布袋除尘器处理后排放。</w:t>
            </w:r>
            <w:r>
              <w:rPr>
                <w:rFonts w:hint="eastAsia" w:ascii="Times New Roman" w:hAnsi="Times New Roman" w:cs="Times New Roman"/>
                <w:color w:val="auto"/>
                <w:kern w:val="0"/>
                <w:u w:val="single"/>
                <w:lang w:val="en-US" w:eastAsia="zh-CN"/>
              </w:rPr>
              <w:t>本项目</w:t>
            </w:r>
            <w:r>
              <w:rPr>
                <w:rFonts w:hint="eastAsia" w:cs="Times New Roman"/>
                <w:color w:val="auto"/>
                <w:kern w:val="0"/>
                <w:u w:val="single"/>
                <w:lang w:val="en-US" w:eastAsia="zh-CN"/>
              </w:rPr>
              <w:t>灰库</w:t>
            </w:r>
            <w:r>
              <w:rPr>
                <w:rFonts w:hint="eastAsia" w:ascii="Times New Roman" w:hAnsi="Times New Roman" w:cs="Times New Roman"/>
                <w:color w:val="auto"/>
                <w:kern w:val="0"/>
                <w:u w:val="single"/>
                <w:lang w:val="en-US" w:eastAsia="zh-CN"/>
              </w:rPr>
              <w:t>筒仓呼吸粉尘产生</w:t>
            </w:r>
            <w:r>
              <w:rPr>
                <w:rFonts w:hint="eastAsia" w:cs="Times New Roman"/>
                <w:color w:val="auto"/>
                <w:kern w:val="0"/>
                <w:u w:val="single"/>
                <w:lang w:val="en-US" w:eastAsia="zh-CN"/>
              </w:rPr>
              <w:t>及排放</w:t>
            </w:r>
            <w:r>
              <w:rPr>
                <w:rFonts w:hint="eastAsia" w:ascii="Times New Roman" w:hAnsi="Times New Roman" w:cs="Times New Roman"/>
                <w:color w:val="auto"/>
                <w:kern w:val="0"/>
                <w:u w:val="single"/>
                <w:lang w:val="en-US" w:eastAsia="zh-CN"/>
              </w:rPr>
              <w:t>情况详见下表。</w:t>
            </w:r>
          </w:p>
        </w:tc>
      </w:tr>
    </w:tbl>
    <w:p w14:paraId="5056906E">
      <w:pPr>
        <w:sectPr>
          <w:pgSz w:w="11907" w:h="16840"/>
          <w:pgMar w:top="1418" w:right="1418" w:bottom="1418" w:left="1701" w:header="851" w:footer="992" w:gutter="0"/>
          <w:pgBorders>
            <w:top w:val="none" w:sz="0" w:space="0"/>
            <w:left w:val="none" w:sz="0" w:space="0"/>
            <w:bottom w:val="none" w:sz="0" w:space="0"/>
            <w:right w:val="none" w:sz="0" w:space="0"/>
          </w:pgBorders>
          <w:cols w:space="720" w:num="1"/>
          <w:docGrid w:linePitch="326" w:charSpace="0"/>
        </w:sectPr>
      </w:pPr>
    </w:p>
    <w:tbl>
      <w:tblPr>
        <w:tblStyle w:val="31"/>
        <w:tblW w:w="502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3417"/>
      </w:tblGrid>
      <w:tr w14:paraId="5CD121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55" w:hRule="atLeast"/>
          <w:jc w:val="center"/>
        </w:trPr>
        <w:tc>
          <w:tcPr>
            <w:tcW w:w="281" w:type="pct"/>
            <w:tcMar>
              <w:left w:w="28" w:type="dxa"/>
              <w:right w:w="28" w:type="dxa"/>
            </w:tcMar>
            <w:vAlign w:val="center"/>
          </w:tcPr>
          <w:p w14:paraId="36F22532">
            <w:pPr>
              <w:autoSpaceDE w:val="0"/>
              <w:autoSpaceDN w:val="0"/>
              <w:adjustRightInd w:val="0"/>
              <w:snapToGrid w:val="0"/>
              <w:spacing w:line="240" w:lineRule="auto"/>
              <w:ind w:firstLine="0" w:firstLineChars="0"/>
              <w:jc w:val="center"/>
              <w:rPr>
                <w:bCs/>
              </w:rPr>
            </w:pPr>
            <w:r>
              <w:rPr>
                <w:bCs/>
              </w:rPr>
              <w:t>运营期环境影响和保护措施</w:t>
            </w:r>
          </w:p>
        </w:tc>
        <w:tc>
          <w:tcPr>
            <w:tcW w:w="4718" w:type="pct"/>
            <w:vAlign w:val="center"/>
          </w:tcPr>
          <w:p w14:paraId="24DF67D8">
            <w:pPr>
              <w:pStyle w:val="379"/>
              <w:keepNext w:val="0"/>
              <w:keepLines w:val="0"/>
              <w:pageBreakBefore w:val="0"/>
              <w:widowControl w:val="0"/>
              <w:kinsoku/>
              <w:wordWrap/>
              <w:overflowPunct/>
              <w:topLinePunct w:val="0"/>
              <w:autoSpaceDE/>
              <w:autoSpaceDN/>
              <w:bidi w:val="0"/>
              <w:adjustRightInd/>
              <w:snapToGrid/>
              <w:spacing w:before="164" w:beforeLines="50" w:line="240" w:lineRule="auto"/>
              <w:textAlignment w:val="auto"/>
              <w:rPr>
                <w:rFonts w:hint="eastAsia" w:ascii="Times New Roman" w:hAnsi="Times New Roman" w:eastAsia="宋体" w:cs="Times New Roman"/>
                <w:b/>
                <w:bCs/>
                <w:u w:val="single"/>
                <w:lang w:val="en-US" w:eastAsia="zh-CN"/>
              </w:rPr>
            </w:pPr>
            <w:r>
              <w:rPr>
                <w:rFonts w:hint="eastAsia" w:ascii="Times New Roman" w:hAnsi="Times New Roman" w:eastAsia="宋体" w:cs="Times New Roman"/>
                <w:b/>
                <w:bCs/>
                <w:u w:val="single"/>
                <w:lang w:val="en-US" w:eastAsia="zh-CN"/>
              </w:rPr>
              <w:t>筒仓呼吸粉尘产生</w:t>
            </w:r>
            <w:r>
              <w:rPr>
                <w:rFonts w:hint="eastAsia" w:cs="Times New Roman"/>
                <w:b/>
                <w:bCs/>
                <w:u w:val="single"/>
                <w:lang w:val="en-US" w:eastAsia="zh-CN"/>
              </w:rPr>
              <w:t>及排放</w:t>
            </w:r>
            <w:r>
              <w:rPr>
                <w:rFonts w:hint="eastAsia" w:ascii="Times New Roman" w:hAnsi="Times New Roman" w:eastAsia="宋体" w:cs="Times New Roman"/>
                <w:b/>
                <w:bCs/>
                <w:u w:val="single"/>
                <w:lang w:val="en-US" w:eastAsia="zh-CN"/>
              </w:rPr>
              <w:t>情况一览表</w:t>
            </w:r>
          </w:p>
          <w:tbl>
            <w:tblPr>
              <w:tblStyle w:val="32"/>
              <w:tblW w:w="4995"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73"/>
              <w:gridCol w:w="1057"/>
              <w:gridCol w:w="1062"/>
              <w:gridCol w:w="953"/>
              <w:gridCol w:w="1166"/>
              <w:gridCol w:w="1253"/>
              <w:gridCol w:w="803"/>
              <w:gridCol w:w="1937"/>
              <w:gridCol w:w="832"/>
              <w:gridCol w:w="866"/>
              <w:gridCol w:w="874"/>
              <w:gridCol w:w="982"/>
            </w:tblGrid>
            <w:tr w14:paraId="164372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2" w:type="pct"/>
                  <w:tcBorders>
                    <w:tl2br w:val="nil"/>
                    <w:tr2bl w:val="nil"/>
                  </w:tcBorders>
                  <w:vAlign w:val="center"/>
                </w:tcPr>
                <w:p w14:paraId="4AB102C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u w:val="single"/>
                      <w:vertAlign w:val="baseline"/>
                      <w:lang w:val="en-US" w:eastAsia="zh-CN"/>
                    </w:rPr>
                  </w:pPr>
                  <w:r>
                    <w:rPr>
                      <w:rFonts w:hint="default" w:ascii="Times New Roman" w:hAnsi="Times New Roman" w:eastAsia="宋体" w:cs="Times New Roman"/>
                      <w:b/>
                      <w:bCs/>
                      <w:color w:val="auto"/>
                      <w:kern w:val="0"/>
                      <w:sz w:val="21"/>
                      <w:szCs w:val="21"/>
                      <w:u w:val="single"/>
                      <w:vertAlign w:val="baseline"/>
                      <w:lang w:val="en-US" w:eastAsia="zh-CN"/>
                    </w:rPr>
                    <w:t>项目</w:t>
                  </w:r>
                </w:p>
              </w:tc>
              <w:tc>
                <w:tcPr>
                  <w:tcW w:w="402" w:type="pct"/>
                  <w:tcBorders>
                    <w:tl2br w:val="nil"/>
                    <w:tr2bl w:val="nil"/>
                  </w:tcBorders>
                  <w:shd w:val="clear" w:color="auto" w:fill="auto"/>
                  <w:vAlign w:val="center"/>
                </w:tcPr>
                <w:p w14:paraId="615ADA7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u w:val="single"/>
                      <w:vertAlign w:val="baseline"/>
                      <w:lang w:val="en-US" w:eastAsia="zh-CN" w:bidi="ar-SA"/>
                    </w:rPr>
                  </w:pPr>
                  <w:r>
                    <w:rPr>
                      <w:rFonts w:hint="eastAsia" w:ascii="Times New Roman" w:hAnsi="Times New Roman" w:eastAsia="宋体" w:cs="Times New Roman"/>
                      <w:b/>
                      <w:bCs/>
                      <w:color w:val="auto"/>
                      <w:kern w:val="0"/>
                      <w:sz w:val="21"/>
                      <w:szCs w:val="21"/>
                      <w:u w:val="single"/>
                      <w:vertAlign w:val="baseline"/>
                      <w:lang w:val="en-US" w:eastAsia="zh-CN"/>
                    </w:rPr>
                    <w:t>污染因子</w:t>
                  </w:r>
                </w:p>
              </w:tc>
              <w:tc>
                <w:tcPr>
                  <w:tcW w:w="404" w:type="pct"/>
                  <w:tcBorders>
                    <w:tl2br w:val="nil"/>
                    <w:tr2bl w:val="nil"/>
                  </w:tcBorders>
                  <w:vAlign w:val="center"/>
                </w:tcPr>
                <w:p w14:paraId="45976E9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u w:val="single"/>
                      <w:vertAlign w:val="baseline"/>
                      <w:lang w:val="en-US" w:eastAsia="zh-CN"/>
                    </w:rPr>
                  </w:pPr>
                  <w:r>
                    <w:rPr>
                      <w:rFonts w:hint="eastAsia" w:cs="Times New Roman"/>
                      <w:b/>
                      <w:bCs/>
                      <w:color w:val="auto"/>
                      <w:kern w:val="0"/>
                      <w:sz w:val="21"/>
                      <w:szCs w:val="21"/>
                      <w:u w:val="single"/>
                      <w:vertAlign w:val="baseline"/>
                      <w:lang w:val="en-US" w:eastAsia="zh-CN"/>
                    </w:rPr>
                    <w:t>物料年贮存量t/a</w:t>
                  </w:r>
                </w:p>
              </w:tc>
              <w:tc>
                <w:tcPr>
                  <w:tcW w:w="362" w:type="pct"/>
                  <w:tcBorders>
                    <w:tl2br w:val="nil"/>
                    <w:tr2bl w:val="nil"/>
                  </w:tcBorders>
                  <w:vAlign w:val="center"/>
                </w:tcPr>
                <w:p w14:paraId="54CACC4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bCs/>
                      <w:color w:val="auto"/>
                      <w:kern w:val="0"/>
                      <w:sz w:val="21"/>
                      <w:szCs w:val="21"/>
                      <w:u w:val="single"/>
                      <w:vertAlign w:val="baseline"/>
                      <w:lang w:val="en-US" w:eastAsia="zh-CN"/>
                    </w:rPr>
                  </w:pPr>
                  <w:r>
                    <w:rPr>
                      <w:rFonts w:hint="eastAsia" w:ascii="Times New Roman" w:hAnsi="Times New Roman" w:eastAsia="宋体" w:cs="Times New Roman"/>
                      <w:b/>
                      <w:bCs/>
                      <w:color w:val="auto"/>
                      <w:kern w:val="0"/>
                      <w:sz w:val="21"/>
                      <w:szCs w:val="21"/>
                      <w:u w:val="single"/>
                      <w:vertAlign w:val="baseline"/>
                      <w:lang w:val="en-US" w:eastAsia="zh-CN"/>
                    </w:rPr>
                    <w:t>产生量</w:t>
                  </w:r>
                </w:p>
                <w:p w14:paraId="671011D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u w:val="single"/>
                      <w:vertAlign w:val="baseline"/>
                      <w:lang w:val="en-US" w:eastAsia="zh-CN"/>
                    </w:rPr>
                  </w:pPr>
                  <w:r>
                    <w:rPr>
                      <w:rFonts w:hint="eastAsia" w:cs="Times New Roman"/>
                      <w:b/>
                      <w:bCs/>
                      <w:color w:val="auto"/>
                      <w:kern w:val="0"/>
                      <w:sz w:val="21"/>
                      <w:szCs w:val="21"/>
                      <w:u w:val="single"/>
                      <w:vertAlign w:val="baseline"/>
                      <w:lang w:val="en-US" w:eastAsia="zh-CN"/>
                    </w:rPr>
                    <w:t>t/a</w:t>
                  </w:r>
                </w:p>
              </w:tc>
              <w:tc>
                <w:tcPr>
                  <w:tcW w:w="443" w:type="pct"/>
                  <w:tcBorders>
                    <w:tl2br w:val="nil"/>
                    <w:tr2bl w:val="nil"/>
                  </w:tcBorders>
                  <w:vAlign w:val="center"/>
                </w:tcPr>
                <w:p w14:paraId="28728CB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bCs/>
                      <w:color w:val="auto"/>
                      <w:kern w:val="0"/>
                      <w:sz w:val="21"/>
                      <w:szCs w:val="21"/>
                      <w:u w:val="single"/>
                      <w:vertAlign w:val="baseline"/>
                      <w:lang w:val="en-US" w:eastAsia="zh-CN"/>
                    </w:rPr>
                  </w:pPr>
                  <w:r>
                    <w:rPr>
                      <w:rFonts w:hint="eastAsia" w:ascii="Times New Roman" w:hAnsi="Times New Roman" w:eastAsia="宋体" w:cs="Times New Roman"/>
                      <w:b/>
                      <w:bCs/>
                      <w:color w:val="auto"/>
                      <w:kern w:val="0"/>
                      <w:sz w:val="21"/>
                      <w:szCs w:val="21"/>
                      <w:u w:val="single"/>
                      <w:vertAlign w:val="baseline"/>
                      <w:lang w:val="en-US" w:eastAsia="zh-CN"/>
                    </w:rPr>
                    <w:t>产生</w:t>
                  </w:r>
                </w:p>
                <w:p w14:paraId="7D16318F">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bCs/>
                      <w:color w:val="auto"/>
                      <w:kern w:val="0"/>
                      <w:sz w:val="21"/>
                      <w:szCs w:val="21"/>
                      <w:u w:val="single"/>
                      <w:vertAlign w:val="baseline"/>
                      <w:lang w:val="en-US" w:eastAsia="zh-CN"/>
                    </w:rPr>
                  </w:pPr>
                  <w:r>
                    <w:rPr>
                      <w:rFonts w:hint="eastAsia" w:ascii="Times New Roman" w:hAnsi="Times New Roman" w:eastAsia="宋体" w:cs="Times New Roman"/>
                      <w:b/>
                      <w:bCs/>
                      <w:color w:val="auto"/>
                      <w:kern w:val="0"/>
                      <w:sz w:val="21"/>
                      <w:szCs w:val="21"/>
                      <w:u w:val="single"/>
                      <w:vertAlign w:val="baseline"/>
                      <w:lang w:val="en-US" w:eastAsia="zh-CN"/>
                    </w:rPr>
                    <w:t>速率</w:t>
                  </w:r>
                </w:p>
                <w:p w14:paraId="70CC9281">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u w:val="single"/>
                      <w:vertAlign w:val="baseline"/>
                      <w:lang w:val="en-US" w:eastAsia="zh-CN"/>
                    </w:rPr>
                  </w:pPr>
                  <w:r>
                    <w:rPr>
                      <w:rFonts w:hint="eastAsia" w:ascii="Times New Roman" w:hAnsi="Times New Roman" w:eastAsia="宋体" w:cs="Times New Roman"/>
                      <w:b/>
                      <w:bCs/>
                      <w:color w:val="auto"/>
                      <w:kern w:val="0"/>
                      <w:sz w:val="21"/>
                      <w:szCs w:val="21"/>
                      <w:u w:val="single"/>
                      <w:vertAlign w:val="baseline"/>
                      <w:lang w:val="en-US" w:eastAsia="zh-CN"/>
                    </w:rPr>
                    <w:t>kg/h</w:t>
                  </w:r>
                </w:p>
              </w:tc>
              <w:tc>
                <w:tcPr>
                  <w:tcW w:w="476" w:type="pct"/>
                  <w:tcBorders>
                    <w:tl2br w:val="nil"/>
                    <w:tr2bl w:val="nil"/>
                  </w:tcBorders>
                  <w:vAlign w:val="center"/>
                </w:tcPr>
                <w:p w14:paraId="09197A0F">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bCs/>
                      <w:color w:val="auto"/>
                      <w:kern w:val="0"/>
                      <w:sz w:val="21"/>
                      <w:szCs w:val="21"/>
                      <w:u w:val="single"/>
                      <w:vertAlign w:val="baseline"/>
                      <w:lang w:val="en-US" w:eastAsia="zh-CN"/>
                    </w:rPr>
                  </w:pPr>
                  <w:r>
                    <w:rPr>
                      <w:rFonts w:hint="eastAsia" w:ascii="Times New Roman" w:hAnsi="Times New Roman" w:eastAsia="宋体" w:cs="Times New Roman"/>
                      <w:b/>
                      <w:bCs/>
                      <w:color w:val="auto"/>
                      <w:kern w:val="0"/>
                      <w:sz w:val="21"/>
                      <w:szCs w:val="21"/>
                      <w:u w:val="single"/>
                      <w:vertAlign w:val="baseline"/>
                      <w:lang w:val="en-US" w:eastAsia="zh-CN"/>
                    </w:rPr>
                    <w:t>产生</w:t>
                  </w:r>
                </w:p>
                <w:p w14:paraId="07396A3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bCs/>
                      <w:color w:val="auto"/>
                      <w:kern w:val="0"/>
                      <w:sz w:val="21"/>
                      <w:szCs w:val="21"/>
                      <w:u w:val="single"/>
                      <w:vertAlign w:val="baseline"/>
                      <w:lang w:val="en-US" w:eastAsia="zh-CN"/>
                    </w:rPr>
                  </w:pPr>
                  <w:r>
                    <w:rPr>
                      <w:rFonts w:hint="eastAsia" w:ascii="Times New Roman" w:hAnsi="Times New Roman" w:eastAsia="宋体" w:cs="Times New Roman"/>
                      <w:b/>
                      <w:bCs/>
                      <w:color w:val="auto"/>
                      <w:kern w:val="0"/>
                      <w:sz w:val="21"/>
                      <w:szCs w:val="21"/>
                      <w:u w:val="single"/>
                      <w:vertAlign w:val="baseline"/>
                      <w:lang w:val="en-US" w:eastAsia="zh-CN"/>
                    </w:rPr>
                    <w:t>浓度</w:t>
                  </w:r>
                </w:p>
                <w:p w14:paraId="1DC0316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u w:val="single"/>
                      <w:vertAlign w:val="baseline"/>
                      <w:lang w:val="en-US" w:eastAsia="zh-CN"/>
                    </w:rPr>
                  </w:pPr>
                  <w:r>
                    <w:rPr>
                      <w:rFonts w:hint="eastAsia" w:ascii="Times New Roman" w:hAnsi="Times New Roman" w:eastAsia="宋体" w:cs="Times New Roman"/>
                      <w:b/>
                      <w:bCs/>
                      <w:color w:val="auto"/>
                      <w:kern w:val="0"/>
                      <w:sz w:val="21"/>
                      <w:szCs w:val="21"/>
                      <w:u w:val="single"/>
                      <w:vertAlign w:val="baseline"/>
                      <w:lang w:val="en-US" w:eastAsia="zh-CN"/>
                    </w:rPr>
                    <w:t>mg/m</w:t>
                  </w:r>
                  <w:r>
                    <w:rPr>
                      <w:rFonts w:hint="eastAsia" w:ascii="Times New Roman" w:hAnsi="Times New Roman" w:eastAsia="宋体" w:cs="Times New Roman"/>
                      <w:b/>
                      <w:bCs/>
                      <w:color w:val="auto"/>
                      <w:kern w:val="0"/>
                      <w:sz w:val="21"/>
                      <w:szCs w:val="21"/>
                      <w:u w:val="single"/>
                      <w:vertAlign w:val="superscript"/>
                      <w:lang w:val="en-US" w:eastAsia="zh-CN"/>
                    </w:rPr>
                    <w:t>3</w:t>
                  </w:r>
                </w:p>
              </w:tc>
              <w:tc>
                <w:tcPr>
                  <w:tcW w:w="305" w:type="pct"/>
                  <w:tcBorders>
                    <w:tl2br w:val="nil"/>
                    <w:tr2bl w:val="nil"/>
                  </w:tcBorders>
                  <w:vAlign w:val="center"/>
                </w:tcPr>
                <w:p w14:paraId="708FB91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b/>
                      <w:bCs/>
                      <w:color w:val="auto"/>
                      <w:kern w:val="0"/>
                      <w:sz w:val="21"/>
                      <w:szCs w:val="21"/>
                      <w:u w:val="single"/>
                      <w:vertAlign w:val="baseline"/>
                      <w:lang w:val="en-US" w:eastAsia="zh-CN"/>
                    </w:rPr>
                  </w:pPr>
                  <w:r>
                    <w:rPr>
                      <w:rFonts w:hint="eastAsia" w:cs="Times New Roman"/>
                      <w:b/>
                      <w:bCs/>
                      <w:color w:val="auto"/>
                      <w:kern w:val="0"/>
                      <w:sz w:val="21"/>
                      <w:szCs w:val="21"/>
                      <w:u w:val="single"/>
                      <w:vertAlign w:val="baseline"/>
                      <w:lang w:val="en-US" w:eastAsia="zh-CN"/>
                    </w:rPr>
                    <w:t>风机风量</w:t>
                  </w:r>
                </w:p>
                <w:p w14:paraId="4DE28D66">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b/>
                      <w:bCs/>
                      <w:color w:val="auto"/>
                      <w:kern w:val="0"/>
                      <w:sz w:val="21"/>
                      <w:szCs w:val="21"/>
                      <w:u w:val="single"/>
                      <w:vertAlign w:val="baseline"/>
                      <w:lang w:val="en-US" w:eastAsia="zh-CN"/>
                    </w:rPr>
                  </w:pPr>
                  <w:r>
                    <w:rPr>
                      <w:rFonts w:hint="eastAsia" w:cs="Times New Roman"/>
                      <w:b/>
                      <w:bCs/>
                      <w:color w:val="auto"/>
                      <w:kern w:val="0"/>
                      <w:sz w:val="21"/>
                      <w:szCs w:val="21"/>
                      <w:u w:val="single"/>
                      <w:vertAlign w:val="baseline"/>
                      <w:lang w:val="en-US" w:eastAsia="zh-CN"/>
                    </w:rPr>
                    <w:t>m</w:t>
                  </w:r>
                  <w:r>
                    <w:rPr>
                      <w:rFonts w:hint="eastAsia" w:cs="Times New Roman"/>
                      <w:b/>
                      <w:bCs/>
                      <w:color w:val="auto"/>
                      <w:kern w:val="0"/>
                      <w:sz w:val="21"/>
                      <w:szCs w:val="21"/>
                      <w:u w:val="single"/>
                      <w:vertAlign w:val="superscript"/>
                      <w:lang w:val="en-US" w:eastAsia="zh-CN"/>
                    </w:rPr>
                    <w:t>3</w:t>
                  </w:r>
                  <w:r>
                    <w:rPr>
                      <w:rFonts w:hint="eastAsia" w:cs="Times New Roman"/>
                      <w:b/>
                      <w:bCs/>
                      <w:color w:val="auto"/>
                      <w:kern w:val="0"/>
                      <w:sz w:val="21"/>
                      <w:szCs w:val="21"/>
                      <w:u w:val="single"/>
                      <w:vertAlign w:val="baseline"/>
                      <w:lang w:val="en-US" w:eastAsia="zh-CN"/>
                    </w:rPr>
                    <w:t>/h</w:t>
                  </w:r>
                </w:p>
              </w:tc>
              <w:tc>
                <w:tcPr>
                  <w:tcW w:w="736" w:type="pct"/>
                  <w:tcBorders>
                    <w:tl2br w:val="nil"/>
                    <w:tr2bl w:val="nil"/>
                  </w:tcBorders>
                  <w:vAlign w:val="center"/>
                </w:tcPr>
                <w:p w14:paraId="5B7D983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b/>
                      <w:bCs/>
                      <w:color w:val="auto"/>
                      <w:kern w:val="0"/>
                      <w:sz w:val="21"/>
                      <w:szCs w:val="21"/>
                      <w:u w:val="single"/>
                      <w:vertAlign w:val="baseline"/>
                      <w:lang w:val="en-US" w:eastAsia="zh-CN"/>
                    </w:rPr>
                  </w:pPr>
                  <w:r>
                    <w:rPr>
                      <w:rFonts w:hint="eastAsia" w:cs="Times New Roman"/>
                      <w:b/>
                      <w:bCs/>
                      <w:color w:val="auto"/>
                      <w:kern w:val="0"/>
                      <w:sz w:val="21"/>
                      <w:szCs w:val="21"/>
                      <w:u w:val="single"/>
                      <w:vertAlign w:val="baseline"/>
                      <w:lang w:val="en-US" w:eastAsia="zh-CN"/>
                    </w:rPr>
                    <w:t>处理措施</w:t>
                  </w:r>
                </w:p>
              </w:tc>
              <w:tc>
                <w:tcPr>
                  <w:tcW w:w="316" w:type="pct"/>
                  <w:tcBorders>
                    <w:tl2br w:val="nil"/>
                    <w:tr2bl w:val="nil"/>
                  </w:tcBorders>
                  <w:vAlign w:val="center"/>
                </w:tcPr>
                <w:p w14:paraId="1AC35051">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b/>
                      <w:bCs/>
                      <w:color w:val="auto"/>
                      <w:kern w:val="0"/>
                      <w:sz w:val="21"/>
                      <w:szCs w:val="21"/>
                      <w:u w:val="single"/>
                      <w:vertAlign w:val="baseline"/>
                      <w:lang w:val="en-US" w:eastAsia="zh-CN"/>
                    </w:rPr>
                  </w:pPr>
                  <w:r>
                    <w:rPr>
                      <w:rFonts w:hint="eastAsia" w:cs="Times New Roman"/>
                      <w:b/>
                      <w:bCs/>
                      <w:color w:val="auto"/>
                      <w:kern w:val="0"/>
                      <w:sz w:val="21"/>
                      <w:szCs w:val="21"/>
                      <w:u w:val="single"/>
                      <w:vertAlign w:val="baseline"/>
                      <w:lang w:val="en-US" w:eastAsia="zh-CN"/>
                    </w:rPr>
                    <w:t>排放量</w:t>
                  </w:r>
                </w:p>
                <w:p w14:paraId="1BF699B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b/>
                      <w:bCs/>
                      <w:color w:val="auto"/>
                      <w:kern w:val="0"/>
                      <w:sz w:val="21"/>
                      <w:szCs w:val="21"/>
                      <w:u w:val="single"/>
                      <w:vertAlign w:val="baseline"/>
                      <w:lang w:val="en-US" w:eastAsia="zh-CN"/>
                    </w:rPr>
                  </w:pPr>
                  <w:r>
                    <w:rPr>
                      <w:rFonts w:hint="eastAsia" w:cs="Times New Roman"/>
                      <w:b/>
                      <w:bCs/>
                      <w:color w:val="auto"/>
                      <w:kern w:val="0"/>
                      <w:sz w:val="21"/>
                      <w:szCs w:val="21"/>
                      <w:u w:val="single"/>
                      <w:vertAlign w:val="baseline"/>
                      <w:lang w:val="en-US" w:eastAsia="zh-CN"/>
                    </w:rPr>
                    <w:t>t/a</w:t>
                  </w:r>
                </w:p>
              </w:tc>
              <w:tc>
                <w:tcPr>
                  <w:tcW w:w="329" w:type="pct"/>
                  <w:tcBorders>
                    <w:tl2br w:val="nil"/>
                    <w:tr2bl w:val="nil"/>
                  </w:tcBorders>
                  <w:vAlign w:val="center"/>
                </w:tcPr>
                <w:p w14:paraId="43CD476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b/>
                      <w:bCs/>
                      <w:color w:val="auto"/>
                      <w:kern w:val="0"/>
                      <w:sz w:val="21"/>
                      <w:szCs w:val="21"/>
                      <w:u w:val="single"/>
                      <w:vertAlign w:val="baseline"/>
                      <w:lang w:val="en-US" w:eastAsia="zh-CN"/>
                    </w:rPr>
                  </w:pPr>
                  <w:r>
                    <w:rPr>
                      <w:rFonts w:hint="eastAsia" w:cs="Times New Roman"/>
                      <w:b/>
                      <w:bCs/>
                      <w:color w:val="auto"/>
                      <w:kern w:val="0"/>
                      <w:sz w:val="21"/>
                      <w:szCs w:val="21"/>
                      <w:u w:val="single"/>
                      <w:vertAlign w:val="baseline"/>
                      <w:lang w:val="en-US" w:eastAsia="zh-CN"/>
                    </w:rPr>
                    <w:t>排放</w:t>
                  </w:r>
                </w:p>
                <w:p w14:paraId="113E865F">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b/>
                      <w:bCs/>
                      <w:color w:val="auto"/>
                      <w:kern w:val="0"/>
                      <w:sz w:val="21"/>
                      <w:szCs w:val="21"/>
                      <w:u w:val="single"/>
                      <w:vertAlign w:val="baseline"/>
                      <w:lang w:val="en-US" w:eastAsia="zh-CN"/>
                    </w:rPr>
                  </w:pPr>
                  <w:r>
                    <w:rPr>
                      <w:rFonts w:hint="eastAsia" w:cs="Times New Roman"/>
                      <w:b/>
                      <w:bCs/>
                      <w:color w:val="auto"/>
                      <w:kern w:val="0"/>
                      <w:sz w:val="21"/>
                      <w:szCs w:val="21"/>
                      <w:u w:val="single"/>
                      <w:vertAlign w:val="baseline"/>
                      <w:lang w:val="en-US" w:eastAsia="zh-CN"/>
                    </w:rPr>
                    <w:t>速率</w:t>
                  </w:r>
                </w:p>
                <w:p w14:paraId="7C38671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b/>
                      <w:bCs/>
                      <w:color w:val="auto"/>
                      <w:kern w:val="0"/>
                      <w:sz w:val="21"/>
                      <w:szCs w:val="21"/>
                      <w:u w:val="single"/>
                      <w:vertAlign w:val="baseline"/>
                      <w:lang w:val="en-US" w:eastAsia="zh-CN"/>
                    </w:rPr>
                  </w:pPr>
                  <w:r>
                    <w:rPr>
                      <w:rFonts w:hint="eastAsia" w:cs="Times New Roman"/>
                      <w:b/>
                      <w:bCs/>
                      <w:color w:val="auto"/>
                      <w:kern w:val="0"/>
                      <w:sz w:val="21"/>
                      <w:szCs w:val="21"/>
                      <w:u w:val="single"/>
                      <w:vertAlign w:val="baseline"/>
                      <w:lang w:val="en-US" w:eastAsia="zh-CN"/>
                    </w:rPr>
                    <w:t>kg/h</w:t>
                  </w:r>
                </w:p>
              </w:tc>
              <w:tc>
                <w:tcPr>
                  <w:tcW w:w="332" w:type="pct"/>
                  <w:tcBorders>
                    <w:tl2br w:val="nil"/>
                    <w:tr2bl w:val="nil"/>
                  </w:tcBorders>
                  <w:vAlign w:val="center"/>
                </w:tcPr>
                <w:p w14:paraId="0A80911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b/>
                      <w:bCs/>
                      <w:color w:val="auto"/>
                      <w:kern w:val="0"/>
                      <w:sz w:val="21"/>
                      <w:szCs w:val="21"/>
                      <w:u w:val="single"/>
                      <w:vertAlign w:val="baseline"/>
                      <w:lang w:val="en-US" w:eastAsia="zh-CN"/>
                    </w:rPr>
                  </w:pPr>
                  <w:r>
                    <w:rPr>
                      <w:rFonts w:hint="eastAsia" w:cs="Times New Roman"/>
                      <w:b/>
                      <w:bCs/>
                      <w:color w:val="auto"/>
                      <w:kern w:val="0"/>
                      <w:sz w:val="21"/>
                      <w:szCs w:val="21"/>
                      <w:u w:val="single"/>
                      <w:vertAlign w:val="baseline"/>
                      <w:lang w:val="en-US" w:eastAsia="zh-CN"/>
                    </w:rPr>
                    <w:t>排放</w:t>
                  </w:r>
                </w:p>
                <w:p w14:paraId="25D232E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b/>
                      <w:bCs/>
                      <w:color w:val="auto"/>
                      <w:kern w:val="0"/>
                      <w:sz w:val="21"/>
                      <w:szCs w:val="21"/>
                      <w:u w:val="single"/>
                      <w:vertAlign w:val="baseline"/>
                      <w:lang w:val="en-US" w:eastAsia="zh-CN"/>
                    </w:rPr>
                  </w:pPr>
                  <w:r>
                    <w:rPr>
                      <w:rFonts w:hint="eastAsia" w:cs="Times New Roman"/>
                      <w:b/>
                      <w:bCs/>
                      <w:color w:val="auto"/>
                      <w:kern w:val="0"/>
                      <w:sz w:val="21"/>
                      <w:szCs w:val="21"/>
                      <w:u w:val="single"/>
                      <w:vertAlign w:val="baseline"/>
                      <w:lang w:val="en-US" w:eastAsia="zh-CN"/>
                    </w:rPr>
                    <w:t>浓度</w:t>
                  </w:r>
                </w:p>
                <w:p w14:paraId="2B0C98C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b/>
                      <w:bCs/>
                      <w:color w:val="auto"/>
                      <w:kern w:val="0"/>
                      <w:sz w:val="21"/>
                      <w:szCs w:val="21"/>
                      <w:u w:val="single"/>
                      <w:vertAlign w:val="baseline"/>
                      <w:lang w:val="en-US" w:eastAsia="zh-CN"/>
                    </w:rPr>
                  </w:pPr>
                  <w:r>
                    <w:rPr>
                      <w:rFonts w:hint="eastAsia" w:cs="Times New Roman"/>
                      <w:b/>
                      <w:bCs/>
                      <w:color w:val="auto"/>
                      <w:kern w:val="0"/>
                      <w:sz w:val="21"/>
                      <w:szCs w:val="21"/>
                      <w:u w:val="single"/>
                      <w:vertAlign w:val="baseline"/>
                      <w:lang w:val="en-US" w:eastAsia="zh-CN"/>
                    </w:rPr>
                    <w:t>mg/m</w:t>
                  </w:r>
                  <w:r>
                    <w:rPr>
                      <w:rFonts w:hint="eastAsia" w:cs="Times New Roman"/>
                      <w:b/>
                      <w:bCs/>
                      <w:color w:val="auto"/>
                      <w:kern w:val="0"/>
                      <w:sz w:val="21"/>
                      <w:szCs w:val="21"/>
                      <w:u w:val="single"/>
                      <w:vertAlign w:val="superscript"/>
                      <w:lang w:val="en-US" w:eastAsia="zh-CN"/>
                    </w:rPr>
                    <w:t>3</w:t>
                  </w:r>
                </w:p>
              </w:tc>
              <w:tc>
                <w:tcPr>
                  <w:tcW w:w="370" w:type="pct"/>
                  <w:tcBorders>
                    <w:tl2br w:val="nil"/>
                    <w:tr2bl w:val="nil"/>
                  </w:tcBorders>
                  <w:vAlign w:val="center"/>
                </w:tcPr>
                <w:p w14:paraId="1B362F6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b/>
                      <w:bCs/>
                      <w:color w:val="auto"/>
                      <w:kern w:val="0"/>
                      <w:sz w:val="21"/>
                      <w:szCs w:val="21"/>
                      <w:u w:val="single"/>
                      <w:vertAlign w:val="baseline"/>
                      <w:lang w:val="en-US" w:eastAsia="zh-CN"/>
                    </w:rPr>
                  </w:pPr>
                  <w:r>
                    <w:rPr>
                      <w:rFonts w:hint="eastAsia" w:cs="Times New Roman"/>
                      <w:b/>
                      <w:bCs/>
                      <w:color w:val="auto"/>
                      <w:kern w:val="0"/>
                      <w:sz w:val="21"/>
                      <w:szCs w:val="21"/>
                      <w:u w:val="single"/>
                      <w:vertAlign w:val="baseline"/>
                      <w:lang w:val="en-US" w:eastAsia="zh-CN"/>
                    </w:rPr>
                    <w:t>年运行时间</w:t>
                  </w:r>
                </w:p>
                <w:p w14:paraId="48DA5EF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b/>
                      <w:bCs/>
                      <w:color w:val="auto"/>
                      <w:kern w:val="0"/>
                      <w:sz w:val="21"/>
                      <w:szCs w:val="21"/>
                      <w:u w:val="single"/>
                      <w:vertAlign w:val="baseline"/>
                      <w:lang w:val="en-US" w:eastAsia="zh-CN"/>
                    </w:rPr>
                  </w:pPr>
                  <w:r>
                    <w:rPr>
                      <w:rFonts w:hint="eastAsia" w:cs="Times New Roman"/>
                      <w:b/>
                      <w:bCs/>
                      <w:color w:val="auto"/>
                      <w:kern w:val="0"/>
                      <w:sz w:val="21"/>
                      <w:szCs w:val="21"/>
                      <w:u w:val="single"/>
                      <w:vertAlign w:val="baseline"/>
                      <w:lang w:val="en-US" w:eastAsia="zh-CN"/>
                    </w:rPr>
                    <w:t>h</w:t>
                  </w:r>
                </w:p>
              </w:tc>
            </w:tr>
            <w:tr w14:paraId="0F526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2" w:type="pct"/>
                  <w:tcBorders>
                    <w:tl2br w:val="nil"/>
                    <w:tr2bl w:val="nil"/>
                  </w:tcBorders>
                  <w:vAlign w:val="center"/>
                </w:tcPr>
                <w:p w14:paraId="196E9C6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一期</w:t>
                  </w:r>
                </w:p>
                <w:p w14:paraId="2F6F895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筒仓1#</w:t>
                  </w:r>
                </w:p>
              </w:tc>
              <w:tc>
                <w:tcPr>
                  <w:tcW w:w="402" w:type="pct"/>
                  <w:tcBorders>
                    <w:tl2br w:val="nil"/>
                    <w:tr2bl w:val="nil"/>
                  </w:tcBorders>
                  <w:shd w:val="clear" w:color="auto" w:fill="auto"/>
                  <w:vAlign w:val="center"/>
                </w:tcPr>
                <w:p w14:paraId="52139BA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bidi="ar-SA"/>
                    </w:rPr>
                  </w:pPr>
                  <w:r>
                    <w:rPr>
                      <w:rFonts w:hint="eastAsia" w:cs="Times New Roman"/>
                      <w:color w:val="auto"/>
                      <w:kern w:val="0"/>
                      <w:sz w:val="21"/>
                      <w:szCs w:val="21"/>
                      <w:u w:val="single"/>
                      <w:vertAlign w:val="baseline"/>
                      <w:lang w:val="en-US" w:eastAsia="zh-CN" w:bidi="ar-SA"/>
                    </w:rPr>
                    <w:t>颗粒物</w:t>
                  </w:r>
                </w:p>
              </w:tc>
              <w:tc>
                <w:tcPr>
                  <w:tcW w:w="404" w:type="pct"/>
                  <w:tcBorders>
                    <w:tl2br w:val="nil"/>
                    <w:tr2bl w:val="nil"/>
                  </w:tcBorders>
                  <w:vAlign w:val="center"/>
                </w:tcPr>
                <w:p w14:paraId="79C10EF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bidi="ar-SA"/>
                    </w:rPr>
                  </w:pPr>
                  <w:r>
                    <w:rPr>
                      <w:rFonts w:hint="eastAsia" w:cs="Times New Roman"/>
                      <w:color w:val="auto"/>
                      <w:kern w:val="0"/>
                      <w:sz w:val="21"/>
                      <w:szCs w:val="21"/>
                      <w:u w:val="single"/>
                      <w:vertAlign w:val="baseline"/>
                      <w:lang w:val="en-US" w:eastAsia="zh-CN" w:bidi="ar-SA"/>
                    </w:rPr>
                    <w:t>150000</w:t>
                  </w:r>
                </w:p>
              </w:tc>
              <w:tc>
                <w:tcPr>
                  <w:tcW w:w="362" w:type="pct"/>
                  <w:tcBorders>
                    <w:tl2br w:val="nil"/>
                    <w:tr2bl w:val="nil"/>
                  </w:tcBorders>
                  <w:vAlign w:val="center"/>
                </w:tcPr>
                <w:p w14:paraId="45CE3B7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29.55</w:t>
                  </w:r>
                </w:p>
              </w:tc>
              <w:tc>
                <w:tcPr>
                  <w:tcW w:w="443" w:type="pct"/>
                  <w:tcBorders>
                    <w:tl2br w:val="nil"/>
                    <w:tr2bl w:val="nil"/>
                  </w:tcBorders>
                  <w:vAlign w:val="center"/>
                </w:tcPr>
                <w:p w14:paraId="474D378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3.37</w:t>
                  </w:r>
                </w:p>
              </w:tc>
              <w:tc>
                <w:tcPr>
                  <w:tcW w:w="476" w:type="pct"/>
                  <w:tcBorders>
                    <w:tl2br w:val="nil"/>
                    <w:tr2bl w:val="nil"/>
                  </w:tcBorders>
                  <w:vAlign w:val="center"/>
                </w:tcPr>
                <w:p w14:paraId="3F84E54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416.46</w:t>
                  </w:r>
                </w:p>
              </w:tc>
              <w:tc>
                <w:tcPr>
                  <w:tcW w:w="305" w:type="pct"/>
                  <w:tcBorders>
                    <w:tl2br w:val="nil"/>
                    <w:tr2bl w:val="nil"/>
                  </w:tcBorders>
                  <w:vAlign w:val="center"/>
                </w:tcPr>
                <w:p w14:paraId="7C5BB71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8100</w:t>
                  </w:r>
                </w:p>
              </w:tc>
              <w:tc>
                <w:tcPr>
                  <w:tcW w:w="736" w:type="pct"/>
                  <w:tcBorders>
                    <w:tl2br w:val="nil"/>
                    <w:tr2bl w:val="nil"/>
                  </w:tcBorders>
                  <w:vAlign w:val="center"/>
                </w:tcPr>
                <w:p w14:paraId="728129F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脉冲布袋除尘器，收集效率100%，处理效率99%</w:t>
                  </w:r>
                </w:p>
              </w:tc>
              <w:tc>
                <w:tcPr>
                  <w:tcW w:w="316" w:type="pct"/>
                  <w:tcBorders>
                    <w:tl2br w:val="nil"/>
                    <w:tr2bl w:val="nil"/>
                  </w:tcBorders>
                  <w:vAlign w:val="center"/>
                </w:tcPr>
                <w:p w14:paraId="2063BA5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0.2955</w:t>
                  </w:r>
                </w:p>
              </w:tc>
              <w:tc>
                <w:tcPr>
                  <w:tcW w:w="329" w:type="pct"/>
                  <w:tcBorders>
                    <w:tl2br w:val="nil"/>
                    <w:tr2bl w:val="nil"/>
                  </w:tcBorders>
                  <w:vAlign w:val="center"/>
                </w:tcPr>
                <w:p w14:paraId="287A4C57">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0.034</w:t>
                  </w:r>
                </w:p>
              </w:tc>
              <w:tc>
                <w:tcPr>
                  <w:tcW w:w="332" w:type="pct"/>
                  <w:tcBorders>
                    <w:tl2br w:val="nil"/>
                    <w:tr2bl w:val="nil"/>
                  </w:tcBorders>
                  <w:vAlign w:val="center"/>
                </w:tcPr>
                <w:p w14:paraId="0DD56DC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4.164</w:t>
                  </w:r>
                </w:p>
              </w:tc>
              <w:tc>
                <w:tcPr>
                  <w:tcW w:w="370" w:type="pct"/>
                  <w:tcBorders>
                    <w:tl2br w:val="nil"/>
                    <w:tr2bl w:val="nil"/>
                  </w:tcBorders>
                  <w:vAlign w:val="center"/>
                </w:tcPr>
                <w:p w14:paraId="1D87B2C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8760</w:t>
                  </w:r>
                </w:p>
              </w:tc>
            </w:tr>
            <w:tr w14:paraId="292295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522" w:type="pct"/>
                  <w:tcBorders>
                    <w:tl2br w:val="nil"/>
                    <w:tr2bl w:val="nil"/>
                  </w:tcBorders>
                  <w:vAlign w:val="center"/>
                </w:tcPr>
                <w:p w14:paraId="5CA9696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一期</w:t>
                  </w:r>
                </w:p>
                <w:p w14:paraId="3C11A15F">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筒仓2#</w:t>
                  </w:r>
                </w:p>
              </w:tc>
              <w:tc>
                <w:tcPr>
                  <w:tcW w:w="402" w:type="pct"/>
                  <w:vMerge w:val="restart"/>
                  <w:tcBorders>
                    <w:tl2br w:val="nil"/>
                    <w:tr2bl w:val="nil"/>
                  </w:tcBorders>
                  <w:vAlign w:val="center"/>
                </w:tcPr>
                <w:p w14:paraId="75CFA9A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颗粒物</w:t>
                  </w:r>
                </w:p>
              </w:tc>
              <w:tc>
                <w:tcPr>
                  <w:tcW w:w="404" w:type="pct"/>
                  <w:tcBorders>
                    <w:tl2br w:val="nil"/>
                    <w:tr2bl w:val="nil"/>
                  </w:tcBorders>
                  <w:vAlign w:val="center"/>
                </w:tcPr>
                <w:p w14:paraId="401DAB5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55000</w:t>
                  </w:r>
                </w:p>
              </w:tc>
              <w:tc>
                <w:tcPr>
                  <w:tcW w:w="362" w:type="pct"/>
                  <w:vMerge w:val="restart"/>
                  <w:tcBorders>
                    <w:tl2br w:val="nil"/>
                    <w:tr2bl w:val="nil"/>
                  </w:tcBorders>
                  <w:vAlign w:val="center"/>
                </w:tcPr>
                <w:p w14:paraId="0CAA854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29.55</w:t>
                  </w:r>
                </w:p>
              </w:tc>
              <w:tc>
                <w:tcPr>
                  <w:tcW w:w="443" w:type="pct"/>
                  <w:vMerge w:val="restart"/>
                  <w:tcBorders>
                    <w:tl2br w:val="nil"/>
                    <w:tr2bl w:val="nil"/>
                  </w:tcBorders>
                  <w:vAlign w:val="center"/>
                </w:tcPr>
                <w:p w14:paraId="25CD08F6">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3.37</w:t>
                  </w:r>
                </w:p>
              </w:tc>
              <w:tc>
                <w:tcPr>
                  <w:tcW w:w="476" w:type="pct"/>
                  <w:vMerge w:val="restart"/>
                  <w:tcBorders>
                    <w:tl2br w:val="nil"/>
                    <w:tr2bl w:val="nil"/>
                  </w:tcBorders>
                  <w:vAlign w:val="center"/>
                </w:tcPr>
                <w:p w14:paraId="2F470BEF">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416.46</w:t>
                  </w:r>
                </w:p>
              </w:tc>
              <w:tc>
                <w:tcPr>
                  <w:tcW w:w="305" w:type="pct"/>
                  <w:vMerge w:val="restart"/>
                  <w:tcBorders>
                    <w:tl2br w:val="nil"/>
                    <w:tr2bl w:val="nil"/>
                  </w:tcBorders>
                  <w:vAlign w:val="center"/>
                </w:tcPr>
                <w:p w14:paraId="491A019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8100</w:t>
                  </w:r>
                </w:p>
              </w:tc>
              <w:tc>
                <w:tcPr>
                  <w:tcW w:w="736" w:type="pct"/>
                  <w:vMerge w:val="restart"/>
                  <w:tcBorders>
                    <w:tl2br w:val="nil"/>
                    <w:tr2bl w:val="nil"/>
                  </w:tcBorders>
                  <w:vAlign w:val="center"/>
                </w:tcPr>
                <w:p w14:paraId="0E6D331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脉冲布袋除尘器，收集效率100%，处理效率99%</w:t>
                  </w:r>
                </w:p>
              </w:tc>
              <w:tc>
                <w:tcPr>
                  <w:tcW w:w="316" w:type="pct"/>
                  <w:vMerge w:val="restart"/>
                  <w:tcBorders>
                    <w:tl2br w:val="nil"/>
                    <w:tr2bl w:val="nil"/>
                  </w:tcBorders>
                  <w:vAlign w:val="center"/>
                </w:tcPr>
                <w:p w14:paraId="3EDFF7C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0.2955</w:t>
                  </w:r>
                </w:p>
              </w:tc>
              <w:tc>
                <w:tcPr>
                  <w:tcW w:w="329" w:type="pct"/>
                  <w:vMerge w:val="restart"/>
                  <w:tcBorders>
                    <w:tl2br w:val="nil"/>
                    <w:tr2bl w:val="nil"/>
                  </w:tcBorders>
                  <w:vAlign w:val="center"/>
                </w:tcPr>
                <w:p w14:paraId="48806CB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0.034</w:t>
                  </w:r>
                </w:p>
              </w:tc>
              <w:tc>
                <w:tcPr>
                  <w:tcW w:w="332" w:type="pct"/>
                  <w:vMerge w:val="restart"/>
                  <w:tcBorders>
                    <w:tl2br w:val="nil"/>
                    <w:tr2bl w:val="nil"/>
                  </w:tcBorders>
                  <w:vAlign w:val="center"/>
                </w:tcPr>
                <w:p w14:paraId="0289199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4.164</w:t>
                  </w:r>
                </w:p>
              </w:tc>
              <w:tc>
                <w:tcPr>
                  <w:tcW w:w="370" w:type="pct"/>
                  <w:vMerge w:val="restart"/>
                  <w:tcBorders>
                    <w:tl2br w:val="nil"/>
                    <w:tr2bl w:val="nil"/>
                  </w:tcBorders>
                  <w:vAlign w:val="center"/>
                </w:tcPr>
                <w:p w14:paraId="4EBD32D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8760</w:t>
                  </w:r>
                </w:p>
              </w:tc>
            </w:tr>
            <w:tr w14:paraId="1E831F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2" w:type="pct"/>
                  <w:tcBorders>
                    <w:tl2br w:val="nil"/>
                    <w:tr2bl w:val="nil"/>
                  </w:tcBorders>
                  <w:vAlign w:val="center"/>
                </w:tcPr>
                <w:p w14:paraId="53E1213F">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一期</w:t>
                  </w:r>
                </w:p>
                <w:p w14:paraId="0527596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筒仓3#</w:t>
                  </w:r>
                </w:p>
              </w:tc>
              <w:tc>
                <w:tcPr>
                  <w:tcW w:w="402" w:type="pct"/>
                  <w:vMerge w:val="continue"/>
                  <w:tcBorders>
                    <w:tl2br w:val="nil"/>
                    <w:tr2bl w:val="nil"/>
                  </w:tcBorders>
                  <w:vAlign w:val="center"/>
                </w:tcPr>
                <w:p w14:paraId="00C181E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404" w:type="pct"/>
                  <w:tcBorders>
                    <w:tl2br w:val="nil"/>
                    <w:tr2bl w:val="nil"/>
                  </w:tcBorders>
                  <w:vAlign w:val="center"/>
                </w:tcPr>
                <w:p w14:paraId="55C3138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55000</w:t>
                  </w:r>
                </w:p>
              </w:tc>
              <w:tc>
                <w:tcPr>
                  <w:tcW w:w="362" w:type="pct"/>
                  <w:vMerge w:val="continue"/>
                  <w:tcBorders>
                    <w:tl2br w:val="nil"/>
                    <w:tr2bl w:val="nil"/>
                  </w:tcBorders>
                  <w:vAlign w:val="center"/>
                </w:tcPr>
                <w:p w14:paraId="2039FF9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443" w:type="pct"/>
                  <w:vMerge w:val="continue"/>
                  <w:tcBorders>
                    <w:tl2br w:val="nil"/>
                    <w:tr2bl w:val="nil"/>
                  </w:tcBorders>
                  <w:vAlign w:val="center"/>
                </w:tcPr>
                <w:p w14:paraId="236C5077">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476" w:type="pct"/>
                  <w:vMerge w:val="continue"/>
                  <w:tcBorders>
                    <w:tl2br w:val="nil"/>
                    <w:tr2bl w:val="nil"/>
                  </w:tcBorders>
                  <w:vAlign w:val="center"/>
                </w:tcPr>
                <w:p w14:paraId="7545DCE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05" w:type="pct"/>
                  <w:vMerge w:val="continue"/>
                  <w:tcBorders>
                    <w:tl2br w:val="nil"/>
                    <w:tr2bl w:val="nil"/>
                  </w:tcBorders>
                  <w:vAlign w:val="center"/>
                </w:tcPr>
                <w:p w14:paraId="6D0D582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736" w:type="pct"/>
                  <w:vMerge w:val="continue"/>
                  <w:tcBorders>
                    <w:tl2br w:val="nil"/>
                    <w:tr2bl w:val="nil"/>
                  </w:tcBorders>
                  <w:vAlign w:val="center"/>
                </w:tcPr>
                <w:p w14:paraId="3CC43AC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16" w:type="pct"/>
                  <w:vMerge w:val="continue"/>
                  <w:tcBorders>
                    <w:tl2br w:val="nil"/>
                    <w:tr2bl w:val="nil"/>
                  </w:tcBorders>
                  <w:vAlign w:val="center"/>
                </w:tcPr>
                <w:p w14:paraId="2D32C5E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29" w:type="pct"/>
                  <w:vMerge w:val="continue"/>
                  <w:tcBorders>
                    <w:tl2br w:val="nil"/>
                    <w:tr2bl w:val="nil"/>
                  </w:tcBorders>
                  <w:vAlign w:val="center"/>
                </w:tcPr>
                <w:p w14:paraId="4195916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32" w:type="pct"/>
                  <w:vMerge w:val="continue"/>
                  <w:tcBorders>
                    <w:tl2br w:val="nil"/>
                    <w:tr2bl w:val="nil"/>
                  </w:tcBorders>
                  <w:vAlign w:val="center"/>
                </w:tcPr>
                <w:p w14:paraId="7199127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70" w:type="pct"/>
                  <w:vMerge w:val="continue"/>
                  <w:tcBorders>
                    <w:tl2br w:val="nil"/>
                    <w:tr2bl w:val="nil"/>
                  </w:tcBorders>
                  <w:vAlign w:val="center"/>
                </w:tcPr>
                <w:p w14:paraId="0959CB6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r>
            <w:tr w14:paraId="2F0F0E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2" w:type="pct"/>
                  <w:tcBorders>
                    <w:tl2br w:val="nil"/>
                    <w:tr2bl w:val="nil"/>
                  </w:tcBorders>
                  <w:vAlign w:val="center"/>
                </w:tcPr>
                <w:p w14:paraId="7C0A78E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一期</w:t>
                  </w:r>
                </w:p>
                <w:p w14:paraId="0D9E205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筒仓4#</w:t>
                  </w:r>
                </w:p>
              </w:tc>
              <w:tc>
                <w:tcPr>
                  <w:tcW w:w="402" w:type="pct"/>
                  <w:vMerge w:val="continue"/>
                  <w:tcBorders>
                    <w:tl2br w:val="nil"/>
                    <w:tr2bl w:val="nil"/>
                  </w:tcBorders>
                  <w:vAlign w:val="center"/>
                </w:tcPr>
                <w:p w14:paraId="12A59E9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404" w:type="pct"/>
                  <w:tcBorders>
                    <w:tl2br w:val="nil"/>
                    <w:tr2bl w:val="nil"/>
                  </w:tcBorders>
                  <w:vAlign w:val="center"/>
                </w:tcPr>
                <w:p w14:paraId="283E5B4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40000</w:t>
                  </w:r>
                </w:p>
              </w:tc>
              <w:tc>
                <w:tcPr>
                  <w:tcW w:w="362" w:type="pct"/>
                  <w:vMerge w:val="continue"/>
                  <w:tcBorders>
                    <w:tl2br w:val="nil"/>
                    <w:tr2bl w:val="nil"/>
                  </w:tcBorders>
                  <w:vAlign w:val="center"/>
                </w:tcPr>
                <w:p w14:paraId="2BFFE19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443" w:type="pct"/>
                  <w:vMerge w:val="continue"/>
                  <w:tcBorders>
                    <w:tl2br w:val="nil"/>
                    <w:tr2bl w:val="nil"/>
                  </w:tcBorders>
                  <w:vAlign w:val="center"/>
                </w:tcPr>
                <w:p w14:paraId="19C3D1D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476" w:type="pct"/>
                  <w:vMerge w:val="continue"/>
                  <w:tcBorders>
                    <w:tl2br w:val="nil"/>
                    <w:tr2bl w:val="nil"/>
                  </w:tcBorders>
                  <w:vAlign w:val="center"/>
                </w:tcPr>
                <w:p w14:paraId="370C728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05" w:type="pct"/>
                  <w:vMerge w:val="continue"/>
                  <w:tcBorders>
                    <w:tl2br w:val="nil"/>
                    <w:tr2bl w:val="nil"/>
                  </w:tcBorders>
                  <w:vAlign w:val="center"/>
                </w:tcPr>
                <w:p w14:paraId="7F4FF42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736" w:type="pct"/>
                  <w:vMerge w:val="continue"/>
                  <w:tcBorders>
                    <w:tl2br w:val="nil"/>
                    <w:tr2bl w:val="nil"/>
                  </w:tcBorders>
                  <w:vAlign w:val="center"/>
                </w:tcPr>
                <w:p w14:paraId="22AA876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16" w:type="pct"/>
                  <w:vMerge w:val="continue"/>
                  <w:tcBorders>
                    <w:tl2br w:val="nil"/>
                    <w:tr2bl w:val="nil"/>
                  </w:tcBorders>
                  <w:vAlign w:val="center"/>
                </w:tcPr>
                <w:p w14:paraId="4989925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29" w:type="pct"/>
                  <w:vMerge w:val="continue"/>
                  <w:tcBorders>
                    <w:tl2br w:val="nil"/>
                    <w:tr2bl w:val="nil"/>
                  </w:tcBorders>
                  <w:vAlign w:val="center"/>
                </w:tcPr>
                <w:p w14:paraId="30BBDF6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32" w:type="pct"/>
                  <w:vMerge w:val="continue"/>
                  <w:tcBorders>
                    <w:tl2br w:val="nil"/>
                    <w:tr2bl w:val="nil"/>
                  </w:tcBorders>
                  <w:vAlign w:val="center"/>
                </w:tcPr>
                <w:p w14:paraId="7ACC0FE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70" w:type="pct"/>
                  <w:vMerge w:val="continue"/>
                  <w:tcBorders>
                    <w:tl2br w:val="nil"/>
                    <w:tr2bl w:val="nil"/>
                  </w:tcBorders>
                  <w:vAlign w:val="center"/>
                </w:tcPr>
                <w:p w14:paraId="65C17A6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r>
            <w:tr w14:paraId="4B52E6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2" w:type="pct"/>
                  <w:tcBorders>
                    <w:tl2br w:val="nil"/>
                    <w:tr2bl w:val="nil"/>
                  </w:tcBorders>
                  <w:vAlign w:val="center"/>
                </w:tcPr>
                <w:p w14:paraId="1A3D598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二期</w:t>
                  </w:r>
                </w:p>
                <w:p w14:paraId="0E91EDB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筒仓6#</w:t>
                  </w:r>
                </w:p>
              </w:tc>
              <w:tc>
                <w:tcPr>
                  <w:tcW w:w="402" w:type="pct"/>
                  <w:vMerge w:val="restart"/>
                  <w:tcBorders>
                    <w:tl2br w:val="nil"/>
                    <w:tr2bl w:val="nil"/>
                  </w:tcBorders>
                  <w:vAlign w:val="center"/>
                </w:tcPr>
                <w:p w14:paraId="1CDB4EC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颗粒物</w:t>
                  </w:r>
                </w:p>
              </w:tc>
              <w:tc>
                <w:tcPr>
                  <w:tcW w:w="404" w:type="pct"/>
                  <w:tcBorders>
                    <w:tl2br w:val="nil"/>
                    <w:tr2bl w:val="nil"/>
                  </w:tcBorders>
                  <w:vAlign w:val="center"/>
                </w:tcPr>
                <w:p w14:paraId="606BBD1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50000</w:t>
                  </w:r>
                </w:p>
              </w:tc>
              <w:tc>
                <w:tcPr>
                  <w:tcW w:w="362" w:type="pct"/>
                  <w:vMerge w:val="restart"/>
                  <w:tcBorders>
                    <w:tl2br w:val="nil"/>
                    <w:tr2bl w:val="nil"/>
                  </w:tcBorders>
                  <w:vAlign w:val="center"/>
                </w:tcPr>
                <w:p w14:paraId="0880E93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29.55</w:t>
                  </w:r>
                </w:p>
              </w:tc>
              <w:tc>
                <w:tcPr>
                  <w:tcW w:w="443" w:type="pct"/>
                  <w:vMerge w:val="restart"/>
                  <w:tcBorders>
                    <w:tl2br w:val="nil"/>
                    <w:tr2bl w:val="nil"/>
                  </w:tcBorders>
                  <w:vAlign w:val="center"/>
                </w:tcPr>
                <w:p w14:paraId="481C8EB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3.37</w:t>
                  </w:r>
                </w:p>
              </w:tc>
              <w:tc>
                <w:tcPr>
                  <w:tcW w:w="476" w:type="pct"/>
                  <w:vMerge w:val="restart"/>
                  <w:tcBorders>
                    <w:tl2br w:val="nil"/>
                    <w:tr2bl w:val="nil"/>
                  </w:tcBorders>
                  <w:vAlign w:val="center"/>
                </w:tcPr>
                <w:p w14:paraId="5A64D95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312.34</w:t>
                  </w:r>
                </w:p>
              </w:tc>
              <w:tc>
                <w:tcPr>
                  <w:tcW w:w="305" w:type="pct"/>
                  <w:vMerge w:val="restart"/>
                  <w:tcBorders>
                    <w:tl2br w:val="nil"/>
                    <w:tr2bl w:val="nil"/>
                  </w:tcBorders>
                  <w:vAlign w:val="center"/>
                </w:tcPr>
                <w:p w14:paraId="1E603CB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10800</w:t>
                  </w:r>
                </w:p>
              </w:tc>
              <w:tc>
                <w:tcPr>
                  <w:tcW w:w="736" w:type="pct"/>
                  <w:vMerge w:val="restart"/>
                  <w:tcBorders>
                    <w:tl2br w:val="nil"/>
                    <w:tr2bl w:val="nil"/>
                  </w:tcBorders>
                  <w:vAlign w:val="center"/>
                </w:tcPr>
                <w:p w14:paraId="12503386">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侧抽模块化除尘器，收集效率100%，处理效率99%</w:t>
                  </w:r>
                </w:p>
              </w:tc>
              <w:tc>
                <w:tcPr>
                  <w:tcW w:w="316" w:type="pct"/>
                  <w:vMerge w:val="restart"/>
                  <w:tcBorders>
                    <w:tl2br w:val="nil"/>
                    <w:tr2bl w:val="nil"/>
                  </w:tcBorders>
                  <w:vAlign w:val="center"/>
                </w:tcPr>
                <w:p w14:paraId="3D2A9DF6">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0.2955</w:t>
                  </w:r>
                </w:p>
              </w:tc>
              <w:tc>
                <w:tcPr>
                  <w:tcW w:w="329" w:type="pct"/>
                  <w:vMerge w:val="restart"/>
                  <w:tcBorders>
                    <w:tl2br w:val="nil"/>
                    <w:tr2bl w:val="nil"/>
                  </w:tcBorders>
                  <w:vAlign w:val="center"/>
                </w:tcPr>
                <w:p w14:paraId="10D5CD5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0.034</w:t>
                  </w:r>
                </w:p>
              </w:tc>
              <w:tc>
                <w:tcPr>
                  <w:tcW w:w="332" w:type="pct"/>
                  <w:vMerge w:val="restart"/>
                  <w:tcBorders>
                    <w:tl2br w:val="nil"/>
                    <w:tr2bl w:val="nil"/>
                  </w:tcBorders>
                  <w:vAlign w:val="center"/>
                </w:tcPr>
                <w:p w14:paraId="6D8E33E7">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3.123</w:t>
                  </w:r>
                </w:p>
              </w:tc>
              <w:tc>
                <w:tcPr>
                  <w:tcW w:w="370" w:type="pct"/>
                  <w:vMerge w:val="restart"/>
                  <w:tcBorders>
                    <w:tl2br w:val="nil"/>
                    <w:tr2bl w:val="nil"/>
                  </w:tcBorders>
                  <w:vAlign w:val="center"/>
                </w:tcPr>
                <w:p w14:paraId="61F56AB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8760</w:t>
                  </w:r>
                </w:p>
              </w:tc>
            </w:tr>
            <w:tr w14:paraId="4EB5E6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2" w:type="pct"/>
                  <w:tcBorders>
                    <w:tl2br w:val="nil"/>
                    <w:tr2bl w:val="nil"/>
                  </w:tcBorders>
                  <w:vAlign w:val="center"/>
                </w:tcPr>
                <w:p w14:paraId="40887B0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二期</w:t>
                  </w:r>
                </w:p>
                <w:p w14:paraId="0217D4C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筒仓7#</w:t>
                  </w:r>
                </w:p>
              </w:tc>
              <w:tc>
                <w:tcPr>
                  <w:tcW w:w="402" w:type="pct"/>
                  <w:vMerge w:val="continue"/>
                  <w:tcBorders>
                    <w:tl2br w:val="nil"/>
                    <w:tr2bl w:val="nil"/>
                  </w:tcBorders>
                  <w:vAlign w:val="center"/>
                </w:tcPr>
                <w:p w14:paraId="751A05E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404" w:type="pct"/>
                  <w:tcBorders>
                    <w:tl2br w:val="nil"/>
                    <w:tr2bl w:val="nil"/>
                  </w:tcBorders>
                  <w:vAlign w:val="center"/>
                </w:tcPr>
                <w:p w14:paraId="57441D0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50000</w:t>
                  </w:r>
                </w:p>
              </w:tc>
              <w:tc>
                <w:tcPr>
                  <w:tcW w:w="362" w:type="pct"/>
                  <w:vMerge w:val="continue"/>
                  <w:tcBorders>
                    <w:tl2br w:val="nil"/>
                    <w:tr2bl w:val="nil"/>
                  </w:tcBorders>
                  <w:vAlign w:val="center"/>
                </w:tcPr>
                <w:p w14:paraId="2F18D4C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443" w:type="pct"/>
                  <w:vMerge w:val="continue"/>
                  <w:tcBorders>
                    <w:tl2br w:val="nil"/>
                    <w:tr2bl w:val="nil"/>
                  </w:tcBorders>
                  <w:vAlign w:val="center"/>
                </w:tcPr>
                <w:p w14:paraId="1B6A8017">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476" w:type="pct"/>
                  <w:vMerge w:val="continue"/>
                  <w:tcBorders>
                    <w:tl2br w:val="nil"/>
                    <w:tr2bl w:val="nil"/>
                  </w:tcBorders>
                  <w:vAlign w:val="center"/>
                </w:tcPr>
                <w:p w14:paraId="47E798E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05" w:type="pct"/>
                  <w:vMerge w:val="continue"/>
                  <w:tcBorders>
                    <w:tl2br w:val="nil"/>
                    <w:tr2bl w:val="nil"/>
                  </w:tcBorders>
                  <w:vAlign w:val="center"/>
                </w:tcPr>
                <w:p w14:paraId="66D1D91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736" w:type="pct"/>
                  <w:vMerge w:val="continue"/>
                  <w:tcBorders>
                    <w:tl2br w:val="nil"/>
                    <w:tr2bl w:val="nil"/>
                  </w:tcBorders>
                  <w:vAlign w:val="center"/>
                </w:tcPr>
                <w:p w14:paraId="0B31F43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16" w:type="pct"/>
                  <w:vMerge w:val="continue"/>
                  <w:tcBorders>
                    <w:tl2br w:val="nil"/>
                    <w:tr2bl w:val="nil"/>
                  </w:tcBorders>
                  <w:vAlign w:val="center"/>
                </w:tcPr>
                <w:p w14:paraId="5538C5B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29" w:type="pct"/>
                  <w:vMerge w:val="continue"/>
                  <w:tcBorders>
                    <w:tl2br w:val="nil"/>
                    <w:tr2bl w:val="nil"/>
                  </w:tcBorders>
                  <w:vAlign w:val="center"/>
                </w:tcPr>
                <w:p w14:paraId="431A643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32" w:type="pct"/>
                  <w:vMerge w:val="continue"/>
                  <w:tcBorders>
                    <w:tl2br w:val="nil"/>
                    <w:tr2bl w:val="nil"/>
                  </w:tcBorders>
                  <w:vAlign w:val="center"/>
                </w:tcPr>
                <w:p w14:paraId="054772E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70" w:type="pct"/>
                  <w:vMerge w:val="continue"/>
                  <w:tcBorders>
                    <w:tl2br w:val="nil"/>
                    <w:tr2bl w:val="nil"/>
                  </w:tcBorders>
                  <w:vAlign w:val="center"/>
                </w:tcPr>
                <w:p w14:paraId="00B3169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r>
            <w:tr w14:paraId="18B96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2" w:type="pct"/>
                  <w:tcBorders>
                    <w:tl2br w:val="nil"/>
                    <w:tr2bl w:val="nil"/>
                  </w:tcBorders>
                  <w:vAlign w:val="center"/>
                </w:tcPr>
                <w:p w14:paraId="5E3D0CB1">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二期</w:t>
                  </w:r>
                </w:p>
                <w:p w14:paraId="1CCA5A1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筒仓8#</w:t>
                  </w:r>
                </w:p>
              </w:tc>
              <w:tc>
                <w:tcPr>
                  <w:tcW w:w="402" w:type="pct"/>
                  <w:vMerge w:val="continue"/>
                  <w:tcBorders>
                    <w:tl2br w:val="nil"/>
                    <w:tr2bl w:val="nil"/>
                  </w:tcBorders>
                  <w:vAlign w:val="center"/>
                </w:tcPr>
                <w:p w14:paraId="504BFF3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404" w:type="pct"/>
                  <w:tcBorders>
                    <w:tl2br w:val="nil"/>
                    <w:tr2bl w:val="nil"/>
                  </w:tcBorders>
                  <w:vAlign w:val="center"/>
                </w:tcPr>
                <w:p w14:paraId="4912873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50000</w:t>
                  </w:r>
                </w:p>
              </w:tc>
              <w:tc>
                <w:tcPr>
                  <w:tcW w:w="362" w:type="pct"/>
                  <w:vMerge w:val="continue"/>
                  <w:tcBorders>
                    <w:tl2br w:val="nil"/>
                    <w:tr2bl w:val="nil"/>
                  </w:tcBorders>
                  <w:vAlign w:val="center"/>
                </w:tcPr>
                <w:p w14:paraId="5297F4D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443" w:type="pct"/>
                  <w:vMerge w:val="continue"/>
                  <w:tcBorders>
                    <w:tl2br w:val="nil"/>
                    <w:tr2bl w:val="nil"/>
                  </w:tcBorders>
                  <w:vAlign w:val="center"/>
                </w:tcPr>
                <w:p w14:paraId="00A794D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476" w:type="pct"/>
                  <w:vMerge w:val="continue"/>
                  <w:tcBorders>
                    <w:tl2br w:val="nil"/>
                    <w:tr2bl w:val="nil"/>
                  </w:tcBorders>
                  <w:vAlign w:val="center"/>
                </w:tcPr>
                <w:p w14:paraId="73E9F24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05" w:type="pct"/>
                  <w:vMerge w:val="continue"/>
                  <w:tcBorders>
                    <w:tl2br w:val="nil"/>
                    <w:tr2bl w:val="nil"/>
                  </w:tcBorders>
                  <w:vAlign w:val="center"/>
                </w:tcPr>
                <w:p w14:paraId="7F99F91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736" w:type="pct"/>
                  <w:vMerge w:val="continue"/>
                  <w:tcBorders>
                    <w:tl2br w:val="nil"/>
                    <w:tr2bl w:val="nil"/>
                  </w:tcBorders>
                  <w:vAlign w:val="center"/>
                </w:tcPr>
                <w:p w14:paraId="5D17D8B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16" w:type="pct"/>
                  <w:vMerge w:val="continue"/>
                  <w:tcBorders>
                    <w:tl2br w:val="nil"/>
                    <w:tr2bl w:val="nil"/>
                  </w:tcBorders>
                  <w:vAlign w:val="center"/>
                </w:tcPr>
                <w:p w14:paraId="74C975A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29" w:type="pct"/>
                  <w:vMerge w:val="continue"/>
                  <w:tcBorders>
                    <w:tl2br w:val="nil"/>
                    <w:tr2bl w:val="nil"/>
                  </w:tcBorders>
                  <w:vAlign w:val="center"/>
                </w:tcPr>
                <w:p w14:paraId="0B90F81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32" w:type="pct"/>
                  <w:vMerge w:val="continue"/>
                  <w:tcBorders>
                    <w:tl2br w:val="nil"/>
                    <w:tr2bl w:val="nil"/>
                  </w:tcBorders>
                  <w:vAlign w:val="center"/>
                </w:tcPr>
                <w:p w14:paraId="0D1EF19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70" w:type="pct"/>
                  <w:vMerge w:val="continue"/>
                  <w:tcBorders>
                    <w:tl2br w:val="nil"/>
                    <w:tr2bl w:val="nil"/>
                  </w:tcBorders>
                  <w:vAlign w:val="center"/>
                </w:tcPr>
                <w:p w14:paraId="0813FC1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r>
            <w:tr w14:paraId="4B8FFF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2" w:type="pct"/>
                  <w:tcBorders>
                    <w:tl2br w:val="nil"/>
                    <w:tr2bl w:val="nil"/>
                  </w:tcBorders>
                  <w:vAlign w:val="center"/>
                </w:tcPr>
                <w:p w14:paraId="351A4811">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三期</w:t>
                  </w:r>
                </w:p>
                <w:p w14:paraId="628F6C2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筒仓10#</w:t>
                  </w:r>
                </w:p>
              </w:tc>
              <w:tc>
                <w:tcPr>
                  <w:tcW w:w="402" w:type="pct"/>
                  <w:vMerge w:val="restart"/>
                  <w:tcBorders>
                    <w:tl2br w:val="nil"/>
                    <w:tr2bl w:val="nil"/>
                  </w:tcBorders>
                  <w:vAlign w:val="center"/>
                </w:tcPr>
                <w:p w14:paraId="484F04C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颗粒物</w:t>
                  </w:r>
                </w:p>
              </w:tc>
              <w:tc>
                <w:tcPr>
                  <w:tcW w:w="404" w:type="pct"/>
                  <w:tcBorders>
                    <w:tl2br w:val="nil"/>
                    <w:tr2bl w:val="nil"/>
                  </w:tcBorders>
                  <w:vAlign w:val="center"/>
                </w:tcPr>
                <w:p w14:paraId="386D997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150000</w:t>
                  </w:r>
                </w:p>
              </w:tc>
              <w:tc>
                <w:tcPr>
                  <w:tcW w:w="362" w:type="pct"/>
                  <w:vMerge w:val="restart"/>
                  <w:tcBorders>
                    <w:tl2br w:val="nil"/>
                    <w:tr2bl w:val="nil"/>
                  </w:tcBorders>
                  <w:vAlign w:val="center"/>
                </w:tcPr>
                <w:p w14:paraId="34E062B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88.65</w:t>
                  </w:r>
                </w:p>
              </w:tc>
              <w:tc>
                <w:tcPr>
                  <w:tcW w:w="443" w:type="pct"/>
                  <w:vMerge w:val="restart"/>
                  <w:tcBorders>
                    <w:tl2br w:val="nil"/>
                    <w:tr2bl w:val="nil"/>
                  </w:tcBorders>
                  <w:vAlign w:val="center"/>
                </w:tcPr>
                <w:p w14:paraId="568DE75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10.12</w:t>
                  </w:r>
                </w:p>
              </w:tc>
              <w:tc>
                <w:tcPr>
                  <w:tcW w:w="476" w:type="pct"/>
                  <w:vMerge w:val="restart"/>
                  <w:tcBorders>
                    <w:tl2br w:val="nil"/>
                    <w:tr2bl w:val="nil"/>
                  </w:tcBorders>
                  <w:vAlign w:val="center"/>
                </w:tcPr>
                <w:p w14:paraId="0E47C81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585.64</w:t>
                  </w:r>
                </w:p>
              </w:tc>
              <w:tc>
                <w:tcPr>
                  <w:tcW w:w="305" w:type="pct"/>
                  <w:vMerge w:val="restart"/>
                  <w:tcBorders>
                    <w:tl2br w:val="nil"/>
                    <w:tr2bl w:val="nil"/>
                  </w:tcBorders>
                  <w:vAlign w:val="center"/>
                </w:tcPr>
                <w:p w14:paraId="1BDF2D9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17280</w:t>
                  </w:r>
                </w:p>
              </w:tc>
              <w:tc>
                <w:tcPr>
                  <w:tcW w:w="736" w:type="pct"/>
                  <w:vMerge w:val="restart"/>
                  <w:tcBorders>
                    <w:tl2br w:val="nil"/>
                    <w:tr2bl w:val="nil"/>
                  </w:tcBorders>
                  <w:vAlign w:val="center"/>
                </w:tcPr>
                <w:p w14:paraId="13CB847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侧抽模块化除尘器，收集效率100%，处理效率99%</w:t>
                  </w:r>
                </w:p>
              </w:tc>
              <w:tc>
                <w:tcPr>
                  <w:tcW w:w="316" w:type="pct"/>
                  <w:vMerge w:val="restart"/>
                  <w:tcBorders>
                    <w:tl2br w:val="nil"/>
                    <w:tr2bl w:val="nil"/>
                  </w:tcBorders>
                  <w:vAlign w:val="center"/>
                </w:tcPr>
                <w:p w14:paraId="530C4F2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0.8865</w:t>
                  </w:r>
                </w:p>
              </w:tc>
              <w:tc>
                <w:tcPr>
                  <w:tcW w:w="329" w:type="pct"/>
                  <w:vMerge w:val="restart"/>
                  <w:tcBorders>
                    <w:tl2br w:val="nil"/>
                    <w:tr2bl w:val="nil"/>
                  </w:tcBorders>
                  <w:vAlign w:val="center"/>
                </w:tcPr>
                <w:p w14:paraId="72ABABB1">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0.101</w:t>
                  </w:r>
                </w:p>
              </w:tc>
              <w:tc>
                <w:tcPr>
                  <w:tcW w:w="332" w:type="pct"/>
                  <w:vMerge w:val="restart"/>
                  <w:tcBorders>
                    <w:tl2br w:val="nil"/>
                    <w:tr2bl w:val="nil"/>
                  </w:tcBorders>
                  <w:vAlign w:val="center"/>
                </w:tcPr>
                <w:p w14:paraId="13603FF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1.95</w:t>
                  </w:r>
                </w:p>
              </w:tc>
              <w:tc>
                <w:tcPr>
                  <w:tcW w:w="370" w:type="pct"/>
                  <w:vMerge w:val="restart"/>
                  <w:tcBorders>
                    <w:tl2br w:val="nil"/>
                    <w:tr2bl w:val="nil"/>
                  </w:tcBorders>
                  <w:vAlign w:val="center"/>
                </w:tcPr>
                <w:p w14:paraId="7DF205C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8760</w:t>
                  </w:r>
                </w:p>
              </w:tc>
            </w:tr>
            <w:tr w14:paraId="365017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2" w:type="pct"/>
                  <w:tcBorders>
                    <w:tl2br w:val="nil"/>
                    <w:tr2bl w:val="nil"/>
                  </w:tcBorders>
                  <w:vAlign w:val="center"/>
                </w:tcPr>
                <w:p w14:paraId="0538CF9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三期</w:t>
                  </w:r>
                </w:p>
                <w:p w14:paraId="6FB923CF">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筒仓11#</w:t>
                  </w:r>
                </w:p>
              </w:tc>
              <w:tc>
                <w:tcPr>
                  <w:tcW w:w="402" w:type="pct"/>
                  <w:vMerge w:val="continue"/>
                  <w:tcBorders>
                    <w:tl2br w:val="nil"/>
                    <w:tr2bl w:val="nil"/>
                  </w:tcBorders>
                  <w:vAlign w:val="center"/>
                </w:tcPr>
                <w:p w14:paraId="163FD4C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u w:val="single"/>
                      <w:vertAlign w:val="baseline"/>
                      <w:lang w:val="en-US" w:eastAsia="zh-CN"/>
                    </w:rPr>
                  </w:pPr>
                </w:p>
              </w:tc>
              <w:tc>
                <w:tcPr>
                  <w:tcW w:w="404" w:type="pct"/>
                  <w:tcBorders>
                    <w:tl2br w:val="nil"/>
                    <w:tr2bl w:val="nil"/>
                  </w:tcBorders>
                  <w:vAlign w:val="center"/>
                </w:tcPr>
                <w:p w14:paraId="3AAC93A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150000</w:t>
                  </w:r>
                </w:p>
              </w:tc>
              <w:tc>
                <w:tcPr>
                  <w:tcW w:w="362" w:type="pct"/>
                  <w:vMerge w:val="continue"/>
                  <w:tcBorders>
                    <w:tl2br w:val="nil"/>
                    <w:tr2bl w:val="nil"/>
                  </w:tcBorders>
                  <w:vAlign w:val="center"/>
                </w:tcPr>
                <w:p w14:paraId="4E4B334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443" w:type="pct"/>
                  <w:vMerge w:val="continue"/>
                  <w:tcBorders>
                    <w:tl2br w:val="nil"/>
                    <w:tr2bl w:val="nil"/>
                  </w:tcBorders>
                  <w:vAlign w:val="center"/>
                </w:tcPr>
                <w:p w14:paraId="5DFA1F1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476" w:type="pct"/>
                  <w:vMerge w:val="continue"/>
                  <w:tcBorders>
                    <w:tl2br w:val="nil"/>
                    <w:tr2bl w:val="nil"/>
                  </w:tcBorders>
                  <w:vAlign w:val="center"/>
                </w:tcPr>
                <w:p w14:paraId="6020399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05" w:type="pct"/>
                  <w:vMerge w:val="continue"/>
                  <w:tcBorders>
                    <w:tl2br w:val="nil"/>
                    <w:tr2bl w:val="nil"/>
                  </w:tcBorders>
                  <w:vAlign w:val="center"/>
                </w:tcPr>
                <w:p w14:paraId="3A2F748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736" w:type="pct"/>
                  <w:vMerge w:val="continue"/>
                  <w:tcBorders>
                    <w:tl2br w:val="nil"/>
                    <w:tr2bl w:val="nil"/>
                  </w:tcBorders>
                  <w:vAlign w:val="center"/>
                </w:tcPr>
                <w:p w14:paraId="15DAF17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16" w:type="pct"/>
                  <w:vMerge w:val="continue"/>
                  <w:tcBorders>
                    <w:tl2br w:val="nil"/>
                    <w:tr2bl w:val="nil"/>
                  </w:tcBorders>
                  <w:vAlign w:val="center"/>
                </w:tcPr>
                <w:p w14:paraId="5E77D49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29" w:type="pct"/>
                  <w:vMerge w:val="continue"/>
                  <w:tcBorders>
                    <w:tl2br w:val="nil"/>
                    <w:tr2bl w:val="nil"/>
                  </w:tcBorders>
                  <w:vAlign w:val="center"/>
                </w:tcPr>
                <w:p w14:paraId="36D0FF6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32" w:type="pct"/>
                  <w:vMerge w:val="continue"/>
                  <w:tcBorders>
                    <w:tl2br w:val="nil"/>
                    <w:tr2bl w:val="nil"/>
                  </w:tcBorders>
                  <w:vAlign w:val="center"/>
                </w:tcPr>
                <w:p w14:paraId="37D79F8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70" w:type="pct"/>
                  <w:vMerge w:val="continue"/>
                  <w:tcBorders>
                    <w:tl2br w:val="nil"/>
                    <w:tr2bl w:val="nil"/>
                  </w:tcBorders>
                  <w:vAlign w:val="center"/>
                </w:tcPr>
                <w:p w14:paraId="66DC66A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r>
            <w:tr w14:paraId="2D4092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2" w:type="pct"/>
                  <w:tcBorders>
                    <w:tl2br w:val="nil"/>
                    <w:tr2bl w:val="nil"/>
                  </w:tcBorders>
                  <w:vAlign w:val="center"/>
                </w:tcPr>
                <w:p w14:paraId="6B68994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三期</w:t>
                  </w:r>
                </w:p>
                <w:p w14:paraId="71FD15D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筒仓12#</w:t>
                  </w:r>
                </w:p>
              </w:tc>
              <w:tc>
                <w:tcPr>
                  <w:tcW w:w="402" w:type="pct"/>
                  <w:vMerge w:val="continue"/>
                  <w:tcBorders>
                    <w:tl2br w:val="nil"/>
                    <w:tr2bl w:val="nil"/>
                  </w:tcBorders>
                  <w:vAlign w:val="center"/>
                </w:tcPr>
                <w:p w14:paraId="100C10F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u w:val="single"/>
                      <w:vertAlign w:val="baseline"/>
                      <w:lang w:val="en-US" w:eastAsia="zh-CN"/>
                    </w:rPr>
                  </w:pPr>
                </w:p>
              </w:tc>
              <w:tc>
                <w:tcPr>
                  <w:tcW w:w="404" w:type="pct"/>
                  <w:tcBorders>
                    <w:tl2br w:val="nil"/>
                    <w:tr2bl w:val="nil"/>
                  </w:tcBorders>
                  <w:vAlign w:val="center"/>
                </w:tcPr>
                <w:p w14:paraId="4B1BCF6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u w:val="single"/>
                      <w:vertAlign w:val="baseline"/>
                      <w:lang w:val="en-US" w:eastAsia="zh-CN"/>
                    </w:rPr>
                  </w:pPr>
                  <w:r>
                    <w:rPr>
                      <w:rFonts w:hint="eastAsia" w:cs="Times New Roman"/>
                      <w:color w:val="auto"/>
                      <w:kern w:val="0"/>
                      <w:sz w:val="21"/>
                      <w:szCs w:val="21"/>
                      <w:u w:val="single"/>
                      <w:vertAlign w:val="baseline"/>
                      <w:lang w:val="en-US" w:eastAsia="zh-CN"/>
                    </w:rPr>
                    <w:t>150000</w:t>
                  </w:r>
                </w:p>
              </w:tc>
              <w:tc>
                <w:tcPr>
                  <w:tcW w:w="362" w:type="pct"/>
                  <w:vMerge w:val="continue"/>
                  <w:tcBorders>
                    <w:tl2br w:val="nil"/>
                    <w:tr2bl w:val="nil"/>
                  </w:tcBorders>
                  <w:vAlign w:val="center"/>
                </w:tcPr>
                <w:p w14:paraId="3B46AE3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443" w:type="pct"/>
                  <w:vMerge w:val="continue"/>
                  <w:tcBorders>
                    <w:tl2br w:val="nil"/>
                    <w:tr2bl w:val="nil"/>
                  </w:tcBorders>
                  <w:vAlign w:val="center"/>
                </w:tcPr>
                <w:p w14:paraId="5CE184D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476" w:type="pct"/>
                  <w:vMerge w:val="continue"/>
                  <w:tcBorders>
                    <w:tl2br w:val="nil"/>
                    <w:tr2bl w:val="nil"/>
                  </w:tcBorders>
                  <w:vAlign w:val="center"/>
                </w:tcPr>
                <w:p w14:paraId="67D1C72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05" w:type="pct"/>
                  <w:vMerge w:val="continue"/>
                  <w:tcBorders>
                    <w:tl2br w:val="nil"/>
                    <w:tr2bl w:val="nil"/>
                  </w:tcBorders>
                  <w:vAlign w:val="center"/>
                </w:tcPr>
                <w:p w14:paraId="7A77AF2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736" w:type="pct"/>
                  <w:vMerge w:val="continue"/>
                  <w:tcBorders>
                    <w:tl2br w:val="nil"/>
                    <w:tr2bl w:val="nil"/>
                  </w:tcBorders>
                  <w:vAlign w:val="center"/>
                </w:tcPr>
                <w:p w14:paraId="47388F8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16" w:type="pct"/>
                  <w:vMerge w:val="continue"/>
                  <w:tcBorders>
                    <w:tl2br w:val="nil"/>
                    <w:tr2bl w:val="nil"/>
                  </w:tcBorders>
                  <w:vAlign w:val="center"/>
                </w:tcPr>
                <w:p w14:paraId="5F3630D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29" w:type="pct"/>
                  <w:vMerge w:val="continue"/>
                  <w:tcBorders>
                    <w:tl2br w:val="nil"/>
                    <w:tr2bl w:val="nil"/>
                  </w:tcBorders>
                  <w:vAlign w:val="center"/>
                </w:tcPr>
                <w:p w14:paraId="492B7E2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32" w:type="pct"/>
                  <w:vMerge w:val="continue"/>
                  <w:tcBorders>
                    <w:tl2br w:val="nil"/>
                    <w:tr2bl w:val="nil"/>
                  </w:tcBorders>
                  <w:vAlign w:val="center"/>
                </w:tcPr>
                <w:p w14:paraId="289CF5C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c>
                <w:tcPr>
                  <w:tcW w:w="370" w:type="pct"/>
                  <w:vMerge w:val="continue"/>
                  <w:tcBorders>
                    <w:tl2br w:val="nil"/>
                    <w:tr2bl w:val="nil"/>
                  </w:tcBorders>
                  <w:vAlign w:val="center"/>
                </w:tcPr>
                <w:p w14:paraId="7BCA274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rPr>
                  </w:pPr>
                </w:p>
              </w:tc>
            </w:tr>
            <w:tr w14:paraId="16200D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12"/>
                  <w:tcBorders>
                    <w:tl2br w:val="nil"/>
                    <w:tr2bl w:val="nil"/>
                  </w:tcBorders>
                  <w:vAlign w:val="center"/>
                </w:tcPr>
                <w:p w14:paraId="0E47970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bCs/>
                      <w:color w:val="auto"/>
                      <w:kern w:val="0"/>
                      <w:sz w:val="21"/>
                      <w:szCs w:val="21"/>
                      <w:u w:val="single"/>
                      <w:vertAlign w:val="baseline"/>
                      <w:lang w:val="en-US" w:eastAsia="zh-CN"/>
                    </w:rPr>
                  </w:pPr>
                  <w:r>
                    <w:rPr>
                      <w:rFonts w:hint="default" w:ascii="Times New Roman" w:hAnsi="Times New Roman" w:cs="Times New Roman"/>
                      <w:b/>
                      <w:bCs/>
                      <w:color w:val="auto"/>
                      <w:kern w:val="0"/>
                      <w:sz w:val="21"/>
                      <w:szCs w:val="21"/>
                      <w:u w:val="single"/>
                      <w:vertAlign w:val="baseline"/>
                      <w:lang w:val="en-US" w:eastAsia="zh-CN"/>
                    </w:rPr>
                    <w:t>注：</w:t>
                  </w:r>
                  <w:r>
                    <w:rPr>
                      <w:rFonts w:hint="eastAsia" w:cs="Times New Roman"/>
                      <w:b/>
                      <w:bCs/>
                      <w:color w:val="auto"/>
                      <w:kern w:val="0"/>
                      <w:sz w:val="21"/>
                      <w:szCs w:val="21"/>
                      <w:u w:val="single"/>
                      <w:vertAlign w:val="baseline"/>
                      <w:lang w:val="en-US" w:eastAsia="zh-CN"/>
                    </w:rPr>
                    <w:t>筒仓为物料周转使用，非固定储存</w:t>
                  </w:r>
                  <w:r>
                    <w:rPr>
                      <w:rFonts w:hint="default" w:ascii="Times New Roman" w:hAnsi="Times New Roman" w:cs="Times New Roman"/>
                      <w:b/>
                      <w:bCs/>
                      <w:color w:val="auto"/>
                      <w:kern w:val="0"/>
                      <w:sz w:val="21"/>
                      <w:szCs w:val="21"/>
                      <w:u w:val="single"/>
                      <w:vertAlign w:val="baseline"/>
                      <w:lang w:val="en-US" w:eastAsia="zh-CN"/>
                    </w:rPr>
                    <w:t>。</w:t>
                  </w:r>
                </w:p>
              </w:tc>
            </w:tr>
          </w:tbl>
          <w:p w14:paraId="16473151">
            <w:pPr>
              <w:keepNext w:val="0"/>
              <w:keepLines w:val="0"/>
              <w:pageBreakBefore w:val="0"/>
              <w:widowControl/>
              <w:numPr>
                <w:ilvl w:val="0"/>
                <w:numId w:val="0"/>
              </w:numPr>
              <w:kinsoku/>
              <w:wordWrap/>
              <w:overflowPunct/>
              <w:topLinePunct w:val="0"/>
              <w:autoSpaceDE/>
              <w:autoSpaceDN/>
              <w:bidi w:val="0"/>
              <w:adjustRightInd/>
              <w:snapToGrid/>
              <w:spacing w:before="164" w:beforeLines="50"/>
              <w:ind w:firstLine="480" w:firstLineChars="200"/>
              <w:textAlignment w:val="auto"/>
              <w:rPr>
                <w:rFonts w:hint="eastAsia" w:cs="Times New Roman"/>
                <w:color w:val="auto"/>
                <w:kern w:val="0"/>
                <w:u w:val="single"/>
                <w:lang w:val="en-US" w:eastAsia="zh-CN"/>
              </w:rPr>
            </w:pPr>
            <w:r>
              <w:rPr>
                <w:rFonts w:hint="eastAsia" w:cs="Times New Roman"/>
                <w:color w:val="auto"/>
                <w:kern w:val="0"/>
                <w:u w:val="single"/>
                <w:lang w:val="en-US" w:eastAsia="zh-CN"/>
              </w:rPr>
              <w:t>（2）旋风分离器出气口粉尘</w:t>
            </w:r>
          </w:p>
          <w:p w14:paraId="19812F34">
            <w:pPr>
              <w:keepNext w:val="0"/>
              <w:keepLines w:val="0"/>
              <w:pageBreakBefore w:val="0"/>
              <w:widowControl/>
              <w:numPr>
                <w:ilvl w:val="0"/>
                <w:numId w:val="0"/>
              </w:numPr>
              <w:kinsoku/>
              <w:wordWrap/>
              <w:overflowPunct/>
              <w:topLinePunct w:val="0"/>
              <w:autoSpaceDE/>
              <w:autoSpaceDN/>
              <w:bidi w:val="0"/>
              <w:adjustRightInd/>
              <w:snapToGrid/>
              <w:spacing w:before="164" w:beforeLines="50"/>
              <w:ind w:left="0" w:leftChars="0" w:firstLine="480" w:firstLineChars="200"/>
              <w:textAlignment w:val="auto"/>
              <w:rPr>
                <w:rFonts w:hint="eastAsia"/>
                <w:color w:val="000000"/>
                <w:u w:val="single"/>
                <w:lang w:val="en-US" w:eastAsia="zh-CN"/>
              </w:rPr>
            </w:pPr>
            <w:r>
              <w:rPr>
                <w:rFonts w:hint="default" w:ascii="Times New Roman" w:hAnsi="Times New Roman" w:eastAsia="宋体" w:cs="Times New Roman"/>
                <w:b w:val="0"/>
                <w:bCs w:val="0"/>
                <w:i w:val="0"/>
                <w:iCs w:val="0"/>
                <w:caps w:val="0"/>
                <w:color w:val="0F1115"/>
                <w:spacing w:val="0"/>
                <w:sz w:val="24"/>
                <w:szCs w:val="24"/>
                <w:u w:val="single"/>
                <w:shd w:val="clear" w:fill="FFFFFF"/>
              </w:rPr>
              <w:t>本项目粉煤灰分选系统为负压闭路循环设计，旋风分离器出口含尘气体大部分返回一次风循环利用，少量尾气经平衡风管接入细灰库，最终通过</w:t>
            </w:r>
            <w:r>
              <w:rPr>
                <w:rFonts w:hint="eastAsia" w:cs="Times New Roman"/>
                <w:b w:val="0"/>
                <w:bCs w:val="0"/>
                <w:i w:val="0"/>
                <w:iCs w:val="0"/>
                <w:caps w:val="0"/>
                <w:color w:val="0F1115"/>
                <w:spacing w:val="0"/>
                <w:sz w:val="24"/>
                <w:szCs w:val="24"/>
                <w:u w:val="single"/>
                <w:shd w:val="clear" w:fill="FFFFFF"/>
                <w:lang w:val="en-US" w:eastAsia="zh-CN"/>
              </w:rPr>
              <w:t>仓顶</w:t>
            </w:r>
            <w:r>
              <w:rPr>
                <w:rFonts w:hint="default" w:ascii="Times New Roman" w:hAnsi="Times New Roman" w:eastAsia="宋体" w:cs="Times New Roman"/>
                <w:b w:val="0"/>
                <w:bCs w:val="0"/>
                <w:i w:val="0"/>
                <w:iCs w:val="0"/>
                <w:caps w:val="0"/>
                <w:color w:val="0F1115"/>
                <w:spacing w:val="0"/>
                <w:sz w:val="24"/>
                <w:szCs w:val="24"/>
                <w:u w:val="single"/>
                <w:shd w:val="clear" w:fill="FFFFFF"/>
              </w:rPr>
              <w:t>布袋除尘器处理后排放。根据系统风量平衡核算，平衡风管尾气量约占系统循环风量的5%~8%，含尘浓度约10</w:t>
            </w:r>
            <w:r>
              <w:rPr>
                <w:rFonts w:hint="eastAsia" w:cs="Times New Roman"/>
                <w:b w:val="0"/>
                <w:bCs w:val="0"/>
                <w:i w:val="0"/>
                <w:iCs w:val="0"/>
                <w:caps w:val="0"/>
                <w:color w:val="0F1115"/>
                <w:spacing w:val="0"/>
                <w:sz w:val="24"/>
                <w:szCs w:val="24"/>
                <w:u w:val="single"/>
                <w:shd w:val="clear" w:fill="FFFFFF"/>
                <w:lang w:val="en-US" w:eastAsia="zh-CN"/>
              </w:rPr>
              <w:t>~</w:t>
            </w:r>
            <w:r>
              <w:rPr>
                <w:rFonts w:hint="default" w:ascii="Times New Roman" w:hAnsi="Times New Roman" w:eastAsia="宋体" w:cs="Times New Roman"/>
                <w:b w:val="0"/>
                <w:bCs w:val="0"/>
                <w:i w:val="0"/>
                <w:iCs w:val="0"/>
                <w:caps w:val="0"/>
                <w:color w:val="0F1115"/>
                <w:spacing w:val="0"/>
                <w:sz w:val="24"/>
                <w:szCs w:val="24"/>
                <w:u w:val="single"/>
                <w:shd w:val="clear" w:fill="FFFFFF"/>
              </w:rPr>
              <w:t>20g/m</w:t>
            </w:r>
            <w:r>
              <w:rPr>
                <w:rFonts w:hint="eastAsia" w:cs="Times New Roman"/>
                <w:b w:val="0"/>
                <w:bCs w:val="0"/>
                <w:i w:val="0"/>
                <w:iCs w:val="0"/>
                <w:caps w:val="0"/>
                <w:color w:val="0F1115"/>
                <w:spacing w:val="0"/>
                <w:sz w:val="24"/>
                <w:szCs w:val="24"/>
                <w:u w:val="single"/>
                <w:shd w:val="clear" w:fill="FFFFFF"/>
                <w:vertAlign w:val="superscript"/>
                <w:lang w:val="en-US" w:eastAsia="zh-CN"/>
              </w:rPr>
              <w:t>3</w:t>
            </w:r>
            <w:r>
              <w:rPr>
                <w:rFonts w:hint="default" w:ascii="Times New Roman" w:hAnsi="Times New Roman" w:eastAsia="宋体" w:cs="Times New Roman"/>
                <w:b w:val="0"/>
                <w:bCs w:val="0"/>
                <w:i w:val="0"/>
                <w:iCs w:val="0"/>
                <w:caps w:val="0"/>
                <w:color w:val="0F1115"/>
                <w:spacing w:val="0"/>
                <w:sz w:val="24"/>
                <w:szCs w:val="24"/>
                <w:u w:val="single"/>
                <w:shd w:val="clear" w:fill="FFFFFF"/>
              </w:rPr>
              <w:t>，根据</w:t>
            </w:r>
            <w:r>
              <w:rPr>
                <w:rFonts w:hint="eastAsia"/>
                <w:u w:val="single"/>
              </w:rPr>
              <w:t>《排放源统计调查产排污核算方法和系数手册》中“3024 轻质建筑材料制品制造行业系数手册--水泥、轻集料、石灰、粉煤灰等--物料输送储存</w:t>
            </w:r>
            <w:r>
              <w:rPr>
                <w:rFonts w:hint="default" w:ascii="Times New Roman" w:hAnsi="Times New Roman" w:eastAsia="宋体" w:cs="Times New Roman"/>
                <w:b w:val="0"/>
                <w:bCs w:val="0"/>
                <w:i w:val="0"/>
                <w:iCs w:val="0"/>
                <w:caps w:val="0"/>
                <w:color w:val="0F1115"/>
                <w:spacing w:val="0"/>
                <w:sz w:val="24"/>
                <w:szCs w:val="24"/>
                <w:u w:val="single"/>
                <w:shd w:val="clear" w:fill="FFFFFF"/>
              </w:rPr>
              <w:t>颗粒物产污系数（0.19</w:t>
            </w:r>
            <w:r>
              <w:rPr>
                <w:rFonts w:hint="eastAsia" w:cs="Times New Roman"/>
                <w:b w:val="0"/>
                <w:bCs w:val="0"/>
                <w:i w:val="0"/>
                <w:iCs w:val="0"/>
                <w:caps w:val="0"/>
                <w:color w:val="0F1115"/>
                <w:spacing w:val="0"/>
                <w:sz w:val="24"/>
                <w:szCs w:val="24"/>
                <w:u w:val="single"/>
                <w:shd w:val="clear" w:fill="FFFFFF"/>
                <w:lang w:val="en-US" w:eastAsia="zh-CN"/>
              </w:rPr>
              <w:t>7</w:t>
            </w:r>
            <w:r>
              <w:rPr>
                <w:rFonts w:hint="default" w:ascii="Times New Roman" w:hAnsi="Times New Roman" w:eastAsia="宋体" w:cs="Times New Roman"/>
                <w:b w:val="0"/>
                <w:bCs w:val="0"/>
                <w:i w:val="0"/>
                <w:iCs w:val="0"/>
                <w:caps w:val="0"/>
                <w:color w:val="0F1115"/>
                <w:spacing w:val="0"/>
                <w:sz w:val="24"/>
                <w:szCs w:val="24"/>
                <w:u w:val="single"/>
                <w:shd w:val="clear" w:fill="FFFFFF"/>
              </w:rPr>
              <w:t>kg/t-</w:t>
            </w:r>
            <w:r>
              <w:rPr>
                <w:rFonts w:hint="eastAsia" w:cs="Times New Roman"/>
                <w:b w:val="0"/>
                <w:bCs w:val="0"/>
                <w:i w:val="0"/>
                <w:iCs w:val="0"/>
                <w:caps w:val="0"/>
                <w:color w:val="0F1115"/>
                <w:spacing w:val="0"/>
                <w:sz w:val="24"/>
                <w:szCs w:val="24"/>
                <w:u w:val="single"/>
                <w:shd w:val="clear" w:fill="FFFFFF"/>
                <w:lang w:val="en-US" w:eastAsia="zh-CN"/>
              </w:rPr>
              <w:t>产品</w:t>
            </w:r>
            <w:r>
              <w:rPr>
                <w:rFonts w:hint="default" w:ascii="Times New Roman" w:hAnsi="Times New Roman" w:eastAsia="宋体" w:cs="Times New Roman"/>
                <w:b w:val="0"/>
                <w:bCs w:val="0"/>
                <w:i w:val="0"/>
                <w:iCs w:val="0"/>
                <w:caps w:val="0"/>
                <w:color w:val="0F1115"/>
                <w:spacing w:val="0"/>
                <w:sz w:val="24"/>
                <w:szCs w:val="24"/>
                <w:u w:val="single"/>
                <w:shd w:val="clear" w:fill="FFFFFF"/>
              </w:rPr>
              <w:t>），全厂90万吨/年粉煤灰输送储存过程的总产尘系数已涵盖物料进出及系统平衡尾气带来的综合粉尘产生量。</w:t>
            </w:r>
            <w:r>
              <w:rPr>
                <w:rFonts w:hint="eastAsia" w:cs="Times New Roman"/>
                <w:b w:val="0"/>
                <w:bCs w:val="0"/>
                <w:i w:val="0"/>
                <w:iCs w:val="0"/>
                <w:caps w:val="0"/>
                <w:color w:val="0F1115"/>
                <w:spacing w:val="0"/>
                <w:sz w:val="24"/>
                <w:szCs w:val="24"/>
                <w:u w:val="single"/>
                <w:shd w:val="clear" w:fill="FFFFFF"/>
                <w:lang w:val="en-US" w:eastAsia="zh-CN"/>
              </w:rPr>
              <w:t>因此旋风分离器出气口</w:t>
            </w:r>
            <w:r>
              <w:rPr>
                <w:rFonts w:hint="default" w:ascii="Times New Roman" w:hAnsi="Times New Roman" w:eastAsia="宋体" w:cs="Times New Roman"/>
                <w:b w:val="0"/>
                <w:bCs w:val="0"/>
                <w:i w:val="0"/>
                <w:iCs w:val="0"/>
                <w:caps w:val="0"/>
                <w:color w:val="0F1115"/>
                <w:spacing w:val="0"/>
                <w:sz w:val="24"/>
                <w:szCs w:val="24"/>
                <w:u w:val="single"/>
                <w:shd w:val="clear" w:fill="FFFFFF"/>
              </w:rPr>
              <w:t>粉尘已计入筒仓呼吸粉尘源强，不再另行核算旋风分离器排放量。</w:t>
            </w:r>
          </w:p>
          <w:p w14:paraId="60151E89">
            <w:pPr>
              <w:keepNext w:val="0"/>
              <w:keepLines w:val="0"/>
              <w:pageBreakBefore w:val="0"/>
              <w:widowControl/>
              <w:numPr>
                <w:ilvl w:val="0"/>
                <w:numId w:val="0"/>
              </w:numPr>
              <w:kinsoku/>
              <w:wordWrap/>
              <w:overflowPunct/>
              <w:topLinePunct w:val="0"/>
              <w:autoSpaceDE/>
              <w:autoSpaceDN/>
              <w:bidi w:val="0"/>
              <w:adjustRightInd/>
              <w:snapToGrid/>
              <w:spacing w:before="164" w:beforeLines="50"/>
              <w:ind w:left="420" w:leftChars="0"/>
              <w:textAlignment w:val="auto"/>
              <w:rPr>
                <w:rFonts w:hint="eastAsia"/>
                <w:color w:val="000000"/>
                <w:u w:val="single"/>
                <w:lang w:val="en-US" w:eastAsia="zh-CN"/>
              </w:rPr>
            </w:pPr>
            <w:r>
              <w:rPr>
                <w:rFonts w:hint="eastAsia"/>
                <w:color w:val="000000"/>
                <w:u w:val="single"/>
                <w:lang w:val="en-US" w:eastAsia="zh-CN"/>
              </w:rPr>
              <w:t>（3）罐车气力输送粉尘</w:t>
            </w:r>
          </w:p>
          <w:p w14:paraId="38FC6E6A">
            <w:pPr>
              <w:keepNext w:val="0"/>
              <w:keepLines w:val="0"/>
              <w:pageBreakBefore w:val="0"/>
              <w:widowControl/>
              <w:numPr>
                <w:ilvl w:val="0"/>
                <w:numId w:val="0"/>
              </w:numPr>
              <w:kinsoku/>
              <w:wordWrap/>
              <w:overflowPunct/>
              <w:topLinePunct w:val="0"/>
              <w:autoSpaceDE/>
              <w:autoSpaceDN/>
              <w:bidi w:val="0"/>
              <w:adjustRightInd/>
              <w:snapToGrid/>
              <w:ind w:leftChars="0" w:firstLine="480" w:firstLineChars="200"/>
              <w:textAlignment w:val="auto"/>
              <w:rPr>
                <w:rFonts w:hint="default"/>
                <w:color w:val="000000"/>
                <w:u w:val="single"/>
                <w:lang w:val="en-US" w:eastAsia="zh-CN"/>
              </w:rPr>
            </w:pPr>
            <w:r>
              <w:rPr>
                <w:rFonts w:hint="eastAsia"/>
                <w:color w:val="000000"/>
                <w:u w:val="single"/>
                <w:lang w:val="en-US" w:eastAsia="zh-CN"/>
              </w:rPr>
              <w:t>本项目粉煤灰通过气力输送至密闭罐车，从罐车排出的含尘气体，通过伸缩软管从收尘口排入气力输送系统自带的散装机除尘器后无组织排放，参照《逸散性工业粉尘控制技术》（中国环境科学出版社）中“混凝土分批搅拌场”中“卸水泥至高架贮仓”产污系数为0.12千克/吨-原料，本项目年综合利用90万吨粉煤灰，则罐车气力输送过程中粉尘产生量为108t/a。气力输送系统粉尘经散装机收集效率100%，除尘效率99%，罐车年装车时间约为2000h，根据计算，气力输送系统粉尘年排放量为1.08t/a，0.54kg/h。</w:t>
            </w:r>
          </w:p>
          <w:p w14:paraId="17E9353E">
            <w:pPr>
              <w:keepNext w:val="0"/>
              <w:keepLines w:val="0"/>
              <w:pageBreakBefore w:val="0"/>
              <w:widowControl/>
              <w:kinsoku/>
              <w:wordWrap/>
              <w:overflowPunct/>
              <w:topLinePunct w:val="0"/>
              <w:autoSpaceDE/>
              <w:autoSpaceDN/>
              <w:bidi w:val="0"/>
              <w:adjustRightInd/>
              <w:snapToGrid/>
              <w:spacing w:before="164" w:beforeLines="50"/>
              <w:ind w:firstLine="0" w:firstLineChars="0"/>
              <w:textAlignment w:val="auto"/>
              <w:rPr>
                <w:b/>
                <w:bCs/>
                <w:u w:val="single"/>
              </w:rPr>
            </w:pPr>
            <w:r>
              <w:rPr>
                <w:rFonts w:hint="eastAsia"/>
                <w:b/>
                <w:bCs/>
                <w:u w:val="single"/>
              </w:rPr>
              <w:t>1.2废气污染源汇总</w:t>
            </w:r>
          </w:p>
          <w:p w14:paraId="36DFED56">
            <w:pPr>
              <w:ind w:firstLine="480"/>
              <w:rPr>
                <w:sz w:val="24"/>
                <w:u w:val="single"/>
              </w:rPr>
            </w:pPr>
            <w:r>
              <w:rPr>
                <w:sz w:val="24"/>
                <w:u w:val="single"/>
              </w:rPr>
              <w:t>项目废气污染源源强核算汇总见</w:t>
            </w:r>
            <w:r>
              <w:rPr>
                <w:rFonts w:hint="eastAsia"/>
                <w:sz w:val="24"/>
                <w:u w:val="single"/>
              </w:rPr>
              <w:t>下表</w:t>
            </w:r>
            <w:r>
              <w:rPr>
                <w:sz w:val="24"/>
                <w:u w:val="single"/>
              </w:rPr>
              <w:t>。</w:t>
            </w:r>
          </w:p>
          <w:p w14:paraId="424C3D28">
            <w:pPr>
              <w:pStyle w:val="379"/>
              <w:keepNext w:val="0"/>
              <w:keepLines w:val="0"/>
              <w:pageBreakBefore w:val="0"/>
              <w:widowControl w:val="0"/>
              <w:kinsoku/>
              <w:wordWrap/>
              <w:overflowPunct/>
              <w:topLinePunct w:val="0"/>
              <w:autoSpaceDE/>
              <w:autoSpaceDN/>
              <w:bidi w:val="0"/>
              <w:adjustRightInd/>
              <w:snapToGrid/>
              <w:spacing w:line="240" w:lineRule="auto"/>
              <w:textAlignment w:val="auto"/>
              <w:rPr>
                <w:highlight w:val="none"/>
                <w:u w:val="single"/>
              </w:rPr>
            </w:pPr>
            <w:r>
              <w:rPr>
                <w:b/>
                <w:bCs/>
                <w:highlight w:val="none"/>
                <w:u w:val="single"/>
              </w:rPr>
              <w:t>项目废气污染源强源核算一览表</w:t>
            </w:r>
          </w:p>
          <w:tbl>
            <w:tblPr>
              <w:tblStyle w:val="31"/>
              <w:tblW w:w="49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845"/>
              <w:gridCol w:w="774"/>
              <w:gridCol w:w="1185"/>
              <w:gridCol w:w="1064"/>
              <w:gridCol w:w="1356"/>
              <w:gridCol w:w="3328"/>
              <w:gridCol w:w="974"/>
              <w:gridCol w:w="1238"/>
              <w:gridCol w:w="1264"/>
            </w:tblGrid>
            <w:tr w14:paraId="604997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29" w:type="pct"/>
                  <w:vAlign w:val="center"/>
                </w:tcPr>
                <w:p w14:paraId="0625CDD2">
                  <w:pPr>
                    <w:spacing w:line="240" w:lineRule="auto"/>
                    <w:ind w:firstLine="0" w:firstLineChars="0"/>
                    <w:jc w:val="center"/>
                    <w:rPr>
                      <w:rFonts w:hint="default" w:eastAsia="宋体"/>
                      <w:b/>
                      <w:bCs/>
                      <w:color w:val="000000"/>
                      <w:sz w:val="21"/>
                      <w:szCs w:val="21"/>
                      <w:highlight w:val="none"/>
                      <w:u w:val="single"/>
                      <w:lang w:val="en-US" w:eastAsia="zh-CN"/>
                    </w:rPr>
                  </w:pPr>
                  <w:r>
                    <w:rPr>
                      <w:rFonts w:hint="eastAsia"/>
                      <w:b/>
                      <w:bCs/>
                      <w:color w:val="000000"/>
                      <w:sz w:val="21"/>
                      <w:szCs w:val="21"/>
                      <w:highlight w:val="none"/>
                      <w:u w:val="single"/>
                      <w:lang w:val="en-US" w:eastAsia="zh-CN"/>
                    </w:rPr>
                    <w:t>污染源</w:t>
                  </w:r>
                </w:p>
              </w:tc>
              <w:tc>
                <w:tcPr>
                  <w:tcW w:w="321" w:type="pct"/>
                  <w:tcBorders>
                    <w:tl2br w:val="nil"/>
                    <w:tr2bl w:val="nil"/>
                  </w:tcBorders>
                  <w:vAlign w:val="center"/>
                </w:tcPr>
                <w:p w14:paraId="05773D69">
                  <w:pPr>
                    <w:spacing w:line="240" w:lineRule="auto"/>
                    <w:ind w:firstLine="0" w:firstLineChars="0"/>
                    <w:jc w:val="center"/>
                    <w:rPr>
                      <w:b/>
                      <w:bCs/>
                      <w:color w:val="000000"/>
                      <w:sz w:val="21"/>
                      <w:szCs w:val="21"/>
                      <w:highlight w:val="none"/>
                      <w:u w:val="single"/>
                    </w:rPr>
                  </w:pPr>
                  <w:r>
                    <w:rPr>
                      <w:rFonts w:hint="eastAsia"/>
                      <w:b/>
                      <w:bCs/>
                      <w:color w:val="000000"/>
                      <w:sz w:val="21"/>
                      <w:szCs w:val="21"/>
                      <w:highlight w:val="none"/>
                      <w:u w:val="single"/>
                    </w:rPr>
                    <w:t>污染因子</w:t>
                  </w:r>
                </w:p>
              </w:tc>
              <w:tc>
                <w:tcPr>
                  <w:tcW w:w="294" w:type="pct"/>
                  <w:tcBorders>
                    <w:tl2br w:val="nil"/>
                    <w:tr2bl w:val="nil"/>
                  </w:tcBorders>
                  <w:vAlign w:val="center"/>
                </w:tcPr>
                <w:p w14:paraId="05C1FA42">
                  <w:pPr>
                    <w:spacing w:line="240" w:lineRule="auto"/>
                    <w:ind w:firstLine="0" w:firstLineChars="0"/>
                    <w:jc w:val="center"/>
                    <w:rPr>
                      <w:b/>
                      <w:bCs/>
                      <w:color w:val="000000"/>
                      <w:sz w:val="21"/>
                      <w:szCs w:val="21"/>
                      <w:highlight w:val="none"/>
                      <w:u w:val="single"/>
                      <w:lang w:bidi="en-US"/>
                    </w:rPr>
                  </w:pPr>
                  <w:r>
                    <w:rPr>
                      <w:b/>
                      <w:bCs/>
                      <w:color w:val="000000"/>
                      <w:sz w:val="21"/>
                      <w:szCs w:val="21"/>
                      <w:highlight w:val="none"/>
                      <w:u w:val="single"/>
                    </w:rPr>
                    <w:t>排放形式</w:t>
                  </w:r>
                </w:p>
              </w:tc>
              <w:tc>
                <w:tcPr>
                  <w:tcW w:w="450" w:type="pct"/>
                  <w:tcBorders>
                    <w:tl2br w:val="nil"/>
                    <w:tr2bl w:val="nil"/>
                  </w:tcBorders>
                  <w:vAlign w:val="center"/>
                </w:tcPr>
                <w:p w14:paraId="6096923C">
                  <w:pPr>
                    <w:spacing w:line="240" w:lineRule="auto"/>
                    <w:ind w:firstLine="0" w:firstLineChars="0"/>
                    <w:jc w:val="center"/>
                    <w:rPr>
                      <w:b/>
                      <w:bCs/>
                      <w:color w:val="000000"/>
                      <w:sz w:val="21"/>
                      <w:szCs w:val="21"/>
                      <w:highlight w:val="none"/>
                      <w:u w:val="single"/>
                      <w:lang w:bidi="en-US"/>
                    </w:rPr>
                  </w:pPr>
                  <w:r>
                    <w:rPr>
                      <w:b/>
                      <w:bCs/>
                      <w:color w:val="000000"/>
                      <w:sz w:val="21"/>
                      <w:szCs w:val="21"/>
                      <w:highlight w:val="none"/>
                      <w:u w:val="single"/>
                    </w:rPr>
                    <w:t>产生量t/a</w:t>
                  </w:r>
                </w:p>
              </w:tc>
              <w:tc>
                <w:tcPr>
                  <w:tcW w:w="404" w:type="pct"/>
                  <w:tcBorders>
                    <w:tl2br w:val="nil"/>
                    <w:tr2bl w:val="nil"/>
                  </w:tcBorders>
                  <w:vAlign w:val="center"/>
                </w:tcPr>
                <w:p w14:paraId="7D0A2B2C">
                  <w:pPr>
                    <w:spacing w:line="240" w:lineRule="auto"/>
                    <w:ind w:firstLine="0" w:firstLineChars="0"/>
                    <w:jc w:val="center"/>
                    <w:rPr>
                      <w:b/>
                      <w:bCs/>
                      <w:color w:val="000000"/>
                      <w:sz w:val="21"/>
                      <w:szCs w:val="21"/>
                      <w:highlight w:val="none"/>
                      <w:u w:val="single"/>
                    </w:rPr>
                  </w:pPr>
                  <w:r>
                    <w:rPr>
                      <w:b/>
                      <w:bCs/>
                      <w:color w:val="000000"/>
                      <w:sz w:val="21"/>
                      <w:szCs w:val="21"/>
                      <w:highlight w:val="none"/>
                      <w:u w:val="single"/>
                    </w:rPr>
                    <w:t>产生</w:t>
                  </w:r>
                </w:p>
                <w:p w14:paraId="798C7857">
                  <w:pPr>
                    <w:spacing w:line="240" w:lineRule="auto"/>
                    <w:ind w:firstLine="0" w:firstLineChars="0"/>
                    <w:jc w:val="center"/>
                    <w:rPr>
                      <w:b/>
                      <w:bCs/>
                      <w:color w:val="000000"/>
                      <w:sz w:val="21"/>
                      <w:szCs w:val="21"/>
                      <w:highlight w:val="none"/>
                      <w:u w:val="single"/>
                      <w:lang w:bidi="en-US"/>
                    </w:rPr>
                  </w:pPr>
                  <w:r>
                    <w:rPr>
                      <w:b/>
                      <w:bCs/>
                      <w:color w:val="000000"/>
                      <w:sz w:val="21"/>
                      <w:szCs w:val="21"/>
                      <w:highlight w:val="none"/>
                      <w:u w:val="single"/>
                    </w:rPr>
                    <w:t>速率kg/h</w:t>
                  </w:r>
                </w:p>
              </w:tc>
              <w:tc>
                <w:tcPr>
                  <w:tcW w:w="515" w:type="pct"/>
                  <w:tcBorders>
                    <w:tl2br w:val="nil"/>
                    <w:tr2bl w:val="nil"/>
                  </w:tcBorders>
                  <w:vAlign w:val="center"/>
                </w:tcPr>
                <w:p w14:paraId="771F6CE2">
                  <w:pPr>
                    <w:spacing w:line="240" w:lineRule="auto"/>
                    <w:ind w:firstLine="0" w:firstLineChars="0"/>
                    <w:jc w:val="center"/>
                    <w:rPr>
                      <w:b/>
                      <w:bCs/>
                      <w:color w:val="000000"/>
                      <w:sz w:val="21"/>
                      <w:szCs w:val="21"/>
                      <w:highlight w:val="none"/>
                      <w:u w:val="single"/>
                    </w:rPr>
                  </w:pPr>
                  <w:r>
                    <w:rPr>
                      <w:b/>
                      <w:bCs/>
                      <w:color w:val="000000"/>
                      <w:sz w:val="21"/>
                      <w:szCs w:val="21"/>
                      <w:highlight w:val="none"/>
                      <w:u w:val="single"/>
                    </w:rPr>
                    <w:t>产生</w:t>
                  </w:r>
                </w:p>
                <w:p w14:paraId="2C9E9D5A">
                  <w:pPr>
                    <w:spacing w:line="240" w:lineRule="auto"/>
                    <w:ind w:firstLine="0" w:firstLineChars="0"/>
                    <w:jc w:val="center"/>
                    <w:rPr>
                      <w:b/>
                      <w:bCs/>
                      <w:color w:val="000000"/>
                      <w:sz w:val="21"/>
                      <w:szCs w:val="21"/>
                      <w:highlight w:val="none"/>
                      <w:u w:val="single"/>
                    </w:rPr>
                  </w:pPr>
                  <w:r>
                    <w:rPr>
                      <w:b/>
                      <w:bCs/>
                      <w:color w:val="000000"/>
                      <w:sz w:val="21"/>
                      <w:szCs w:val="21"/>
                      <w:highlight w:val="none"/>
                      <w:u w:val="single"/>
                    </w:rPr>
                    <w:t>浓度mg/m</w:t>
                  </w:r>
                  <w:r>
                    <w:rPr>
                      <w:b/>
                      <w:bCs/>
                      <w:color w:val="000000"/>
                      <w:sz w:val="21"/>
                      <w:szCs w:val="21"/>
                      <w:highlight w:val="none"/>
                      <w:u w:val="single"/>
                      <w:vertAlign w:val="superscript"/>
                    </w:rPr>
                    <w:t>3</w:t>
                  </w:r>
                </w:p>
              </w:tc>
              <w:tc>
                <w:tcPr>
                  <w:tcW w:w="1264" w:type="pct"/>
                  <w:tcBorders>
                    <w:tl2br w:val="nil"/>
                    <w:tr2bl w:val="nil"/>
                  </w:tcBorders>
                  <w:vAlign w:val="center"/>
                </w:tcPr>
                <w:p w14:paraId="240C7AD9">
                  <w:pPr>
                    <w:spacing w:line="240" w:lineRule="auto"/>
                    <w:ind w:firstLine="0" w:firstLineChars="0"/>
                    <w:jc w:val="center"/>
                    <w:rPr>
                      <w:b/>
                      <w:bCs/>
                      <w:color w:val="000000"/>
                      <w:sz w:val="21"/>
                      <w:szCs w:val="21"/>
                      <w:highlight w:val="none"/>
                      <w:u w:val="single"/>
                      <w:lang w:bidi="en-US"/>
                    </w:rPr>
                  </w:pPr>
                  <w:r>
                    <w:rPr>
                      <w:b/>
                      <w:bCs/>
                      <w:color w:val="000000"/>
                      <w:sz w:val="21"/>
                      <w:szCs w:val="21"/>
                      <w:highlight w:val="none"/>
                      <w:u w:val="single"/>
                    </w:rPr>
                    <w:t>治理措施</w:t>
                  </w:r>
                </w:p>
              </w:tc>
              <w:tc>
                <w:tcPr>
                  <w:tcW w:w="370" w:type="pct"/>
                  <w:tcBorders>
                    <w:tl2br w:val="nil"/>
                    <w:tr2bl w:val="nil"/>
                  </w:tcBorders>
                  <w:vAlign w:val="center"/>
                </w:tcPr>
                <w:p w14:paraId="48AFBE15">
                  <w:pPr>
                    <w:spacing w:line="240" w:lineRule="auto"/>
                    <w:ind w:firstLine="0" w:firstLineChars="0"/>
                    <w:jc w:val="center"/>
                    <w:rPr>
                      <w:b/>
                      <w:bCs/>
                      <w:color w:val="000000"/>
                      <w:sz w:val="21"/>
                      <w:szCs w:val="21"/>
                      <w:highlight w:val="none"/>
                      <w:u w:val="single"/>
                      <w:lang w:bidi="en-US"/>
                    </w:rPr>
                  </w:pPr>
                  <w:r>
                    <w:rPr>
                      <w:b/>
                      <w:bCs/>
                      <w:color w:val="000000"/>
                      <w:sz w:val="21"/>
                      <w:szCs w:val="21"/>
                      <w:highlight w:val="none"/>
                      <w:u w:val="single"/>
                    </w:rPr>
                    <w:t>排放量（t/a）</w:t>
                  </w:r>
                </w:p>
              </w:tc>
              <w:tc>
                <w:tcPr>
                  <w:tcW w:w="470" w:type="pct"/>
                  <w:tcBorders>
                    <w:tl2br w:val="nil"/>
                    <w:tr2bl w:val="nil"/>
                  </w:tcBorders>
                  <w:vAlign w:val="center"/>
                </w:tcPr>
                <w:p w14:paraId="39608BF4">
                  <w:pPr>
                    <w:spacing w:line="240" w:lineRule="auto"/>
                    <w:ind w:firstLine="0" w:firstLineChars="0"/>
                    <w:jc w:val="center"/>
                    <w:rPr>
                      <w:b/>
                      <w:bCs/>
                      <w:color w:val="000000"/>
                      <w:sz w:val="21"/>
                      <w:szCs w:val="21"/>
                      <w:highlight w:val="none"/>
                      <w:u w:val="single"/>
                      <w:lang w:bidi="en-US"/>
                    </w:rPr>
                  </w:pPr>
                  <w:r>
                    <w:rPr>
                      <w:b/>
                      <w:bCs/>
                      <w:color w:val="000000"/>
                      <w:sz w:val="21"/>
                      <w:szCs w:val="21"/>
                      <w:highlight w:val="none"/>
                      <w:u w:val="single"/>
                    </w:rPr>
                    <w:t>排放速率（kg/h）</w:t>
                  </w:r>
                </w:p>
              </w:tc>
              <w:tc>
                <w:tcPr>
                  <w:tcW w:w="480" w:type="pct"/>
                  <w:tcBorders>
                    <w:tl2br w:val="nil"/>
                    <w:tr2bl w:val="nil"/>
                  </w:tcBorders>
                  <w:vAlign w:val="center"/>
                </w:tcPr>
                <w:p w14:paraId="2C4ADFA6">
                  <w:pPr>
                    <w:spacing w:line="240" w:lineRule="auto"/>
                    <w:ind w:firstLine="0" w:firstLineChars="0"/>
                    <w:jc w:val="center"/>
                    <w:rPr>
                      <w:b/>
                      <w:bCs/>
                      <w:color w:val="000000"/>
                      <w:sz w:val="21"/>
                      <w:szCs w:val="21"/>
                      <w:highlight w:val="none"/>
                      <w:u w:val="single"/>
                    </w:rPr>
                  </w:pPr>
                  <w:r>
                    <w:rPr>
                      <w:b/>
                      <w:bCs/>
                      <w:color w:val="000000"/>
                      <w:sz w:val="21"/>
                      <w:szCs w:val="21"/>
                      <w:highlight w:val="none"/>
                      <w:u w:val="single"/>
                    </w:rPr>
                    <w:t>排放浓度（mg/m</w:t>
                  </w:r>
                  <w:r>
                    <w:rPr>
                      <w:b/>
                      <w:bCs/>
                      <w:color w:val="000000"/>
                      <w:sz w:val="21"/>
                      <w:szCs w:val="21"/>
                      <w:highlight w:val="none"/>
                      <w:u w:val="single"/>
                      <w:vertAlign w:val="superscript"/>
                    </w:rPr>
                    <w:t>3</w:t>
                  </w:r>
                  <w:r>
                    <w:rPr>
                      <w:b/>
                      <w:bCs/>
                      <w:color w:val="000000"/>
                      <w:sz w:val="21"/>
                      <w:szCs w:val="21"/>
                      <w:highlight w:val="none"/>
                      <w:u w:val="single"/>
                    </w:rPr>
                    <w:t>）</w:t>
                  </w:r>
                </w:p>
              </w:tc>
            </w:tr>
            <w:tr w14:paraId="193CE5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29" w:type="pct"/>
                  <w:vAlign w:val="center"/>
                </w:tcPr>
                <w:p w14:paraId="6C843817">
                  <w:pPr>
                    <w:spacing w:line="240" w:lineRule="auto"/>
                    <w:ind w:firstLine="0" w:firstLineChars="0"/>
                    <w:jc w:val="center"/>
                    <w:rPr>
                      <w:rFonts w:hint="default" w:eastAsia="宋体"/>
                      <w:color w:val="000000"/>
                      <w:sz w:val="21"/>
                      <w:szCs w:val="21"/>
                      <w:highlight w:val="none"/>
                      <w:u w:val="single"/>
                      <w:lang w:val="en-US" w:eastAsia="zh-CN"/>
                    </w:rPr>
                  </w:pPr>
                  <w:r>
                    <w:rPr>
                      <w:rFonts w:hint="eastAsia"/>
                      <w:color w:val="000000"/>
                      <w:sz w:val="21"/>
                      <w:szCs w:val="21"/>
                      <w:highlight w:val="none"/>
                      <w:u w:val="single"/>
                      <w:lang w:val="en-US" w:eastAsia="zh-CN"/>
                    </w:rPr>
                    <w:t>一期仓顶除尘器排气口P1</w:t>
                  </w:r>
                </w:p>
              </w:tc>
              <w:tc>
                <w:tcPr>
                  <w:tcW w:w="321" w:type="pct"/>
                  <w:vMerge w:val="restart"/>
                  <w:tcBorders>
                    <w:tl2br w:val="nil"/>
                    <w:tr2bl w:val="nil"/>
                  </w:tcBorders>
                  <w:shd w:val="clear" w:color="auto" w:fill="auto"/>
                  <w:vAlign w:val="center"/>
                </w:tcPr>
                <w:p w14:paraId="58F9EA18">
                  <w:pPr>
                    <w:spacing w:line="240" w:lineRule="auto"/>
                    <w:ind w:firstLine="0" w:firstLineChars="0"/>
                    <w:jc w:val="center"/>
                    <w:rPr>
                      <w:rFonts w:ascii="Times New Roman" w:hAnsi="Times New Roman" w:eastAsia="宋体" w:cs="Times New Roman"/>
                      <w:color w:val="000000"/>
                      <w:sz w:val="21"/>
                      <w:szCs w:val="21"/>
                      <w:highlight w:val="none"/>
                      <w:u w:val="single"/>
                      <w:lang w:val="en-US" w:eastAsia="zh-CN" w:bidi="ar-SA"/>
                    </w:rPr>
                  </w:pPr>
                  <w:r>
                    <w:rPr>
                      <w:rFonts w:hint="eastAsia"/>
                      <w:color w:val="000000"/>
                      <w:sz w:val="21"/>
                      <w:szCs w:val="21"/>
                      <w:highlight w:val="none"/>
                      <w:u w:val="single"/>
                    </w:rPr>
                    <w:t>颗粒物</w:t>
                  </w:r>
                </w:p>
              </w:tc>
              <w:tc>
                <w:tcPr>
                  <w:tcW w:w="294" w:type="pct"/>
                  <w:vMerge w:val="restart"/>
                  <w:tcBorders>
                    <w:tl2br w:val="nil"/>
                    <w:tr2bl w:val="nil"/>
                  </w:tcBorders>
                  <w:shd w:val="clear" w:color="auto" w:fill="auto"/>
                  <w:vAlign w:val="center"/>
                </w:tcPr>
                <w:p w14:paraId="235342CB">
                  <w:pPr>
                    <w:spacing w:line="240" w:lineRule="auto"/>
                    <w:ind w:firstLine="0" w:firstLineChars="0"/>
                    <w:jc w:val="center"/>
                    <w:rPr>
                      <w:rFonts w:ascii="Times New Roman" w:hAnsi="Times New Roman" w:eastAsia="宋体" w:cs="Times New Roman"/>
                      <w:color w:val="000000"/>
                      <w:sz w:val="21"/>
                      <w:szCs w:val="21"/>
                      <w:highlight w:val="none"/>
                      <w:u w:val="single"/>
                      <w:lang w:val="en-US" w:eastAsia="zh-CN" w:bidi="ar-SA"/>
                    </w:rPr>
                  </w:pPr>
                  <w:r>
                    <w:rPr>
                      <w:color w:val="000000"/>
                      <w:sz w:val="21"/>
                      <w:szCs w:val="21"/>
                      <w:highlight w:val="none"/>
                      <w:u w:val="single"/>
                    </w:rPr>
                    <w:t>有组织</w:t>
                  </w:r>
                </w:p>
              </w:tc>
              <w:tc>
                <w:tcPr>
                  <w:tcW w:w="1185" w:type="dxa"/>
                  <w:tcBorders>
                    <w:tl2br w:val="nil"/>
                    <w:tr2bl w:val="nil"/>
                  </w:tcBorders>
                  <w:vAlign w:val="center"/>
                </w:tcPr>
                <w:p w14:paraId="536DA16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等线"/>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29.55</w:t>
                  </w:r>
                </w:p>
              </w:tc>
              <w:tc>
                <w:tcPr>
                  <w:tcW w:w="1064" w:type="dxa"/>
                  <w:tcBorders>
                    <w:tl2br w:val="nil"/>
                    <w:tr2bl w:val="nil"/>
                  </w:tcBorders>
                  <w:vAlign w:val="center"/>
                </w:tcPr>
                <w:p w14:paraId="0604197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等线"/>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3.37</w:t>
                  </w:r>
                </w:p>
              </w:tc>
              <w:tc>
                <w:tcPr>
                  <w:tcW w:w="1356" w:type="dxa"/>
                  <w:tcBorders>
                    <w:tl2br w:val="nil"/>
                    <w:tr2bl w:val="nil"/>
                  </w:tcBorders>
                  <w:vAlign w:val="center"/>
                </w:tcPr>
                <w:p w14:paraId="6D351CC1">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416.46</w:t>
                  </w:r>
                </w:p>
              </w:tc>
              <w:tc>
                <w:tcPr>
                  <w:tcW w:w="1264" w:type="pct"/>
                  <w:tcBorders>
                    <w:tl2br w:val="nil"/>
                    <w:tr2bl w:val="nil"/>
                  </w:tcBorders>
                  <w:vAlign w:val="center"/>
                </w:tcPr>
                <w:p w14:paraId="43797841">
                  <w:pPr>
                    <w:spacing w:line="240" w:lineRule="auto"/>
                    <w:ind w:firstLine="0" w:firstLineChars="0"/>
                    <w:jc w:val="center"/>
                    <w:rPr>
                      <w:rFonts w:hint="default" w:eastAsia="宋体"/>
                      <w:color w:val="000000"/>
                      <w:sz w:val="21"/>
                      <w:szCs w:val="21"/>
                      <w:highlight w:val="none"/>
                      <w:u w:val="single"/>
                      <w:lang w:val="en-US" w:eastAsia="zh-CN"/>
                    </w:rPr>
                  </w:pPr>
                  <w:r>
                    <w:rPr>
                      <w:rFonts w:hint="eastAsia"/>
                      <w:color w:val="000000"/>
                      <w:sz w:val="21"/>
                      <w:szCs w:val="21"/>
                      <w:highlight w:val="none"/>
                      <w:u w:val="single"/>
                      <w:lang w:val="en-US" w:eastAsia="zh-CN"/>
                    </w:rPr>
                    <w:t>脉冲布袋除尘器，收集效率100%，处理效率99%，风机风量8100m</w:t>
                  </w:r>
                  <w:r>
                    <w:rPr>
                      <w:rFonts w:hint="eastAsia"/>
                      <w:color w:val="000000"/>
                      <w:sz w:val="21"/>
                      <w:szCs w:val="21"/>
                      <w:highlight w:val="none"/>
                      <w:u w:val="single"/>
                      <w:vertAlign w:val="superscript"/>
                      <w:lang w:val="en-US" w:eastAsia="zh-CN"/>
                    </w:rPr>
                    <w:t>3</w:t>
                  </w:r>
                  <w:r>
                    <w:rPr>
                      <w:rFonts w:hint="eastAsia"/>
                      <w:color w:val="000000"/>
                      <w:sz w:val="21"/>
                      <w:szCs w:val="21"/>
                      <w:highlight w:val="none"/>
                      <w:u w:val="single"/>
                      <w:lang w:val="en-US" w:eastAsia="zh-CN"/>
                    </w:rPr>
                    <w:t>/h</w:t>
                  </w:r>
                </w:p>
              </w:tc>
              <w:tc>
                <w:tcPr>
                  <w:tcW w:w="974" w:type="dxa"/>
                  <w:tcBorders>
                    <w:tl2br w:val="nil"/>
                    <w:tr2bl w:val="nil"/>
                  </w:tcBorders>
                  <w:vAlign w:val="center"/>
                </w:tcPr>
                <w:p w14:paraId="2C7506E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0.2955</w:t>
                  </w:r>
                </w:p>
              </w:tc>
              <w:tc>
                <w:tcPr>
                  <w:tcW w:w="1238" w:type="dxa"/>
                  <w:tcBorders>
                    <w:tl2br w:val="nil"/>
                    <w:tr2bl w:val="nil"/>
                  </w:tcBorders>
                  <w:vAlign w:val="center"/>
                </w:tcPr>
                <w:p w14:paraId="01C932E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0.034</w:t>
                  </w:r>
                </w:p>
              </w:tc>
              <w:tc>
                <w:tcPr>
                  <w:tcW w:w="1264" w:type="dxa"/>
                  <w:tcBorders>
                    <w:tl2br w:val="nil"/>
                    <w:tr2bl w:val="nil"/>
                  </w:tcBorders>
                  <w:vAlign w:val="center"/>
                </w:tcPr>
                <w:p w14:paraId="3409547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4.164</w:t>
                  </w:r>
                </w:p>
              </w:tc>
            </w:tr>
            <w:tr w14:paraId="04153C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29" w:type="pct"/>
                  <w:vAlign w:val="center"/>
                </w:tcPr>
                <w:p w14:paraId="22BE7AAD">
                  <w:pPr>
                    <w:spacing w:line="240" w:lineRule="auto"/>
                    <w:ind w:firstLine="0" w:firstLineChars="0"/>
                    <w:jc w:val="center"/>
                    <w:rPr>
                      <w:rFonts w:hint="default" w:eastAsia="宋体"/>
                      <w:color w:val="000000"/>
                      <w:sz w:val="21"/>
                      <w:szCs w:val="21"/>
                      <w:highlight w:val="none"/>
                      <w:u w:val="single"/>
                      <w:lang w:val="en-US" w:eastAsia="zh-CN"/>
                    </w:rPr>
                  </w:pPr>
                  <w:r>
                    <w:rPr>
                      <w:rFonts w:hint="eastAsia"/>
                      <w:color w:val="000000"/>
                      <w:sz w:val="21"/>
                      <w:szCs w:val="21"/>
                      <w:highlight w:val="none"/>
                      <w:u w:val="single"/>
                      <w:lang w:val="en-US" w:eastAsia="zh-CN"/>
                    </w:rPr>
                    <w:t>一期仓顶除尘器排气口P2</w:t>
                  </w:r>
                </w:p>
              </w:tc>
              <w:tc>
                <w:tcPr>
                  <w:tcW w:w="321" w:type="pct"/>
                  <w:vMerge w:val="continue"/>
                  <w:tcBorders>
                    <w:tl2br w:val="nil"/>
                    <w:tr2bl w:val="nil"/>
                  </w:tcBorders>
                  <w:shd w:val="clear" w:color="auto" w:fill="auto"/>
                  <w:vAlign w:val="center"/>
                </w:tcPr>
                <w:p w14:paraId="446CF3D5">
                  <w:pPr>
                    <w:spacing w:line="240" w:lineRule="auto"/>
                    <w:ind w:firstLine="0" w:firstLineChars="0"/>
                    <w:jc w:val="center"/>
                    <w:rPr>
                      <w:rFonts w:ascii="Times New Roman" w:hAnsi="Times New Roman" w:eastAsia="宋体" w:cs="Times New Roman"/>
                      <w:color w:val="000000"/>
                      <w:sz w:val="21"/>
                      <w:szCs w:val="21"/>
                      <w:highlight w:val="none"/>
                      <w:u w:val="single"/>
                      <w:lang w:val="en-US" w:eastAsia="zh-CN" w:bidi="ar-SA"/>
                    </w:rPr>
                  </w:pPr>
                </w:p>
              </w:tc>
              <w:tc>
                <w:tcPr>
                  <w:tcW w:w="294" w:type="pct"/>
                  <w:vMerge w:val="continue"/>
                  <w:tcBorders>
                    <w:tl2br w:val="nil"/>
                    <w:tr2bl w:val="nil"/>
                  </w:tcBorders>
                  <w:shd w:val="clear" w:color="auto" w:fill="auto"/>
                  <w:vAlign w:val="center"/>
                </w:tcPr>
                <w:p w14:paraId="3F5B12D0">
                  <w:pPr>
                    <w:spacing w:line="240" w:lineRule="auto"/>
                    <w:ind w:firstLine="0" w:firstLineChars="0"/>
                    <w:jc w:val="center"/>
                    <w:rPr>
                      <w:rFonts w:ascii="Times New Roman" w:hAnsi="Times New Roman" w:eastAsia="宋体" w:cs="Times New Roman"/>
                      <w:color w:val="000000"/>
                      <w:sz w:val="21"/>
                      <w:szCs w:val="21"/>
                      <w:highlight w:val="none"/>
                      <w:u w:val="single"/>
                      <w:lang w:val="en-US" w:eastAsia="zh-CN" w:bidi="ar-SA"/>
                    </w:rPr>
                  </w:pPr>
                </w:p>
              </w:tc>
              <w:tc>
                <w:tcPr>
                  <w:tcW w:w="1185" w:type="dxa"/>
                  <w:tcBorders>
                    <w:tl2br w:val="nil"/>
                    <w:tr2bl w:val="nil"/>
                  </w:tcBorders>
                  <w:vAlign w:val="center"/>
                </w:tcPr>
                <w:p w14:paraId="6C038A76">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29.55</w:t>
                  </w:r>
                </w:p>
              </w:tc>
              <w:tc>
                <w:tcPr>
                  <w:tcW w:w="1064" w:type="dxa"/>
                  <w:tcBorders>
                    <w:tl2br w:val="nil"/>
                    <w:tr2bl w:val="nil"/>
                  </w:tcBorders>
                  <w:vAlign w:val="center"/>
                </w:tcPr>
                <w:p w14:paraId="16AA795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3.37</w:t>
                  </w:r>
                </w:p>
              </w:tc>
              <w:tc>
                <w:tcPr>
                  <w:tcW w:w="1356" w:type="dxa"/>
                  <w:tcBorders>
                    <w:tl2br w:val="nil"/>
                    <w:tr2bl w:val="nil"/>
                  </w:tcBorders>
                  <w:vAlign w:val="center"/>
                </w:tcPr>
                <w:p w14:paraId="4F0E4D7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416.46</w:t>
                  </w:r>
                </w:p>
              </w:tc>
              <w:tc>
                <w:tcPr>
                  <w:tcW w:w="1264" w:type="pct"/>
                  <w:tcBorders>
                    <w:tl2br w:val="nil"/>
                    <w:tr2bl w:val="nil"/>
                  </w:tcBorders>
                  <w:shd w:val="clear" w:color="auto" w:fill="auto"/>
                  <w:vAlign w:val="center"/>
                </w:tcPr>
                <w:p w14:paraId="44226BF7">
                  <w:pPr>
                    <w:spacing w:line="240" w:lineRule="auto"/>
                    <w:ind w:firstLine="0" w:firstLineChars="0"/>
                    <w:jc w:val="center"/>
                    <w:rPr>
                      <w:rFonts w:hint="default" w:ascii="Times New Roman" w:hAnsi="Times New Roman" w:eastAsia="宋体" w:cs="Times New Roman"/>
                      <w:color w:val="000000"/>
                      <w:sz w:val="21"/>
                      <w:szCs w:val="21"/>
                      <w:highlight w:val="none"/>
                      <w:u w:val="single"/>
                      <w:lang w:val="en-US" w:eastAsia="zh-CN" w:bidi="ar-SA"/>
                    </w:rPr>
                  </w:pPr>
                  <w:r>
                    <w:rPr>
                      <w:rFonts w:hint="eastAsia"/>
                      <w:color w:val="000000"/>
                      <w:sz w:val="21"/>
                      <w:szCs w:val="21"/>
                      <w:highlight w:val="none"/>
                      <w:u w:val="single"/>
                      <w:lang w:val="en-US" w:eastAsia="zh-CN"/>
                    </w:rPr>
                    <w:t>脉冲布袋除尘器，收集效率100%，处理效率99%，风机风量8100m</w:t>
                  </w:r>
                  <w:r>
                    <w:rPr>
                      <w:rFonts w:hint="eastAsia"/>
                      <w:color w:val="000000"/>
                      <w:sz w:val="21"/>
                      <w:szCs w:val="21"/>
                      <w:highlight w:val="none"/>
                      <w:u w:val="single"/>
                      <w:vertAlign w:val="superscript"/>
                      <w:lang w:val="en-US" w:eastAsia="zh-CN"/>
                    </w:rPr>
                    <w:t>3</w:t>
                  </w:r>
                  <w:r>
                    <w:rPr>
                      <w:rFonts w:hint="eastAsia"/>
                      <w:color w:val="000000"/>
                      <w:sz w:val="21"/>
                      <w:szCs w:val="21"/>
                      <w:highlight w:val="none"/>
                      <w:u w:val="single"/>
                      <w:lang w:val="en-US" w:eastAsia="zh-CN"/>
                    </w:rPr>
                    <w:t>/h</w:t>
                  </w:r>
                </w:p>
              </w:tc>
              <w:tc>
                <w:tcPr>
                  <w:tcW w:w="974" w:type="dxa"/>
                  <w:tcBorders>
                    <w:tl2br w:val="nil"/>
                    <w:tr2bl w:val="nil"/>
                  </w:tcBorders>
                  <w:vAlign w:val="center"/>
                </w:tcPr>
                <w:p w14:paraId="10A9706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0.2955</w:t>
                  </w:r>
                </w:p>
              </w:tc>
              <w:tc>
                <w:tcPr>
                  <w:tcW w:w="1238" w:type="dxa"/>
                  <w:tcBorders>
                    <w:tl2br w:val="nil"/>
                    <w:tr2bl w:val="nil"/>
                  </w:tcBorders>
                  <w:vAlign w:val="center"/>
                </w:tcPr>
                <w:p w14:paraId="32ABD95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0.034</w:t>
                  </w:r>
                </w:p>
              </w:tc>
              <w:tc>
                <w:tcPr>
                  <w:tcW w:w="1264" w:type="dxa"/>
                  <w:tcBorders>
                    <w:tl2br w:val="nil"/>
                    <w:tr2bl w:val="nil"/>
                  </w:tcBorders>
                  <w:vAlign w:val="center"/>
                </w:tcPr>
                <w:p w14:paraId="2BB53307">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4.164</w:t>
                  </w:r>
                </w:p>
              </w:tc>
            </w:tr>
            <w:tr w14:paraId="597F38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29" w:type="pct"/>
                  <w:vAlign w:val="center"/>
                </w:tcPr>
                <w:p w14:paraId="75D527B8">
                  <w:pPr>
                    <w:spacing w:line="240" w:lineRule="auto"/>
                    <w:ind w:firstLine="0" w:firstLineChars="0"/>
                    <w:jc w:val="center"/>
                    <w:rPr>
                      <w:rFonts w:hint="default"/>
                      <w:color w:val="000000"/>
                      <w:sz w:val="21"/>
                      <w:szCs w:val="21"/>
                      <w:highlight w:val="none"/>
                      <w:u w:val="single"/>
                      <w:lang w:val="en-US" w:eastAsia="zh-CN"/>
                    </w:rPr>
                  </w:pPr>
                  <w:r>
                    <w:rPr>
                      <w:rFonts w:hint="eastAsia"/>
                      <w:color w:val="000000"/>
                      <w:sz w:val="21"/>
                      <w:szCs w:val="21"/>
                      <w:highlight w:val="none"/>
                      <w:u w:val="single"/>
                      <w:lang w:val="en-US" w:eastAsia="zh-CN"/>
                    </w:rPr>
                    <w:t>二期仓顶除尘器排气口P3</w:t>
                  </w:r>
                </w:p>
              </w:tc>
              <w:tc>
                <w:tcPr>
                  <w:tcW w:w="321" w:type="pct"/>
                  <w:vMerge w:val="continue"/>
                  <w:tcBorders>
                    <w:tl2br w:val="nil"/>
                    <w:tr2bl w:val="nil"/>
                  </w:tcBorders>
                  <w:shd w:val="clear" w:color="auto" w:fill="auto"/>
                  <w:vAlign w:val="center"/>
                </w:tcPr>
                <w:p w14:paraId="74D327BA">
                  <w:pPr>
                    <w:spacing w:line="240" w:lineRule="auto"/>
                    <w:ind w:firstLine="0" w:firstLineChars="0"/>
                    <w:jc w:val="center"/>
                    <w:rPr>
                      <w:rFonts w:hint="eastAsia"/>
                      <w:color w:val="000000"/>
                      <w:sz w:val="21"/>
                      <w:szCs w:val="21"/>
                      <w:highlight w:val="none"/>
                      <w:u w:val="single"/>
                    </w:rPr>
                  </w:pPr>
                </w:p>
              </w:tc>
              <w:tc>
                <w:tcPr>
                  <w:tcW w:w="294" w:type="pct"/>
                  <w:vMerge w:val="continue"/>
                  <w:tcBorders>
                    <w:tl2br w:val="nil"/>
                    <w:tr2bl w:val="nil"/>
                  </w:tcBorders>
                  <w:shd w:val="clear" w:color="auto" w:fill="auto"/>
                  <w:vAlign w:val="center"/>
                </w:tcPr>
                <w:p w14:paraId="22E55422">
                  <w:pPr>
                    <w:spacing w:line="240" w:lineRule="auto"/>
                    <w:ind w:firstLine="0" w:firstLineChars="0"/>
                    <w:jc w:val="center"/>
                    <w:rPr>
                      <w:rFonts w:hint="eastAsia"/>
                      <w:color w:val="000000"/>
                      <w:sz w:val="21"/>
                      <w:szCs w:val="21"/>
                      <w:highlight w:val="none"/>
                      <w:u w:val="single"/>
                    </w:rPr>
                  </w:pPr>
                </w:p>
              </w:tc>
              <w:tc>
                <w:tcPr>
                  <w:tcW w:w="1185" w:type="dxa"/>
                  <w:tcBorders>
                    <w:tl2br w:val="nil"/>
                    <w:tr2bl w:val="nil"/>
                  </w:tcBorders>
                  <w:vAlign w:val="center"/>
                </w:tcPr>
                <w:p w14:paraId="3F1770E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29.55</w:t>
                  </w:r>
                </w:p>
              </w:tc>
              <w:tc>
                <w:tcPr>
                  <w:tcW w:w="1064" w:type="dxa"/>
                  <w:tcBorders>
                    <w:tl2br w:val="nil"/>
                    <w:tr2bl w:val="nil"/>
                  </w:tcBorders>
                  <w:vAlign w:val="center"/>
                </w:tcPr>
                <w:p w14:paraId="6F80858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3.37</w:t>
                  </w:r>
                </w:p>
              </w:tc>
              <w:tc>
                <w:tcPr>
                  <w:tcW w:w="1356" w:type="dxa"/>
                  <w:tcBorders>
                    <w:tl2br w:val="nil"/>
                    <w:tr2bl w:val="nil"/>
                  </w:tcBorders>
                  <w:vAlign w:val="center"/>
                </w:tcPr>
                <w:p w14:paraId="7FF8189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312.34</w:t>
                  </w:r>
                </w:p>
              </w:tc>
              <w:tc>
                <w:tcPr>
                  <w:tcW w:w="1264" w:type="pct"/>
                  <w:tcBorders>
                    <w:tl2br w:val="nil"/>
                    <w:tr2bl w:val="nil"/>
                  </w:tcBorders>
                  <w:shd w:val="clear" w:color="auto" w:fill="auto"/>
                  <w:vAlign w:val="center"/>
                </w:tcPr>
                <w:p w14:paraId="53313D97">
                  <w:pPr>
                    <w:spacing w:line="240" w:lineRule="auto"/>
                    <w:ind w:firstLine="0" w:firstLineChars="0"/>
                    <w:jc w:val="center"/>
                    <w:rPr>
                      <w:rFonts w:hint="default" w:ascii="Times New Roman" w:hAnsi="Times New Roman" w:eastAsia="宋体" w:cs="Times New Roman"/>
                      <w:color w:val="000000"/>
                      <w:sz w:val="21"/>
                      <w:szCs w:val="21"/>
                      <w:highlight w:val="none"/>
                      <w:u w:val="single"/>
                      <w:lang w:val="en-US" w:eastAsia="zh-CN" w:bidi="ar-SA"/>
                    </w:rPr>
                  </w:pPr>
                  <w:r>
                    <w:rPr>
                      <w:rFonts w:hint="eastAsia"/>
                      <w:color w:val="000000"/>
                      <w:sz w:val="21"/>
                      <w:szCs w:val="21"/>
                      <w:highlight w:val="none"/>
                      <w:u w:val="single"/>
                      <w:lang w:val="en-US" w:eastAsia="zh-CN"/>
                    </w:rPr>
                    <w:t>侧抽模块化除尘器，收集效率100%，处理效率99%，风机风量10800m</w:t>
                  </w:r>
                  <w:r>
                    <w:rPr>
                      <w:rFonts w:hint="eastAsia"/>
                      <w:color w:val="000000"/>
                      <w:sz w:val="21"/>
                      <w:szCs w:val="21"/>
                      <w:highlight w:val="none"/>
                      <w:u w:val="single"/>
                      <w:vertAlign w:val="superscript"/>
                      <w:lang w:val="en-US" w:eastAsia="zh-CN"/>
                    </w:rPr>
                    <w:t>3</w:t>
                  </w:r>
                  <w:r>
                    <w:rPr>
                      <w:rFonts w:hint="eastAsia"/>
                      <w:color w:val="000000"/>
                      <w:sz w:val="21"/>
                      <w:szCs w:val="21"/>
                      <w:highlight w:val="none"/>
                      <w:u w:val="single"/>
                      <w:lang w:val="en-US" w:eastAsia="zh-CN"/>
                    </w:rPr>
                    <w:t>/h</w:t>
                  </w:r>
                </w:p>
              </w:tc>
              <w:tc>
                <w:tcPr>
                  <w:tcW w:w="974" w:type="dxa"/>
                  <w:tcBorders>
                    <w:tl2br w:val="nil"/>
                    <w:tr2bl w:val="nil"/>
                  </w:tcBorders>
                  <w:vAlign w:val="center"/>
                </w:tcPr>
                <w:p w14:paraId="1E43D5E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0.2955</w:t>
                  </w:r>
                </w:p>
              </w:tc>
              <w:tc>
                <w:tcPr>
                  <w:tcW w:w="1238" w:type="dxa"/>
                  <w:tcBorders>
                    <w:tl2br w:val="nil"/>
                    <w:tr2bl w:val="nil"/>
                  </w:tcBorders>
                  <w:vAlign w:val="center"/>
                </w:tcPr>
                <w:p w14:paraId="641CD4B1">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0.034</w:t>
                  </w:r>
                </w:p>
              </w:tc>
              <w:tc>
                <w:tcPr>
                  <w:tcW w:w="1264" w:type="dxa"/>
                  <w:tcBorders>
                    <w:tl2br w:val="nil"/>
                    <w:tr2bl w:val="nil"/>
                  </w:tcBorders>
                  <w:vAlign w:val="center"/>
                </w:tcPr>
                <w:p w14:paraId="3D7A765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3.123</w:t>
                  </w:r>
                </w:p>
              </w:tc>
            </w:tr>
            <w:tr w14:paraId="25AE73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29" w:type="pct"/>
                  <w:vAlign w:val="center"/>
                </w:tcPr>
                <w:p w14:paraId="32E9BFBE">
                  <w:pPr>
                    <w:spacing w:line="240" w:lineRule="auto"/>
                    <w:ind w:firstLine="0" w:firstLineChars="0"/>
                    <w:jc w:val="center"/>
                    <w:rPr>
                      <w:rFonts w:hint="default"/>
                      <w:color w:val="000000"/>
                      <w:sz w:val="21"/>
                      <w:szCs w:val="21"/>
                      <w:highlight w:val="none"/>
                      <w:u w:val="single"/>
                      <w:lang w:val="en-US" w:eastAsia="zh-CN"/>
                    </w:rPr>
                  </w:pPr>
                  <w:r>
                    <w:rPr>
                      <w:rFonts w:hint="eastAsia"/>
                      <w:color w:val="000000"/>
                      <w:sz w:val="21"/>
                      <w:szCs w:val="21"/>
                      <w:highlight w:val="none"/>
                      <w:u w:val="single"/>
                      <w:lang w:val="en-US" w:eastAsia="zh-CN"/>
                    </w:rPr>
                    <w:t>三期仓顶除尘器排气口P4</w:t>
                  </w:r>
                </w:p>
              </w:tc>
              <w:tc>
                <w:tcPr>
                  <w:tcW w:w="321" w:type="pct"/>
                  <w:vMerge w:val="continue"/>
                  <w:tcBorders>
                    <w:tl2br w:val="nil"/>
                    <w:tr2bl w:val="nil"/>
                  </w:tcBorders>
                  <w:shd w:val="clear" w:color="auto" w:fill="auto"/>
                  <w:vAlign w:val="center"/>
                </w:tcPr>
                <w:p w14:paraId="36DDD368">
                  <w:pPr>
                    <w:spacing w:line="240" w:lineRule="auto"/>
                    <w:ind w:firstLine="0" w:firstLineChars="0"/>
                    <w:jc w:val="center"/>
                    <w:rPr>
                      <w:rFonts w:hint="eastAsia"/>
                      <w:color w:val="000000"/>
                      <w:sz w:val="21"/>
                      <w:szCs w:val="21"/>
                      <w:highlight w:val="none"/>
                      <w:u w:val="single"/>
                    </w:rPr>
                  </w:pPr>
                </w:p>
              </w:tc>
              <w:tc>
                <w:tcPr>
                  <w:tcW w:w="294" w:type="pct"/>
                  <w:vMerge w:val="continue"/>
                  <w:tcBorders>
                    <w:tl2br w:val="nil"/>
                    <w:tr2bl w:val="nil"/>
                  </w:tcBorders>
                  <w:shd w:val="clear" w:color="auto" w:fill="auto"/>
                  <w:vAlign w:val="center"/>
                </w:tcPr>
                <w:p w14:paraId="67C3F4F3">
                  <w:pPr>
                    <w:spacing w:line="240" w:lineRule="auto"/>
                    <w:ind w:firstLine="0" w:firstLineChars="0"/>
                    <w:jc w:val="center"/>
                    <w:rPr>
                      <w:rFonts w:hint="eastAsia"/>
                      <w:color w:val="000000"/>
                      <w:sz w:val="21"/>
                      <w:szCs w:val="21"/>
                      <w:highlight w:val="none"/>
                      <w:u w:val="single"/>
                    </w:rPr>
                  </w:pPr>
                </w:p>
              </w:tc>
              <w:tc>
                <w:tcPr>
                  <w:tcW w:w="1185" w:type="dxa"/>
                  <w:tcBorders>
                    <w:tl2br w:val="nil"/>
                    <w:tr2bl w:val="nil"/>
                  </w:tcBorders>
                  <w:vAlign w:val="center"/>
                </w:tcPr>
                <w:p w14:paraId="7F4484E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88.65</w:t>
                  </w:r>
                </w:p>
              </w:tc>
              <w:tc>
                <w:tcPr>
                  <w:tcW w:w="1064" w:type="dxa"/>
                  <w:tcBorders>
                    <w:tl2br w:val="nil"/>
                    <w:tr2bl w:val="nil"/>
                  </w:tcBorders>
                  <w:vAlign w:val="center"/>
                </w:tcPr>
                <w:p w14:paraId="406C930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10.12</w:t>
                  </w:r>
                </w:p>
              </w:tc>
              <w:tc>
                <w:tcPr>
                  <w:tcW w:w="1356" w:type="dxa"/>
                  <w:tcBorders>
                    <w:tl2br w:val="nil"/>
                    <w:tr2bl w:val="nil"/>
                  </w:tcBorders>
                  <w:vAlign w:val="center"/>
                </w:tcPr>
                <w:p w14:paraId="4DF2ECC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585.64</w:t>
                  </w:r>
                </w:p>
              </w:tc>
              <w:tc>
                <w:tcPr>
                  <w:tcW w:w="1264" w:type="pct"/>
                  <w:tcBorders>
                    <w:tl2br w:val="nil"/>
                    <w:tr2bl w:val="nil"/>
                  </w:tcBorders>
                  <w:shd w:val="clear" w:color="auto" w:fill="auto"/>
                  <w:vAlign w:val="center"/>
                </w:tcPr>
                <w:p w14:paraId="1977802F">
                  <w:pPr>
                    <w:spacing w:line="240" w:lineRule="auto"/>
                    <w:ind w:firstLine="0" w:firstLineChars="0"/>
                    <w:jc w:val="center"/>
                    <w:rPr>
                      <w:rFonts w:hint="default" w:ascii="Times New Roman" w:hAnsi="Times New Roman" w:eastAsia="宋体" w:cs="Times New Roman"/>
                      <w:color w:val="000000"/>
                      <w:sz w:val="21"/>
                      <w:szCs w:val="21"/>
                      <w:highlight w:val="none"/>
                      <w:u w:val="single"/>
                      <w:lang w:val="en-US" w:eastAsia="zh-CN" w:bidi="ar-SA"/>
                    </w:rPr>
                  </w:pPr>
                  <w:r>
                    <w:rPr>
                      <w:rFonts w:hint="eastAsia"/>
                      <w:color w:val="000000"/>
                      <w:sz w:val="21"/>
                      <w:szCs w:val="21"/>
                      <w:highlight w:val="none"/>
                      <w:u w:val="single"/>
                      <w:lang w:val="en-US" w:eastAsia="zh-CN"/>
                    </w:rPr>
                    <w:t>侧抽模块化除尘器，收集效率100%，处理效率99%，风机风量17280m</w:t>
                  </w:r>
                  <w:r>
                    <w:rPr>
                      <w:rFonts w:hint="eastAsia"/>
                      <w:color w:val="000000"/>
                      <w:sz w:val="21"/>
                      <w:szCs w:val="21"/>
                      <w:highlight w:val="none"/>
                      <w:u w:val="single"/>
                      <w:vertAlign w:val="superscript"/>
                      <w:lang w:val="en-US" w:eastAsia="zh-CN"/>
                    </w:rPr>
                    <w:t>3</w:t>
                  </w:r>
                  <w:r>
                    <w:rPr>
                      <w:rFonts w:hint="eastAsia"/>
                      <w:color w:val="000000"/>
                      <w:sz w:val="21"/>
                      <w:szCs w:val="21"/>
                      <w:highlight w:val="none"/>
                      <w:u w:val="single"/>
                      <w:lang w:val="en-US" w:eastAsia="zh-CN"/>
                    </w:rPr>
                    <w:t>/h</w:t>
                  </w:r>
                </w:p>
              </w:tc>
              <w:tc>
                <w:tcPr>
                  <w:tcW w:w="974" w:type="dxa"/>
                  <w:tcBorders>
                    <w:tl2br w:val="nil"/>
                    <w:tr2bl w:val="nil"/>
                  </w:tcBorders>
                  <w:vAlign w:val="center"/>
                </w:tcPr>
                <w:p w14:paraId="0CD7A42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0.8865</w:t>
                  </w:r>
                </w:p>
              </w:tc>
              <w:tc>
                <w:tcPr>
                  <w:tcW w:w="1238" w:type="dxa"/>
                  <w:tcBorders>
                    <w:tl2br w:val="nil"/>
                    <w:tr2bl w:val="nil"/>
                  </w:tcBorders>
                  <w:vAlign w:val="center"/>
                </w:tcPr>
                <w:p w14:paraId="4057F83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0.101</w:t>
                  </w:r>
                </w:p>
              </w:tc>
              <w:tc>
                <w:tcPr>
                  <w:tcW w:w="1264" w:type="dxa"/>
                  <w:tcBorders>
                    <w:tl2br w:val="nil"/>
                    <w:tr2bl w:val="nil"/>
                  </w:tcBorders>
                  <w:vAlign w:val="center"/>
                </w:tcPr>
                <w:p w14:paraId="14A2D2F7">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single"/>
                      <w:lang w:val="en-US" w:eastAsia="zh-CN"/>
                    </w:rPr>
                  </w:pPr>
                  <w:r>
                    <w:rPr>
                      <w:rFonts w:hint="eastAsia" w:cs="Times New Roman"/>
                      <w:color w:val="auto"/>
                      <w:kern w:val="0"/>
                      <w:sz w:val="21"/>
                      <w:szCs w:val="21"/>
                      <w:u w:val="single"/>
                      <w:vertAlign w:val="baseline"/>
                      <w:lang w:val="en-US" w:eastAsia="zh-CN"/>
                    </w:rPr>
                    <w:t>1.95</w:t>
                  </w:r>
                </w:p>
              </w:tc>
            </w:tr>
            <w:tr w14:paraId="64919E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29" w:type="pct"/>
                  <w:vAlign w:val="center"/>
                </w:tcPr>
                <w:p w14:paraId="1CF3E64E">
                  <w:pPr>
                    <w:spacing w:line="240" w:lineRule="auto"/>
                    <w:ind w:firstLine="0" w:firstLineChars="0"/>
                    <w:jc w:val="center"/>
                    <w:rPr>
                      <w:rFonts w:hint="default"/>
                      <w:color w:val="000000"/>
                      <w:sz w:val="21"/>
                      <w:szCs w:val="21"/>
                      <w:highlight w:val="none"/>
                      <w:u w:val="single"/>
                      <w:lang w:val="en-US" w:eastAsia="zh-CN"/>
                    </w:rPr>
                  </w:pPr>
                  <w:r>
                    <w:rPr>
                      <w:rFonts w:hint="eastAsia"/>
                      <w:color w:val="000000"/>
                      <w:sz w:val="21"/>
                      <w:szCs w:val="21"/>
                      <w:highlight w:val="none"/>
                      <w:u w:val="single"/>
                      <w:lang w:val="en-US" w:eastAsia="zh-CN"/>
                    </w:rPr>
                    <w:t>罐车气力输送</w:t>
                  </w:r>
                </w:p>
              </w:tc>
              <w:tc>
                <w:tcPr>
                  <w:tcW w:w="321" w:type="pct"/>
                  <w:tcBorders>
                    <w:tl2br w:val="nil"/>
                    <w:tr2bl w:val="nil"/>
                  </w:tcBorders>
                  <w:shd w:val="clear" w:color="auto" w:fill="auto"/>
                  <w:vAlign w:val="center"/>
                </w:tcPr>
                <w:p w14:paraId="693AC303">
                  <w:pPr>
                    <w:spacing w:line="240" w:lineRule="auto"/>
                    <w:ind w:firstLine="0" w:firstLineChars="0"/>
                    <w:jc w:val="center"/>
                    <w:rPr>
                      <w:rFonts w:hint="eastAsia" w:ascii="Times New Roman" w:hAnsi="Times New Roman" w:eastAsia="宋体" w:cs="Times New Roman"/>
                      <w:color w:val="000000"/>
                      <w:sz w:val="21"/>
                      <w:szCs w:val="21"/>
                      <w:highlight w:val="none"/>
                      <w:u w:val="single"/>
                      <w:lang w:val="en-US" w:eastAsia="zh-CN" w:bidi="ar-SA"/>
                    </w:rPr>
                  </w:pPr>
                  <w:r>
                    <w:rPr>
                      <w:rFonts w:hint="eastAsia"/>
                      <w:color w:val="000000"/>
                      <w:sz w:val="21"/>
                      <w:szCs w:val="21"/>
                      <w:highlight w:val="none"/>
                      <w:u w:val="single"/>
                    </w:rPr>
                    <w:t>颗粒物</w:t>
                  </w:r>
                </w:p>
              </w:tc>
              <w:tc>
                <w:tcPr>
                  <w:tcW w:w="294" w:type="pct"/>
                  <w:tcBorders>
                    <w:tl2br w:val="nil"/>
                    <w:tr2bl w:val="nil"/>
                  </w:tcBorders>
                  <w:shd w:val="clear" w:color="auto" w:fill="auto"/>
                  <w:vAlign w:val="center"/>
                </w:tcPr>
                <w:p w14:paraId="5487EA16">
                  <w:pPr>
                    <w:spacing w:line="240" w:lineRule="auto"/>
                    <w:ind w:firstLine="0" w:firstLineChars="0"/>
                    <w:jc w:val="center"/>
                    <w:rPr>
                      <w:rFonts w:hint="eastAsia" w:ascii="Times New Roman" w:hAnsi="Times New Roman" w:eastAsia="宋体" w:cs="Times New Roman"/>
                      <w:color w:val="000000"/>
                      <w:sz w:val="21"/>
                      <w:szCs w:val="21"/>
                      <w:highlight w:val="none"/>
                      <w:u w:val="single"/>
                      <w:lang w:val="en-US" w:eastAsia="zh-CN" w:bidi="ar-SA"/>
                    </w:rPr>
                  </w:pPr>
                  <w:r>
                    <w:rPr>
                      <w:rFonts w:hint="eastAsia"/>
                      <w:color w:val="000000"/>
                      <w:sz w:val="21"/>
                      <w:szCs w:val="21"/>
                      <w:highlight w:val="none"/>
                      <w:u w:val="single"/>
                    </w:rPr>
                    <w:t>无组织</w:t>
                  </w:r>
                </w:p>
              </w:tc>
              <w:tc>
                <w:tcPr>
                  <w:tcW w:w="450" w:type="pct"/>
                  <w:tcBorders>
                    <w:tl2br w:val="nil"/>
                    <w:tr2bl w:val="nil"/>
                  </w:tcBorders>
                  <w:vAlign w:val="center"/>
                </w:tcPr>
                <w:p w14:paraId="49F846CC">
                  <w:pPr>
                    <w:spacing w:line="240" w:lineRule="auto"/>
                    <w:ind w:firstLine="0" w:firstLineChars="0"/>
                    <w:jc w:val="center"/>
                    <w:rPr>
                      <w:rFonts w:hint="default" w:eastAsia="宋体"/>
                      <w:color w:val="000000"/>
                      <w:sz w:val="21"/>
                      <w:szCs w:val="21"/>
                      <w:highlight w:val="none"/>
                      <w:u w:val="single"/>
                      <w:lang w:val="en-US" w:eastAsia="zh-CN"/>
                    </w:rPr>
                  </w:pPr>
                  <w:r>
                    <w:rPr>
                      <w:rFonts w:hint="eastAsia"/>
                      <w:color w:val="000000"/>
                      <w:sz w:val="21"/>
                      <w:szCs w:val="21"/>
                      <w:highlight w:val="none"/>
                      <w:u w:val="single"/>
                      <w:lang w:val="en-US" w:eastAsia="zh-CN"/>
                    </w:rPr>
                    <w:t>108</w:t>
                  </w:r>
                </w:p>
              </w:tc>
              <w:tc>
                <w:tcPr>
                  <w:tcW w:w="404" w:type="pct"/>
                  <w:tcBorders>
                    <w:tl2br w:val="nil"/>
                    <w:tr2bl w:val="nil"/>
                  </w:tcBorders>
                  <w:vAlign w:val="center"/>
                </w:tcPr>
                <w:p w14:paraId="08C1C068">
                  <w:pPr>
                    <w:spacing w:line="240" w:lineRule="auto"/>
                    <w:ind w:firstLine="0" w:firstLineChars="0"/>
                    <w:jc w:val="center"/>
                    <w:rPr>
                      <w:rFonts w:hint="default" w:eastAsia="宋体"/>
                      <w:color w:val="000000"/>
                      <w:sz w:val="21"/>
                      <w:szCs w:val="21"/>
                      <w:highlight w:val="none"/>
                      <w:u w:val="single"/>
                      <w:lang w:val="en-US" w:eastAsia="zh-CN"/>
                    </w:rPr>
                  </w:pPr>
                  <w:r>
                    <w:rPr>
                      <w:rFonts w:hint="eastAsia"/>
                      <w:color w:val="000000"/>
                      <w:sz w:val="21"/>
                      <w:szCs w:val="21"/>
                      <w:highlight w:val="none"/>
                      <w:u w:val="single"/>
                      <w:lang w:val="en-US" w:eastAsia="zh-CN"/>
                    </w:rPr>
                    <w:t>54</w:t>
                  </w:r>
                </w:p>
              </w:tc>
              <w:tc>
                <w:tcPr>
                  <w:tcW w:w="515" w:type="pct"/>
                  <w:tcBorders>
                    <w:tl2br w:val="nil"/>
                    <w:tr2bl w:val="nil"/>
                  </w:tcBorders>
                  <w:vAlign w:val="center"/>
                </w:tcPr>
                <w:p w14:paraId="41C448C5">
                  <w:pPr>
                    <w:spacing w:line="240" w:lineRule="auto"/>
                    <w:ind w:firstLine="0" w:firstLineChars="0"/>
                    <w:jc w:val="center"/>
                    <w:rPr>
                      <w:rFonts w:hint="default" w:eastAsia="宋体"/>
                      <w:color w:val="000000"/>
                      <w:sz w:val="21"/>
                      <w:szCs w:val="21"/>
                      <w:highlight w:val="none"/>
                      <w:u w:val="single"/>
                      <w:lang w:val="en-US" w:eastAsia="zh-CN"/>
                    </w:rPr>
                  </w:pPr>
                  <w:r>
                    <w:rPr>
                      <w:rFonts w:hint="eastAsia"/>
                      <w:color w:val="000000"/>
                      <w:sz w:val="21"/>
                      <w:szCs w:val="21"/>
                      <w:highlight w:val="none"/>
                      <w:u w:val="single"/>
                      <w:lang w:val="en-US" w:eastAsia="zh-CN"/>
                    </w:rPr>
                    <w:t>/</w:t>
                  </w:r>
                </w:p>
              </w:tc>
              <w:tc>
                <w:tcPr>
                  <w:tcW w:w="1264" w:type="pct"/>
                  <w:tcBorders>
                    <w:tl2br w:val="nil"/>
                    <w:tr2bl w:val="nil"/>
                  </w:tcBorders>
                  <w:shd w:val="clear" w:color="auto" w:fill="auto"/>
                  <w:vAlign w:val="center"/>
                </w:tcPr>
                <w:p w14:paraId="113623FD">
                  <w:pPr>
                    <w:spacing w:line="240" w:lineRule="auto"/>
                    <w:ind w:firstLine="0" w:firstLineChars="0"/>
                    <w:jc w:val="center"/>
                    <w:rPr>
                      <w:rFonts w:hint="eastAsia" w:ascii="Times New Roman" w:hAnsi="Times New Roman" w:eastAsia="宋体" w:cs="Times New Roman"/>
                      <w:color w:val="000000"/>
                      <w:sz w:val="21"/>
                      <w:szCs w:val="21"/>
                      <w:highlight w:val="none"/>
                      <w:u w:val="single"/>
                      <w:lang w:val="en-US" w:eastAsia="zh-CN" w:bidi="ar-SA"/>
                    </w:rPr>
                  </w:pPr>
                  <w:r>
                    <w:rPr>
                      <w:rFonts w:hint="eastAsia"/>
                      <w:color w:val="000000"/>
                      <w:sz w:val="21"/>
                      <w:szCs w:val="21"/>
                      <w:highlight w:val="none"/>
                      <w:u w:val="single"/>
                      <w:lang w:val="en-US" w:eastAsia="zh-CN"/>
                    </w:rPr>
                    <w:t>散装机布袋除尘器，收集效率100%，处理效率99%</w:t>
                  </w:r>
                </w:p>
              </w:tc>
              <w:tc>
                <w:tcPr>
                  <w:tcW w:w="370" w:type="pct"/>
                  <w:tcBorders>
                    <w:tl2br w:val="nil"/>
                    <w:tr2bl w:val="nil"/>
                  </w:tcBorders>
                  <w:vAlign w:val="center"/>
                </w:tcPr>
                <w:p w14:paraId="02C82FBE">
                  <w:pPr>
                    <w:spacing w:line="240" w:lineRule="auto"/>
                    <w:ind w:firstLine="0" w:firstLineChars="0"/>
                    <w:jc w:val="center"/>
                    <w:rPr>
                      <w:rFonts w:hint="default" w:eastAsia="宋体"/>
                      <w:color w:val="000000"/>
                      <w:sz w:val="21"/>
                      <w:szCs w:val="21"/>
                      <w:highlight w:val="none"/>
                      <w:u w:val="single"/>
                      <w:lang w:val="en-US" w:eastAsia="zh-CN"/>
                    </w:rPr>
                  </w:pPr>
                  <w:r>
                    <w:rPr>
                      <w:rFonts w:hint="eastAsia"/>
                      <w:color w:val="000000"/>
                      <w:sz w:val="21"/>
                      <w:szCs w:val="21"/>
                      <w:highlight w:val="none"/>
                      <w:u w:val="single"/>
                      <w:lang w:val="en-US" w:eastAsia="zh-CN"/>
                    </w:rPr>
                    <w:t>1.08</w:t>
                  </w:r>
                </w:p>
              </w:tc>
              <w:tc>
                <w:tcPr>
                  <w:tcW w:w="470" w:type="pct"/>
                  <w:tcBorders>
                    <w:tl2br w:val="nil"/>
                    <w:tr2bl w:val="nil"/>
                  </w:tcBorders>
                  <w:vAlign w:val="center"/>
                </w:tcPr>
                <w:p w14:paraId="3721E960">
                  <w:pPr>
                    <w:spacing w:line="240" w:lineRule="auto"/>
                    <w:ind w:firstLine="0" w:firstLineChars="0"/>
                    <w:jc w:val="center"/>
                    <w:rPr>
                      <w:rFonts w:hint="default" w:eastAsia="宋体"/>
                      <w:color w:val="000000"/>
                      <w:sz w:val="21"/>
                      <w:szCs w:val="21"/>
                      <w:highlight w:val="none"/>
                      <w:u w:val="single"/>
                      <w:lang w:val="en-US" w:eastAsia="zh-CN"/>
                    </w:rPr>
                  </w:pPr>
                  <w:r>
                    <w:rPr>
                      <w:rFonts w:hint="eastAsia"/>
                      <w:color w:val="000000"/>
                      <w:sz w:val="21"/>
                      <w:szCs w:val="21"/>
                      <w:highlight w:val="none"/>
                      <w:u w:val="single"/>
                      <w:lang w:val="en-US" w:eastAsia="zh-CN"/>
                    </w:rPr>
                    <w:t>0.54</w:t>
                  </w:r>
                </w:p>
              </w:tc>
              <w:tc>
                <w:tcPr>
                  <w:tcW w:w="480" w:type="pct"/>
                  <w:tcBorders>
                    <w:tl2br w:val="nil"/>
                    <w:tr2bl w:val="nil"/>
                  </w:tcBorders>
                  <w:vAlign w:val="center"/>
                </w:tcPr>
                <w:p w14:paraId="4FB29A78">
                  <w:pPr>
                    <w:spacing w:line="240" w:lineRule="auto"/>
                    <w:ind w:firstLine="0" w:firstLineChars="0"/>
                    <w:jc w:val="center"/>
                    <w:rPr>
                      <w:rFonts w:hint="default" w:eastAsia="宋体"/>
                      <w:color w:val="000000"/>
                      <w:sz w:val="21"/>
                      <w:szCs w:val="21"/>
                      <w:highlight w:val="none"/>
                      <w:u w:val="single"/>
                      <w:lang w:val="en-US" w:eastAsia="zh-CN"/>
                    </w:rPr>
                  </w:pPr>
                  <w:r>
                    <w:rPr>
                      <w:rFonts w:hint="eastAsia"/>
                      <w:color w:val="000000"/>
                      <w:sz w:val="21"/>
                      <w:szCs w:val="21"/>
                      <w:highlight w:val="none"/>
                      <w:u w:val="single"/>
                      <w:lang w:val="en-US" w:eastAsia="zh-CN"/>
                    </w:rPr>
                    <w:t>/</w:t>
                  </w:r>
                </w:p>
              </w:tc>
            </w:tr>
          </w:tbl>
          <w:p w14:paraId="4B8C99E6">
            <w:pPr>
              <w:pStyle w:val="30"/>
              <w:spacing w:before="164" w:beforeLines="50" w:after="0"/>
              <w:ind w:left="0" w:leftChars="0" w:firstLine="480" w:firstLineChars="200"/>
              <w:rPr>
                <w:rFonts w:hint="eastAsia" w:eastAsiaTheme="minorEastAsia"/>
                <w:lang w:eastAsia="zh-CN"/>
              </w:rPr>
            </w:pPr>
            <w:r>
              <w:rPr>
                <w:rFonts w:hint="eastAsia" w:eastAsiaTheme="minorEastAsia"/>
                <w:sz w:val="24"/>
                <w:u w:val="single"/>
                <w:lang w:eastAsia="zh-CN"/>
              </w:rPr>
              <w:t>筒仓呼吸粉尘经仓顶除尘器处理后经仓顶</w:t>
            </w:r>
            <w:r>
              <w:rPr>
                <w:rFonts w:hint="eastAsia"/>
                <w:sz w:val="24"/>
                <w:u w:val="single"/>
                <w:lang w:val="en-US" w:eastAsia="zh-CN"/>
              </w:rPr>
              <w:t>除尘器</w:t>
            </w:r>
            <w:r>
              <w:rPr>
                <w:rFonts w:hint="eastAsia" w:eastAsiaTheme="minorEastAsia"/>
                <w:sz w:val="24"/>
                <w:u w:val="single"/>
                <w:lang w:eastAsia="zh-CN"/>
              </w:rPr>
              <w:t>排气口有组织排放，罐车气力输送系统产生粉尘经自带除尘器处理后在厂区内无组织排放。主要污染因子颗粒物满足《大气污染物综合排放标准》（GB16297-1996）表2相关排放限值。</w:t>
            </w:r>
          </w:p>
        </w:tc>
      </w:tr>
    </w:tbl>
    <w:p w14:paraId="058FB201">
      <w:pPr>
        <w:sectPr>
          <w:pgSz w:w="16840" w:h="11907" w:orient="landscape"/>
          <w:pgMar w:top="1701" w:right="1418" w:bottom="1418" w:left="1418" w:header="851" w:footer="992" w:gutter="0"/>
          <w:pgBorders>
            <w:top w:val="none" w:sz="0" w:space="0"/>
            <w:left w:val="none" w:sz="0" w:space="0"/>
            <w:bottom w:val="none" w:sz="0" w:space="0"/>
            <w:right w:val="none" w:sz="0" w:space="0"/>
          </w:pgBorders>
          <w:cols w:space="720" w:num="1"/>
          <w:docGrid w:linePitch="326" w:charSpace="0"/>
        </w:sectPr>
      </w:pPr>
    </w:p>
    <w:tbl>
      <w:tblPr>
        <w:tblStyle w:val="31"/>
        <w:tblW w:w="502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04"/>
        <w:gridCol w:w="8468"/>
      </w:tblGrid>
      <w:tr w14:paraId="398D9D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 w:type="pct"/>
            <w:tcMar>
              <w:left w:w="28" w:type="dxa"/>
              <w:right w:w="28" w:type="dxa"/>
            </w:tcMar>
            <w:vAlign w:val="center"/>
          </w:tcPr>
          <w:p w14:paraId="4D60B4D5">
            <w:pPr>
              <w:autoSpaceDE w:val="0"/>
              <w:autoSpaceDN w:val="0"/>
              <w:adjustRightInd w:val="0"/>
              <w:snapToGrid w:val="0"/>
              <w:spacing w:line="240" w:lineRule="auto"/>
              <w:ind w:firstLine="0" w:firstLineChars="0"/>
              <w:jc w:val="center"/>
              <w:rPr>
                <w:bCs/>
              </w:rPr>
            </w:pPr>
            <w:r>
              <w:rPr>
                <w:bCs/>
              </w:rPr>
              <w:t>运营期环境影响和保护措施</w:t>
            </w:r>
          </w:p>
        </w:tc>
        <w:tc>
          <w:tcPr>
            <w:tcW w:w="4718" w:type="pct"/>
            <w:vAlign w:val="center"/>
          </w:tcPr>
          <w:p w14:paraId="301785BA">
            <w:pPr>
              <w:ind w:firstLine="0" w:firstLineChars="0"/>
              <w:rPr>
                <w:b/>
                <w:bCs/>
                <w:u w:val="none"/>
              </w:rPr>
            </w:pPr>
            <w:r>
              <w:rPr>
                <w:rFonts w:hint="eastAsia"/>
                <w:b/>
                <w:bCs/>
                <w:u w:val="none"/>
              </w:rPr>
              <w:t>1.3废气排放情况</w:t>
            </w:r>
          </w:p>
          <w:p w14:paraId="50C9F47F">
            <w:pPr>
              <w:ind w:firstLine="480"/>
              <w:rPr>
                <w:b/>
                <w:bCs/>
                <w:u w:val="none"/>
              </w:rPr>
            </w:pPr>
            <w:r>
              <w:rPr>
                <w:sz w:val="24"/>
                <w:u w:val="none"/>
              </w:rPr>
              <w:t>1、项目废气产排污节点、污染物及污染治理设施情况</w:t>
            </w:r>
          </w:p>
          <w:p w14:paraId="4D5B3FAA">
            <w:pPr>
              <w:pStyle w:val="379"/>
              <w:keepNext w:val="0"/>
              <w:keepLines w:val="0"/>
              <w:pageBreakBefore w:val="0"/>
              <w:widowControl w:val="0"/>
              <w:kinsoku/>
              <w:wordWrap/>
              <w:overflowPunct/>
              <w:topLinePunct w:val="0"/>
              <w:autoSpaceDE/>
              <w:autoSpaceDN/>
              <w:bidi w:val="0"/>
              <w:adjustRightInd/>
              <w:snapToGrid/>
              <w:spacing w:line="240" w:lineRule="auto"/>
              <w:textAlignment w:val="auto"/>
              <w:rPr>
                <w:u w:val="none"/>
              </w:rPr>
            </w:pPr>
            <w:r>
              <w:rPr>
                <w:b/>
                <w:bCs/>
                <w:u w:val="none"/>
              </w:rPr>
              <w:t>废气产排污节点、污染物及污染治理设施信息表</w:t>
            </w:r>
          </w:p>
          <w:tbl>
            <w:tblPr>
              <w:tblStyle w:val="31"/>
              <w:tblW w:w="491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27"/>
              <w:gridCol w:w="640"/>
              <w:gridCol w:w="622"/>
              <w:gridCol w:w="442"/>
              <w:gridCol w:w="1146"/>
              <w:gridCol w:w="579"/>
              <w:gridCol w:w="973"/>
              <w:gridCol w:w="1221"/>
              <w:gridCol w:w="2039"/>
            </w:tblGrid>
            <w:tr w14:paraId="3AE8E8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265" w:type="pct"/>
                  <w:vMerge w:val="restart"/>
                  <w:tcBorders>
                    <w:tl2br w:val="nil"/>
                    <w:tr2bl w:val="nil"/>
                  </w:tcBorders>
                  <w:vAlign w:val="center"/>
                </w:tcPr>
                <w:p w14:paraId="20DFB5D0">
                  <w:pPr>
                    <w:autoSpaceDE w:val="0"/>
                    <w:adjustRightInd w:val="0"/>
                    <w:snapToGrid w:val="0"/>
                    <w:spacing w:line="240" w:lineRule="auto"/>
                    <w:ind w:firstLine="0" w:firstLineChars="0"/>
                    <w:jc w:val="center"/>
                    <w:rPr>
                      <w:b/>
                      <w:bCs/>
                      <w:sz w:val="21"/>
                      <w:szCs w:val="21"/>
                      <w:u w:val="none"/>
                    </w:rPr>
                  </w:pPr>
                  <w:r>
                    <w:rPr>
                      <w:b/>
                      <w:bCs/>
                      <w:sz w:val="21"/>
                      <w:szCs w:val="21"/>
                      <w:u w:val="none"/>
                    </w:rPr>
                    <w:t>序号</w:t>
                  </w:r>
                </w:p>
              </w:tc>
              <w:tc>
                <w:tcPr>
                  <w:tcW w:w="416" w:type="pct"/>
                  <w:vMerge w:val="restart"/>
                  <w:tcBorders>
                    <w:tl2br w:val="nil"/>
                    <w:tr2bl w:val="nil"/>
                  </w:tcBorders>
                  <w:vAlign w:val="center"/>
                </w:tcPr>
                <w:p w14:paraId="3559FE09">
                  <w:pPr>
                    <w:autoSpaceDE w:val="0"/>
                    <w:adjustRightInd w:val="0"/>
                    <w:snapToGrid w:val="0"/>
                    <w:spacing w:line="240" w:lineRule="auto"/>
                    <w:ind w:firstLine="0" w:firstLineChars="0"/>
                    <w:jc w:val="center"/>
                    <w:rPr>
                      <w:b/>
                      <w:bCs/>
                      <w:sz w:val="21"/>
                      <w:szCs w:val="21"/>
                      <w:u w:val="none"/>
                    </w:rPr>
                  </w:pPr>
                  <w:r>
                    <w:rPr>
                      <w:b/>
                      <w:bCs/>
                      <w:sz w:val="21"/>
                      <w:szCs w:val="21"/>
                      <w:u w:val="none"/>
                    </w:rPr>
                    <w:t>污染源</w:t>
                  </w:r>
                </w:p>
              </w:tc>
              <w:tc>
                <w:tcPr>
                  <w:tcW w:w="395" w:type="pct"/>
                  <w:vMerge w:val="restart"/>
                  <w:tcBorders>
                    <w:tl2br w:val="nil"/>
                    <w:tr2bl w:val="nil"/>
                  </w:tcBorders>
                  <w:vAlign w:val="center"/>
                </w:tcPr>
                <w:p w14:paraId="4924D72E">
                  <w:pPr>
                    <w:autoSpaceDE w:val="0"/>
                    <w:adjustRightInd w:val="0"/>
                    <w:snapToGrid w:val="0"/>
                    <w:spacing w:line="240" w:lineRule="auto"/>
                    <w:ind w:firstLine="0" w:firstLineChars="0"/>
                    <w:jc w:val="center"/>
                    <w:rPr>
                      <w:b/>
                      <w:bCs/>
                      <w:sz w:val="21"/>
                      <w:szCs w:val="21"/>
                      <w:u w:val="none"/>
                    </w:rPr>
                  </w:pPr>
                  <w:r>
                    <w:rPr>
                      <w:b/>
                      <w:bCs/>
                      <w:sz w:val="21"/>
                      <w:szCs w:val="21"/>
                      <w:u w:val="none"/>
                    </w:rPr>
                    <w:t>污染物种类</w:t>
                  </w:r>
                </w:p>
              </w:tc>
              <w:tc>
                <w:tcPr>
                  <w:tcW w:w="284" w:type="pct"/>
                  <w:vMerge w:val="restart"/>
                  <w:tcBorders>
                    <w:tl2br w:val="nil"/>
                    <w:tr2bl w:val="nil"/>
                  </w:tcBorders>
                  <w:vAlign w:val="center"/>
                </w:tcPr>
                <w:p w14:paraId="4BC0FB7C">
                  <w:pPr>
                    <w:autoSpaceDE w:val="0"/>
                    <w:adjustRightInd w:val="0"/>
                    <w:snapToGrid w:val="0"/>
                    <w:spacing w:line="240" w:lineRule="auto"/>
                    <w:ind w:firstLine="0" w:firstLineChars="0"/>
                    <w:jc w:val="center"/>
                    <w:rPr>
                      <w:b/>
                      <w:bCs/>
                      <w:sz w:val="21"/>
                      <w:szCs w:val="21"/>
                      <w:u w:val="none"/>
                    </w:rPr>
                  </w:pPr>
                  <w:r>
                    <w:rPr>
                      <w:b/>
                      <w:bCs/>
                      <w:sz w:val="21"/>
                      <w:szCs w:val="21"/>
                      <w:u w:val="none"/>
                    </w:rPr>
                    <w:t>排放</w:t>
                  </w:r>
                </w:p>
                <w:p w14:paraId="66541F98">
                  <w:pPr>
                    <w:autoSpaceDE w:val="0"/>
                    <w:adjustRightInd w:val="0"/>
                    <w:snapToGrid w:val="0"/>
                    <w:spacing w:line="240" w:lineRule="auto"/>
                    <w:ind w:firstLine="0" w:firstLineChars="0"/>
                    <w:jc w:val="center"/>
                    <w:rPr>
                      <w:b/>
                      <w:bCs/>
                      <w:sz w:val="21"/>
                      <w:szCs w:val="21"/>
                      <w:u w:val="none"/>
                    </w:rPr>
                  </w:pPr>
                  <w:r>
                    <w:rPr>
                      <w:b/>
                      <w:bCs/>
                      <w:sz w:val="21"/>
                      <w:szCs w:val="21"/>
                      <w:u w:val="none"/>
                    </w:rPr>
                    <w:t>形式</w:t>
                  </w:r>
                </w:p>
              </w:tc>
              <w:tc>
                <w:tcPr>
                  <w:tcW w:w="1088" w:type="pct"/>
                  <w:gridSpan w:val="2"/>
                  <w:tcBorders>
                    <w:tl2br w:val="nil"/>
                    <w:tr2bl w:val="nil"/>
                  </w:tcBorders>
                  <w:vAlign w:val="center"/>
                </w:tcPr>
                <w:p w14:paraId="43DEB180">
                  <w:pPr>
                    <w:autoSpaceDE w:val="0"/>
                    <w:adjustRightInd w:val="0"/>
                    <w:snapToGrid w:val="0"/>
                    <w:spacing w:line="240" w:lineRule="auto"/>
                    <w:ind w:firstLine="0" w:firstLineChars="0"/>
                    <w:jc w:val="center"/>
                    <w:rPr>
                      <w:b/>
                      <w:bCs/>
                      <w:sz w:val="21"/>
                      <w:szCs w:val="21"/>
                      <w:u w:val="none"/>
                    </w:rPr>
                  </w:pPr>
                  <w:r>
                    <w:rPr>
                      <w:b/>
                      <w:bCs/>
                      <w:sz w:val="21"/>
                      <w:szCs w:val="21"/>
                      <w:u w:val="none"/>
                    </w:rPr>
                    <w:t>污染防治设施及工艺</w:t>
                  </w:r>
                </w:p>
              </w:tc>
              <w:tc>
                <w:tcPr>
                  <w:tcW w:w="612" w:type="pct"/>
                  <w:vMerge w:val="restart"/>
                  <w:tcBorders>
                    <w:tl2br w:val="nil"/>
                    <w:tr2bl w:val="nil"/>
                  </w:tcBorders>
                  <w:vAlign w:val="center"/>
                </w:tcPr>
                <w:p w14:paraId="2BD80C01">
                  <w:pPr>
                    <w:autoSpaceDE w:val="0"/>
                    <w:adjustRightInd w:val="0"/>
                    <w:snapToGrid w:val="0"/>
                    <w:spacing w:line="240" w:lineRule="auto"/>
                    <w:ind w:firstLine="0" w:firstLineChars="0"/>
                    <w:jc w:val="center"/>
                    <w:rPr>
                      <w:b/>
                      <w:bCs/>
                      <w:sz w:val="21"/>
                      <w:szCs w:val="21"/>
                      <w:u w:val="none"/>
                    </w:rPr>
                  </w:pPr>
                  <w:r>
                    <w:rPr>
                      <w:b/>
                      <w:bCs/>
                      <w:sz w:val="21"/>
                      <w:szCs w:val="21"/>
                      <w:u w:val="none"/>
                    </w:rPr>
                    <w:t>排放口编号</w:t>
                  </w:r>
                </w:p>
              </w:tc>
              <w:tc>
                <w:tcPr>
                  <w:tcW w:w="765" w:type="pct"/>
                  <w:vMerge w:val="restart"/>
                  <w:tcBorders>
                    <w:tl2br w:val="nil"/>
                    <w:tr2bl w:val="nil"/>
                  </w:tcBorders>
                  <w:vAlign w:val="center"/>
                </w:tcPr>
                <w:p w14:paraId="259EEBC5">
                  <w:pPr>
                    <w:autoSpaceDE w:val="0"/>
                    <w:adjustRightInd w:val="0"/>
                    <w:snapToGrid w:val="0"/>
                    <w:spacing w:line="240" w:lineRule="auto"/>
                    <w:ind w:firstLine="0" w:firstLineChars="0"/>
                    <w:jc w:val="center"/>
                    <w:rPr>
                      <w:b/>
                      <w:bCs/>
                      <w:sz w:val="21"/>
                      <w:szCs w:val="21"/>
                      <w:u w:val="none"/>
                    </w:rPr>
                  </w:pPr>
                  <w:r>
                    <w:rPr>
                      <w:rFonts w:hint="eastAsia"/>
                      <w:b/>
                      <w:bCs/>
                      <w:sz w:val="21"/>
                      <w:szCs w:val="21"/>
                      <w:u w:val="none"/>
                    </w:rPr>
                    <w:t>排放浓度</w:t>
                  </w:r>
                </w:p>
                <w:p w14:paraId="0EB6D772">
                  <w:pPr>
                    <w:autoSpaceDE w:val="0"/>
                    <w:adjustRightInd w:val="0"/>
                    <w:snapToGrid w:val="0"/>
                    <w:spacing w:line="240" w:lineRule="auto"/>
                    <w:ind w:firstLine="0" w:firstLineChars="0"/>
                    <w:jc w:val="center"/>
                    <w:rPr>
                      <w:b/>
                      <w:bCs/>
                      <w:sz w:val="21"/>
                      <w:szCs w:val="21"/>
                      <w:u w:val="none"/>
                    </w:rPr>
                  </w:pPr>
                  <w:r>
                    <w:rPr>
                      <w:rFonts w:hint="eastAsia"/>
                      <w:b/>
                      <w:bCs/>
                      <w:sz w:val="21"/>
                      <w:szCs w:val="21"/>
                      <w:u w:val="none"/>
                    </w:rPr>
                    <w:t>（mg/m</w:t>
                  </w:r>
                  <w:r>
                    <w:rPr>
                      <w:rFonts w:hint="eastAsia"/>
                      <w:b/>
                      <w:bCs/>
                      <w:sz w:val="21"/>
                      <w:szCs w:val="21"/>
                      <w:u w:val="none"/>
                      <w:vertAlign w:val="superscript"/>
                    </w:rPr>
                    <w:t>3</w:t>
                  </w:r>
                  <w:r>
                    <w:rPr>
                      <w:rFonts w:hint="eastAsia"/>
                      <w:b/>
                      <w:bCs/>
                      <w:sz w:val="21"/>
                      <w:szCs w:val="21"/>
                      <w:u w:val="none"/>
                    </w:rPr>
                    <w:t>）</w:t>
                  </w:r>
                </w:p>
              </w:tc>
              <w:tc>
                <w:tcPr>
                  <w:tcW w:w="1171" w:type="pct"/>
                  <w:vMerge w:val="restart"/>
                  <w:tcBorders>
                    <w:tl2br w:val="nil"/>
                    <w:tr2bl w:val="nil"/>
                  </w:tcBorders>
                  <w:vAlign w:val="center"/>
                </w:tcPr>
                <w:p w14:paraId="0B00C71F">
                  <w:pPr>
                    <w:autoSpaceDE w:val="0"/>
                    <w:adjustRightInd w:val="0"/>
                    <w:snapToGrid w:val="0"/>
                    <w:spacing w:line="240" w:lineRule="auto"/>
                    <w:ind w:firstLine="0" w:firstLineChars="0"/>
                    <w:jc w:val="center"/>
                    <w:rPr>
                      <w:b/>
                      <w:bCs/>
                      <w:sz w:val="21"/>
                      <w:szCs w:val="21"/>
                      <w:u w:val="none"/>
                    </w:rPr>
                  </w:pPr>
                  <w:r>
                    <w:rPr>
                      <w:b/>
                      <w:bCs/>
                      <w:sz w:val="21"/>
                      <w:szCs w:val="21"/>
                      <w:u w:val="none"/>
                    </w:rPr>
                    <w:t>排放标准</w:t>
                  </w:r>
                </w:p>
              </w:tc>
            </w:tr>
            <w:tr w14:paraId="7D71A4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5" w:type="pct"/>
                  <w:vMerge w:val="continue"/>
                  <w:tcBorders>
                    <w:tl2br w:val="nil"/>
                    <w:tr2bl w:val="nil"/>
                  </w:tcBorders>
                  <w:vAlign w:val="center"/>
                </w:tcPr>
                <w:p w14:paraId="6C6781E3">
                  <w:pPr>
                    <w:autoSpaceDE w:val="0"/>
                    <w:adjustRightInd w:val="0"/>
                    <w:snapToGrid w:val="0"/>
                    <w:spacing w:line="240" w:lineRule="auto"/>
                    <w:ind w:firstLine="0" w:firstLineChars="0"/>
                    <w:jc w:val="center"/>
                    <w:rPr>
                      <w:sz w:val="21"/>
                      <w:szCs w:val="21"/>
                      <w:u w:val="none"/>
                    </w:rPr>
                  </w:pPr>
                </w:p>
              </w:tc>
              <w:tc>
                <w:tcPr>
                  <w:tcW w:w="416" w:type="pct"/>
                  <w:vMerge w:val="continue"/>
                  <w:tcBorders>
                    <w:tl2br w:val="nil"/>
                    <w:tr2bl w:val="nil"/>
                  </w:tcBorders>
                  <w:vAlign w:val="center"/>
                </w:tcPr>
                <w:p w14:paraId="286C3E62">
                  <w:pPr>
                    <w:autoSpaceDE w:val="0"/>
                    <w:adjustRightInd w:val="0"/>
                    <w:snapToGrid w:val="0"/>
                    <w:spacing w:line="240" w:lineRule="auto"/>
                    <w:ind w:firstLine="0" w:firstLineChars="0"/>
                    <w:jc w:val="center"/>
                    <w:rPr>
                      <w:b/>
                      <w:bCs/>
                      <w:sz w:val="21"/>
                      <w:szCs w:val="21"/>
                      <w:u w:val="none"/>
                    </w:rPr>
                  </w:pPr>
                </w:p>
              </w:tc>
              <w:tc>
                <w:tcPr>
                  <w:tcW w:w="395" w:type="pct"/>
                  <w:vMerge w:val="continue"/>
                  <w:tcBorders>
                    <w:tl2br w:val="nil"/>
                    <w:tr2bl w:val="nil"/>
                  </w:tcBorders>
                  <w:vAlign w:val="center"/>
                </w:tcPr>
                <w:p w14:paraId="0E659CFF">
                  <w:pPr>
                    <w:autoSpaceDE w:val="0"/>
                    <w:adjustRightInd w:val="0"/>
                    <w:snapToGrid w:val="0"/>
                    <w:spacing w:line="240" w:lineRule="auto"/>
                    <w:ind w:firstLine="0" w:firstLineChars="0"/>
                    <w:jc w:val="center"/>
                    <w:rPr>
                      <w:sz w:val="21"/>
                      <w:szCs w:val="21"/>
                      <w:u w:val="none"/>
                    </w:rPr>
                  </w:pPr>
                </w:p>
              </w:tc>
              <w:tc>
                <w:tcPr>
                  <w:tcW w:w="284" w:type="pct"/>
                  <w:vMerge w:val="continue"/>
                  <w:tcBorders>
                    <w:tl2br w:val="nil"/>
                    <w:tr2bl w:val="nil"/>
                  </w:tcBorders>
                  <w:vAlign w:val="center"/>
                </w:tcPr>
                <w:p w14:paraId="1C29BDEA">
                  <w:pPr>
                    <w:autoSpaceDE w:val="0"/>
                    <w:adjustRightInd w:val="0"/>
                    <w:snapToGrid w:val="0"/>
                    <w:spacing w:line="240" w:lineRule="auto"/>
                    <w:ind w:firstLine="0" w:firstLineChars="0"/>
                    <w:jc w:val="center"/>
                    <w:rPr>
                      <w:sz w:val="21"/>
                      <w:szCs w:val="21"/>
                      <w:u w:val="none"/>
                    </w:rPr>
                  </w:pPr>
                </w:p>
              </w:tc>
              <w:tc>
                <w:tcPr>
                  <w:tcW w:w="719" w:type="pct"/>
                  <w:tcBorders>
                    <w:tl2br w:val="nil"/>
                    <w:tr2bl w:val="nil"/>
                  </w:tcBorders>
                  <w:vAlign w:val="center"/>
                </w:tcPr>
                <w:p w14:paraId="336B38FF">
                  <w:pPr>
                    <w:autoSpaceDE w:val="0"/>
                    <w:adjustRightInd w:val="0"/>
                    <w:snapToGrid w:val="0"/>
                    <w:spacing w:line="240" w:lineRule="auto"/>
                    <w:ind w:firstLine="0" w:firstLineChars="0"/>
                    <w:jc w:val="center"/>
                    <w:rPr>
                      <w:b/>
                      <w:bCs/>
                      <w:sz w:val="21"/>
                      <w:szCs w:val="21"/>
                      <w:u w:val="none"/>
                    </w:rPr>
                  </w:pPr>
                  <w:r>
                    <w:rPr>
                      <w:b/>
                      <w:bCs/>
                      <w:sz w:val="21"/>
                      <w:szCs w:val="21"/>
                      <w:u w:val="none"/>
                    </w:rPr>
                    <w:t>污染防治设施名称及工艺</w:t>
                  </w:r>
                </w:p>
              </w:tc>
              <w:tc>
                <w:tcPr>
                  <w:tcW w:w="369" w:type="pct"/>
                  <w:tcBorders>
                    <w:tl2br w:val="nil"/>
                    <w:tr2bl w:val="nil"/>
                  </w:tcBorders>
                  <w:vAlign w:val="center"/>
                </w:tcPr>
                <w:p w14:paraId="3D4A02FF">
                  <w:pPr>
                    <w:autoSpaceDE w:val="0"/>
                    <w:adjustRightInd w:val="0"/>
                    <w:snapToGrid w:val="0"/>
                    <w:spacing w:line="240" w:lineRule="auto"/>
                    <w:ind w:firstLine="0" w:firstLineChars="0"/>
                    <w:jc w:val="center"/>
                    <w:rPr>
                      <w:b/>
                      <w:bCs/>
                      <w:sz w:val="21"/>
                      <w:szCs w:val="21"/>
                      <w:u w:val="none"/>
                    </w:rPr>
                  </w:pPr>
                  <w:r>
                    <w:rPr>
                      <w:b/>
                      <w:bCs/>
                      <w:sz w:val="21"/>
                      <w:szCs w:val="21"/>
                      <w:u w:val="none"/>
                    </w:rPr>
                    <w:t>是否为可行技术</w:t>
                  </w:r>
                </w:p>
              </w:tc>
              <w:tc>
                <w:tcPr>
                  <w:tcW w:w="612" w:type="pct"/>
                  <w:vMerge w:val="continue"/>
                  <w:tcBorders>
                    <w:tl2br w:val="nil"/>
                    <w:tr2bl w:val="nil"/>
                  </w:tcBorders>
                  <w:vAlign w:val="center"/>
                </w:tcPr>
                <w:p w14:paraId="22E421ED">
                  <w:pPr>
                    <w:autoSpaceDE w:val="0"/>
                    <w:adjustRightInd w:val="0"/>
                    <w:snapToGrid w:val="0"/>
                    <w:spacing w:line="240" w:lineRule="auto"/>
                    <w:ind w:firstLine="0" w:firstLineChars="0"/>
                    <w:jc w:val="center"/>
                    <w:rPr>
                      <w:sz w:val="21"/>
                      <w:szCs w:val="21"/>
                      <w:u w:val="none"/>
                    </w:rPr>
                  </w:pPr>
                </w:p>
              </w:tc>
              <w:tc>
                <w:tcPr>
                  <w:tcW w:w="765" w:type="pct"/>
                  <w:vMerge w:val="continue"/>
                  <w:tcBorders>
                    <w:tl2br w:val="nil"/>
                    <w:tr2bl w:val="nil"/>
                  </w:tcBorders>
                  <w:vAlign w:val="center"/>
                </w:tcPr>
                <w:p w14:paraId="1EDC8B30">
                  <w:pPr>
                    <w:autoSpaceDE w:val="0"/>
                    <w:adjustRightInd w:val="0"/>
                    <w:snapToGrid w:val="0"/>
                    <w:spacing w:line="240" w:lineRule="auto"/>
                    <w:ind w:firstLine="0" w:firstLineChars="0"/>
                    <w:jc w:val="center"/>
                    <w:rPr>
                      <w:sz w:val="21"/>
                      <w:szCs w:val="21"/>
                      <w:u w:val="none"/>
                    </w:rPr>
                  </w:pPr>
                </w:p>
              </w:tc>
              <w:tc>
                <w:tcPr>
                  <w:tcW w:w="1171" w:type="pct"/>
                  <w:vMerge w:val="continue"/>
                  <w:tcBorders>
                    <w:tl2br w:val="nil"/>
                    <w:tr2bl w:val="nil"/>
                  </w:tcBorders>
                  <w:vAlign w:val="center"/>
                </w:tcPr>
                <w:p w14:paraId="78C2C6A8">
                  <w:pPr>
                    <w:autoSpaceDE w:val="0"/>
                    <w:adjustRightInd w:val="0"/>
                    <w:snapToGrid w:val="0"/>
                    <w:spacing w:line="240" w:lineRule="auto"/>
                    <w:ind w:firstLine="0" w:firstLineChars="0"/>
                    <w:jc w:val="center"/>
                    <w:rPr>
                      <w:sz w:val="21"/>
                      <w:szCs w:val="21"/>
                      <w:u w:val="none"/>
                    </w:rPr>
                  </w:pPr>
                </w:p>
              </w:tc>
            </w:tr>
            <w:tr w14:paraId="695F87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5" w:type="pct"/>
                  <w:tcBorders>
                    <w:tl2br w:val="nil"/>
                    <w:tr2bl w:val="nil"/>
                  </w:tcBorders>
                  <w:vAlign w:val="center"/>
                </w:tcPr>
                <w:p w14:paraId="1B7096AB">
                  <w:pPr>
                    <w:autoSpaceDE w:val="0"/>
                    <w:adjustRightInd w:val="0"/>
                    <w:snapToGrid w:val="0"/>
                    <w:spacing w:line="240" w:lineRule="auto"/>
                    <w:ind w:firstLine="0" w:firstLineChars="0"/>
                    <w:jc w:val="center"/>
                    <w:rPr>
                      <w:sz w:val="21"/>
                      <w:szCs w:val="21"/>
                      <w:highlight w:val="none"/>
                      <w:u w:val="none"/>
                    </w:rPr>
                  </w:pPr>
                  <w:r>
                    <w:rPr>
                      <w:sz w:val="21"/>
                      <w:szCs w:val="21"/>
                      <w:highlight w:val="none"/>
                      <w:u w:val="none"/>
                    </w:rPr>
                    <w:t>1</w:t>
                  </w:r>
                </w:p>
              </w:tc>
              <w:tc>
                <w:tcPr>
                  <w:tcW w:w="416" w:type="pct"/>
                  <w:tcBorders>
                    <w:tl2br w:val="nil"/>
                    <w:tr2bl w:val="nil"/>
                  </w:tcBorders>
                  <w:vAlign w:val="center"/>
                </w:tcPr>
                <w:p w14:paraId="197CE04D">
                  <w:pPr>
                    <w:snapToGrid w:val="0"/>
                    <w:spacing w:line="240" w:lineRule="auto"/>
                    <w:ind w:firstLine="0" w:firstLineChars="0"/>
                    <w:rPr>
                      <w:rFonts w:hint="default" w:eastAsia="宋体"/>
                      <w:sz w:val="21"/>
                      <w:szCs w:val="21"/>
                      <w:highlight w:val="none"/>
                      <w:u w:val="none"/>
                      <w:lang w:val="en-US" w:eastAsia="zh-CN"/>
                    </w:rPr>
                  </w:pPr>
                  <w:r>
                    <w:rPr>
                      <w:rFonts w:hint="eastAsia"/>
                      <w:sz w:val="21"/>
                      <w:szCs w:val="21"/>
                      <w:highlight w:val="none"/>
                      <w:u w:val="none"/>
                      <w:lang w:val="en-US" w:eastAsia="zh-CN"/>
                    </w:rPr>
                    <w:t>筒仓呼吸粉尘</w:t>
                  </w:r>
                </w:p>
              </w:tc>
              <w:tc>
                <w:tcPr>
                  <w:tcW w:w="395" w:type="pct"/>
                  <w:tcBorders>
                    <w:tl2br w:val="nil"/>
                    <w:tr2bl w:val="nil"/>
                  </w:tcBorders>
                  <w:vAlign w:val="center"/>
                </w:tcPr>
                <w:p w14:paraId="2B541F5E">
                  <w:pPr>
                    <w:autoSpaceDE w:val="0"/>
                    <w:adjustRightInd w:val="0"/>
                    <w:snapToGrid w:val="0"/>
                    <w:spacing w:line="240" w:lineRule="auto"/>
                    <w:ind w:firstLine="0" w:firstLineChars="0"/>
                    <w:jc w:val="center"/>
                    <w:rPr>
                      <w:sz w:val="21"/>
                      <w:szCs w:val="21"/>
                      <w:highlight w:val="none"/>
                      <w:u w:val="none"/>
                    </w:rPr>
                  </w:pPr>
                  <w:r>
                    <w:rPr>
                      <w:rFonts w:hint="eastAsia"/>
                      <w:sz w:val="21"/>
                      <w:szCs w:val="21"/>
                      <w:highlight w:val="none"/>
                      <w:u w:val="none"/>
                    </w:rPr>
                    <w:t>颗粒物</w:t>
                  </w:r>
                </w:p>
              </w:tc>
              <w:tc>
                <w:tcPr>
                  <w:tcW w:w="284" w:type="pct"/>
                  <w:tcBorders>
                    <w:tl2br w:val="nil"/>
                    <w:tr2bl w:val="nil"/>
                  </w:tcBorders>
                  <w:vAlign w:val="center"/>
                </w:tcPr>
                <w:p w14:paraId="2F71D954">
                  <w:pPr>
                    <w:autoSpaceDE w:val="0"/>
                    <w:adjustRightInd w:val="0"/>
                    <w:snapToGrid w:val="0"/>
                    <w:spacing w:line="240" w:lineRule="auto"/>
                    <w:ind w:firstLine="0" w:firstLineChars="0"/>
                    <w:jc w:val="center"/>
                    <w:rPr>
                      <w:sz w:val="21"/>
                      <w:szCs w:val="21"/>
                      <w:highlight w:val="none"/>
                      <w:u w:val="none"/>
                    </w:rPr>
                  </w:pPr>
                  <w:r>
                    <w:rPr>
                      <w:rFonts w:hint="eastAsia"/>
                      <w:sz w:val="21"/>
                      <w:szCs w:val="21"/>
                      <w:highlight w:val="none"/>
                      <w:u w:val="none"/>
                    </w:rPr>
                    <w:t>有组织</w:t>
                  </w:r>
                </w:p>
              </w:tc>
              <w:tc>
                <w:tcPr>
                  <w:tcW w:w="719" w:type="pct"/>
                  <w:tcBorders>
                    <w:tl2br w:val="nil"/>
                    <w:tr2bl w:val="nil"/>
                  </w:tcBorders>
                  <w:vAlign w:val="center"/>
                </w:tcPr>
                <w:p w14:paraId="40B4FBF9">
                  <w:pPr>
                    <w:autoSpaceDE w:val="0"/>
                    <w:adjustRightInd w:val="0"/>
                    <w:snapToGrid w:val="0"/>
                    <w:spacing w:line="240" w:lineRule="auto"/>
                    <w:ind w:firstLine="0" w:firstLineChars="0"/>
                    <w:jc w:val="center"/>
                    <w:rPr>
                      <w:rFonts w:hint="default" w:eastAsia="宋体"/>
                      <w:sz w:val="21"/>
                      <w:szCs w:val="21"/>
                      <w:highlight w:val="none"/>
                      <w:u w:val="none"/>
                      <w:lang w:val="en-US" w:eastAsia="zh-CN"/>
                    </w:rPr>
                  </w:pPr>
                  <w:r>
                    <w:rPr>
                      <w:rFonts w:hint="eastAsia"/>
                      <w:sz w:val="21"/>
                      <w:szCs w:val="21"/>
                      <w:highlight w:val="none"/>
                      <w:u w:val="none"/>
                      <w:lang w:val="en-US" w:eastAsia="zh-CN"/>
                    </w:rPr>
                    <w:t>仓顶布袋除尘器</w:t>
                  </w:r>
                </w:p>
              </w:tc>
              <w:tc>
                <w:tcPr>
                  <w:tcW w:w="369" w:type="pct"/>
                  <w:tcBorders>
                    <w:tl2br w:val="nil"/>
                    <w:tr2bl w:val="nil"/>
                  </w:tcBorders>
                  <w:vAlign w:val="center"/>
                </w:tcPr>
                <w:p w14:paraId="0477AAED">
                  <w:pPr>
                    <w:autoSpaceDE w:val="0"/>
                    <w:adjustRightInd w:val="0"/>
                    <w:snapToGrid w:val="0"/>
                    <w:spacing w:line="240" w:lineRule="auto"/>
                    <w:ind w:firstLine="0" w:firstLineChars="0"/>
                    <w:jc w:val="center"/>
                    <w:rPr>
                      <w:sz w:val="21"/>
                      <w:szCs w:val="21"/>
                      <w:highlight w:val="none"/>
                      <w:u w:val="none"/>
                    </w:rPr>
                  </w:pPr>
                  <w:r>
                    <w:rPr>
                      <w:sz w:val="21"/>
                      <w:szCs w:val="21"/>
                      <w:highlight w:val="none"/>
                      <w:u w:val="none"/>
                    </w:rPr>
                    <w:t>是</w:t>
                  </w:r>
                </w:p>
              </w:tc>
              <w:tc>
                <w:tcPr>
                  <w:tcW w:w="612" w:type="pct"/>
                  <w:tcBorders>
                    <w:tl2br w:val="nil"/>
                    <w:tr2bl w:val="nil"/>
                  </w:tcBorders>
                  <w:vAlign w:val="center"/>
                </w:tcPr>
                <w:p w14:paraId="0D099658">
                  <w:pPr>
                    <w:autoSpaceDE w:val="0"/>
                    <w:adjustRightInd w:val="0"/>
                    <w:snapToGrid w:val="0"/>
                    <w:spacing w:line="240" w:lineRule="auto"/>
                    <w:ind w:firstLine="0" w:firstLineChars="0"/>
                    <w:jc w:val="center"/>
                    <w:rPr>
                      <w:rFonts w:hint="default" w:eastAsia="宋体"/>
                      <w:sz w:val="21"/>
                      <w:szCs w:val="21"/>
                      <w:highlight w:val="none"/>
                      <w:u w:val="none"/>
                      <w:lang w:val="en-US" w:eastAsia="zh-CN"/>
                    </w:rPr>
                  </w:pPr>
                  <w:r>
                    <w:rPr>
                      <w:rFonts w:hint="eastAsia"/>
                      <w:sz w:val="21"/>
                      <w:szCs w:val="21"/>
                      <w:highlight w:val="none"/>
                      <w:u w:val="none"/>
                      <w:lang w:val="en-US" w:eastAsia="zh-CN"/>
                    </w:rPr>
                    <w:t>P1、P2、P3、P4</w:t>
                  </w:r>
                </w:p>
              </w:tc>
              <w:tc>
                <w:tcPr>
                  <w:tcW w:w="765" w:type="pct"/>
                  <w:tcBorders>
                    <w:tl2br w:val="nil"/>
                    <w:tr2bl w:val="nil"/>
                  </w:tcBorders>
                  <w:vAlign w:val="center"/>
                </w:tcPr>
                <w:p w14:paraId="34CC9883">
                  <w:pPr>
                    <w:autoSpaceDE w:val="0"/>
                    <w:adjustRightInd w:val="0"/>
                    <w:snapToGrid w:val="0"/>
                    <w:spacing w:line="240" w:lineRule="auto"/>
                    <w:ind w:firstLine="0" w:firstLineChars="0"/>
                    <w:jc w:val="center"/>
                    <w:rPr>
                      <w:rFonts w:hint="default" w:eastAsia="宋体"/>
                      <w:sz w:val="21"/>
                      <w:szCs w:val="21"/>
                      <w:highlight w:val="none"/>
                      <w:u w:val="none"/>
                      <w:lang w:val="en-US" w:eastAsia="zh-CN"/>
                    </w:rPr>
                  </w:pPr>
                  <w:r>
                    <w:rPr>
                      <w:rFonts w:hint="eastAsia"/>
                      <w:sz w:val="21"/>
                      <w:szCs w:val="21"/>
                      <w:highlight w:val="none"/>
                      <w:u w:val="none"/>
                      <w:lang w:val="en-US" w:eastAsia="zh-CN"/>
                    </w:rPr>
                    <w:t>120</w:t>
                  </w:r>
                </w:p>
              </w:tc>
              <w:tc>
                <w:tcPr>
                  <w:tcW w:w="1171" w:type="pct"/>
                  <w:vMerge w:val="restart"/>
                  <w:tcBorders>
                    <w:tl2br w:val="nil"/>
                    <w:tr2bl w:val="nil"/>
                  </w:tcBorders>
                  <w:vAlign w:val="center"/>
                </w:tcPr>
                <w:p w14:paraId="687E5550">
                  <w:pPr>
                    <w:adjustRightInd w:val="0"/>
                    <w:snapToGrid w:val="0"/>
                    <w:spacing w:line="240" w:lineRule="auto"/>
                    <w:ind w:firstLine="0" w:firstLineChars="0"/>
                    <w:jc w:val="center"/>
                    <w:rPr>
                      <w:sz w:val="21"/>
                      <w:szCs w:val="21"/>
                      <w:u w:val="none"/>
                    </w:rPr>
                  </w:pPr>
                  <w:r>
                    <w:rPr>
                      <w:rFonts w:hint="eastAsia"/>
                      <w:spacing w:val="6"/>
                      <w:sz w:val="21"/>
                      <w:szCs w:val="21"/>
                      <w:u w:val="none"/>
                    </w:rPr>
                    <w:t>大气污染物综合排放标准</w:t>
                  </w:r>
                  <w:r>
                    <w:rPr>
                      <w:rFonts w:hint="eastAsia"/>
                      <w:sz w:val="21"/>
                      <w:szCs w:val="21"/>
                      <w:u w:val="none"/>
                    </w:rPr>
                    <w:t>》</w:t>
                  </w:r>
                  <w:r>
                    <w:rPr>
                      <w:rFonts w:hint="eastAsia"/>
                      <w:spacing w:val="6"/>
                      <w:sz w:val="21"/>
                      <w:szCs w:val="21"/>
                      <w:u w:val="none"/>
                    </w:rPr>
                    <w:t>（GB16297-1996）排放限值</w:t>
                  </w:r>
                </w:p>
              </w:tc>
            </w:tr>
            <w:tr w14:paraId="27045C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5" w:type="pct"/>
                  <w:tcBorders>
                    <w:tl2br w:val="nil"/>
                    <w:tr2bl w:val="nil"/>
                  </w:tcBorders>
                  <w:vAlign w:val="center"/>
                </w:tcPr>
                <w:p w14:paraId="48497C34">
                  <w:pPr>
                    <w:autoSpaceDE w:val="0"/>
                    <w:adjustRightInd w:val="0"/>
                    <w:snapToGrid w:val="0"/>
                    <w:spacing w:line="240" w:lineRule="auto"/>
                    <w:ind w:firstLine="0" w:firstLineChars="0"/>
                    <w:jc w:val="center"/>
                    <w:rPr>
                      <w:sz w:val="21"/>
                      <w:szCs w:val="21"/>
                      <w:u w:val="none"/>
                    </w:rPr>
                  </w:pPr>
                  <w:r>
                    <w:rPr>
                      <w:rFonts w:hint="eastAsia"/>
                      <w:sz w:val="21"/>
                      <w:szCs w:val="21"/>
                      <w:u w:val="none"/>
                    </w:rPr>
                    <w:t>2</w:t>
                  </w:r>
                </w:p>
              </w:tc>
              <w:tc>
                <w:tcPr>
                  <w:tcW w:w="416" w:type="pct"/>
                  <w:tcBorders>
                    <w:tl2br w:val="nil"/>
                    <w:tr2bl w:val="nil"/>
                  </w:tcBorders>
                  <w:vAlign w:val="center"/>
                </w:tcPr>
                <w:p w14:paraId="686E7C01">
                  <w:pPr>
                    <w:snapToGrid w:val="0"/>
                    <w:spacing w:line="240" w:lineRule="auto"/>
                    <w:ind w:left="0" w:leftChars="0" w:right="0" w:rightChars="0" w:firstLine="0" w:firstLineChars="0"/>
                    <w:jc w:val="center"/>
                    <w:rPr>
                      <w:rFonts w:hint="default" w:eastAsia="宋体"/>
                      <w:sz w:val="21"/>
                      <w:szCs w:val="21"/>
                      <w:u w:val="none"/>
                      <w:lang w:val="en-US" w:eastAsia="zh-CN"/>
                    </w:rPr>
                  </w:pPr>
                  <w:r>
                    <w:rPr>
                      <w:rFonts w:hint="eastAsia"/>
                      <w:sz w:val="21"/>
                      <w:szCs w:val="21"/>
                      <w:u w:val="none"/>
                      <w:lang w:val="en-US" w:eastAsia="zh-CN"/>
                    </w:rPr>
                    <w:t>罐车气力输送系统粉尘</w:t>
                  </w:r>
                </w:p>
              </w:tc>
              <w:tc>
                <w:tcPr>
                  <w:tcW w:w="395" w:type="pct"/>
                  <w:tcBorders>
                    <w:tl2br w:val="nil"/>
                    <w:tr2bl w:val="nil"/>
                  </w:tcBorders>
                  <w:vAlign w:val="center"/>
                </w:tcPr>
                <w:p w14:paraId="6B458B74">
                  <w:pPr>
                    <w:autoSpaceDE w:val="0"/>
                    <w:adjustRightInd w:val="0"/>
                    <w:snapToGrid w:val="0"/>
                    <w:spacing w:line="240" w:lineRule="auto"/>
                    <w:ind w:firstLine="0" w:firstLineChars="0"/>
                    <w:jc w:val="center"/>
                    <w:rPr>
                      <w:sz w:val="21"/>
                      <w:szCs w:val="21"/>
                      <w:u w:val="none"/>
                    </w:rPr>
                  </w:pPr>
                  <w:r>
                    <w:rPr>
                      <w:rFonts w:hint="eastAsia"/>
                      <w:sz w:val="21"/>
                      <w:szCs w:val="21"/>
                      <w:u w:val="none"/>
                    </w:rPr>
                    <w:t>颗粒物</w:t>
                  </w:r>
                </w:p>
              </w:tc>
              <w:tc>
                <w:tcPr>
                  <w:tcW w:w="284" w:type="pct"/>
                  <w:tcBorders>
                    <w:tl2br w:val="nil"/>
                    <w:tr2bl w:val="nil"/>
                  </w:tcBorders>
                  <w:vAlign w:val="center"/>
                </w:tcPr>
                <w:p w14:paraId="5CCBED08">
                  <w:pPr>
                    <w:autoSpaceDE w:val="0"/>
                    <w:adjustRightInd w:val="0"/>
                    <w:snapToGrid w:val="0"/>
                    <w:spacing w:line="240" w:lineRule="auto"/>
                    <w:ind w:firstLine="0" w:firstLineChars="0"/>
                    <w:jc w:val="center"/>
                    <w:rPr>
                      <w:rFonts w:hint="eastAsia" w:eastAsia="宋体"/>
                      <w:sz w:val="21"/>
                      <w:szCs w:val="21"/>
                      <w:u w:val="none"/>
                      <w:lang w:val="en-US" w:eastAsia="zh-CN"/>
                    </w:rPr>
                  </w:pPr>
                  <w:r>
                    <w:rPr>
                      <w:rFonts w:hint="eastAsia"/>
                      <w:sz w:val="21"/>
                      <w:szCs w:val="21"/>
                      <w:u w:val="none"/>
                      <w:lang w:val="en-US" w:eastAsia="zh-CN"/>
                    </w:rPr>
                    <w:t>无组织</w:t>
                  </w:r>
                </w:p>
              </w:tc>
              <w:tc>
                <w:tcPr>
                  <w:tcW w:w="719" w:type="pct"/>
                  <w:tcBorders>
                    <w:tl2br w:val="nil"/>
                    <w:tr2bl w:val="nil"/>
                  </w:tcBorders>
                  <w:vAlign w:val="center"/>
                </w:tcPr>
                <w:p w14:paraId="46E22C9E">
                  <w:pPr>
                    <w:autoSpaceDE w:val="0"/>
                    <w:adjustRightInd w:val="0"/>
                    <w:snapToGrid w:val="0"/>
                    <w:spacing w:line="240" w:lineRule="auto"/>
                    <w:ind w:firstLine="0" w:firstLineChars="0"/>
                    <w:jc w:val="center"/>
                    <w:rPr>
                      <w:rFonts w:hint="default" w:eastAsia="宋体"/>
                      <w:sz w:val="21"/>
                      <w:szCs w:val="21"/>
                      <w:u w:val="none"/>
                      <w:lang w:val="en-US" w:eastAsia="zh-CN"/>
                    </w:rPr>
                  </w:pPr>
                  <w:r>
                    <w:rPr>
                      <w:rFonts w:hint="eastAsia"/>
                      <w:sz w:val="21"/>
                      <w:szCs w:val="21"/>
                      <w:u w:val="none"/>
                      <w:lang w:val="en-US" w:eastAsia="zh-CN"/>
                    </w:rPr>
                    <w:t>散装机布袋除尘器</w:t>
                  </w:r>
                </w:p>
              </w:tc>
              <w:tc>
                <w:tcPr>
                  <w:tcW w:w="369" w:type="pct"/>
                  <w:tcBorders>
                    <w:tl2br w:val="nil"/>
                    <w:tr2bl w:val="nil"/>
                  </w:tcBorders>
                  <w:vAlign w:val="center"/>
                </w:tcPr>
                <w:p w14:paraId="04FA75B2">
                  <w:pPr>
                    <w:autoSpaceDE w:val="0"/>
                    <w:adjustRightInd w:val="0"/>
                    <w:snapToGrid w:val="0"/>
                    <w:spacing w:line="240" w:lineRule="auto"/>
                    <w:ind w:firstLine="0" w:firstLineChars="0"/>
                    <w:jc w:val="center"/>
                    <w:rPr>
                      <w:sz w:val="21"/>
                      <w:szCs w:val="21"/>
                      <w:u w:val="none"/>
                    </w:rPr>
                  </w:pPr>
                  <w:r>
                    <w:rPr>
                      <w:rFonts w:hint="eastAsia"/>
                      <w:sz w:val="21"/>
                      <w:szCs w:val="21"/>
                      <w:u w:val="none"/>
                    </w:rPr>
                    <w:t>是</w:t>
                  </w:r>
                </w:p>
              </w:tc>
              <w:tc>
                <w:tcPr>
                  <w:tcW w:w="612" w:type="pct"/>
                  <w:tcBorders>
                    <w:tl2br w:val="nil"/>
                    <w:tr2bl w:val="nil"/>
                  </w:tcBorders>
                  <w:vAlign w:val="center"/>
                </w:tcPr>
                <w:p w14:paraId="28F2E27F">
                  <w:pPr>
                    <w:autoSpaceDE w:val="0"/>
                    <w:adjustRightInd w:val="0"/>
                    <w:snapToGrid w:val="0"/>
                    <w:spacing w:line="240" w:lineRule="auto"/>
                    <w:ind w:firstLine="0" w:firstLineChars="0"/>
                    <w:jc w:val="center"/>
                    <w:rPr>
                      <w:rFonts w:hint="eastAsia" w:eastAsia="宋体"/>
                      <w:sz w:val="21"/>
                      <w:szCs w:val="21"/>
                      <w:u w:val="none"/>
                      <w:lang w:val="en-US" w:eastAsia="zh-CN"/>
                    </w:rPr>
                  </w:pPr>
                  <w:r>
                    <w:rPr>
                      <w:rFonts w:hint="eastAsia"/>
                      <w:sz w:val="21"/>
                      <w:szCs w:val="21"/>
                      <w:u w:val="none"/>
                      <w:lang w:val="en-US" w:eastAsia="zh-CN"/>
                    </w:rPr>
                    <w:t>/</w:t>
                  </w:r>
                </w:p>
              </w:tc>
              <w:tc>
                <w:tcPr>
                  <w:tcW w:w="765" w:type="pct"/>
                  <w:tcBorders>
                    <w:tl2br w:val="nil"/>
                    <w:tr2bl w:val="nil"/>
                  </w:tcBorders>
                  <w:vAlign w:val="center"/>
                </w:tcPr>
                <w:p w14:paraId="47ABA484">
                  <w:pPr>
                    <w:autoSpaceDE w:val="0"/>
                    <w:adjustRightInd w:val="0"/>
                    <w:snapToGrid w:val="0"/>
                    <w:spacing w:line="240" w:lineRule="auto"/>
                    <w:ind w:firstLine="0" w:firstLineChars="0"/>
                    <w:jc w:val="center"/>
                    <w:rPr>
                      <w:rFonts w:hint="default" w:eastAsia="宋体"/>
                      <w:sz w:val="21"/>
                      <w:szCs w:val="21"/>
                      <w:u w:val="none"/>
                      <w:lang w:val="en-US" w:eastAsia="zh-CN"/>
                    </w:rPr>
                  </w:pPr>
                  <w:r>
                    <w:rPr>
                      <w:rFonts w:hint="eastAsia"/>
                      <w:sz w:val="21"/>
                      <w:szCs w:val="21"/>
                      <w:u w:val="none"/>
                      <w:lang w:val="en-US" w:eastAsia="zh-CN"/>
                    </w:rPr>
                    <w:t>1.0</w:t>
                  </w:r>
                </w:p>
              </w:tc>
              <w:tc>
                <w:tcPr>
                  <w:tcW w:w="1171" w:type="pct"/>
                  <w:vMerge w:val="continue"/>
                  <w:tcBorders>
                    <w:tl2br w:val="nil"/>
                    <w:tr2bl w:val="nil"/>
                  </w:tcBorders>
                  <w:vAlign w:val="center"/>
                </w:tcPr>
                <w:p w14:paraId="2304BBE7">
                  <w:pPr>
                    <w:adjustRightInd w:val="0"/>
                    <w:snapToGrid w:val="0"/>
                    <w:spacing w:line="240" w:lineRule="auto"/>
                    <w:ind w:firstLine="0" w:firstLineChars="0"/>
                    <w:jc w:val="center"/>
                    <w:rPr>
                      <w:sz w:val="21"/>
                      <w:szCs w:val="21"/>
                      <w:u w:val="none"/>
                    </w:rPr>
                  </w:pPr>
                </w:p>
              </w:tc>
            </w:tr>
          </w:tbl>
          <w:p w14:paraId="05126DC8">
            <w:pPr>
              <w:keepNext w:val="0"/>
              <w:keepLines w:val="0"/>
              <w:pageBreakBefore w:val="0"/>
              <w:widowControl/>
              <w:numPr>
                <w:ilvl w:val="0"/>
                <w:numId w:val="30"/>
              </w:numPr>
              <w:kinsoku/>
              <w:wordWrap/>
              <w:overflowPunct/>
              <w:topLinePunct w:val="0"/>
              <w:autoSpaceDE/>
              <w:autoSpaceDN/>
              <w:bidi w:val="0"/>
              <w:adjustRightInd/>
              <w:snapToGrid/>
              <w:spacing w:before="120" w:beforeLines="50"/>
              <w:ind w:firstLine="480" w:firstLineChars="200"/>
              <w:textAlignment w:val="auto"/>
              <w:rPr>
                <w:rFonts w:hint="eastAsia"/>
                <w:b w:val="0"/>
                <w:bCs w:val="0"/>
                <w:u w:val="none"/>
                <w:lang w:val="en-US" w:eastAsia="zh-CN"/>
              </w:rPr>
            </w:pPr>
            <w:r>
              <w:rPr>
                <w:rFonts w:hint="eastAsia"/>
                <w:b w:val="0"/>
                <w:bCs w:val="0"/>
                <w:u w:val="none"/>
                <w:lang w:val="en-US" w:eastAsia="zh-CN"/>
              </w:rPr>
              <w:t>排放口基本情况</w:t>
            </w:r>
          </w:p>
          <w:p w14:paraId="473674ED">
            <w:pPr>
              <w:pStyle w:val="379"/>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bCs/>
                <w:u w:val="none"/>
                <w:lang w:val="en-US" w:eastAsia="zh-CN"/>
              </w:rPr>
            </w:pPr>
            <w:r>
              <w:rPr>
                <w:rFonts w:hint="eastAsia"/>
                <w:b/>
                <w:bCs/>
                <w:u w:val="none"/>
                <w:lang w:val="en-US" w:eastAsia="zh-CN"/>
              </w:rPr>
              <w:t>排放口基本情况一览表</w:t>
            </w:r>
          </w:p>
          <w:tbl>
            <w:tblPr>
              <w:tblStyle w:val="31"/>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46"/>
              <w:gridCol w:w="1393"/>
              <w:gridCol w:w="1004"/>
              <w:gridCol w:w="1296"/>
              <w:gridCol w:w="1186"/>
              <w:gridCol w:w="900"/>
              <w:gridCol w:w="1069"/>
              <w:gridCol w:w="925"/>
            </w:tblGrid>
            <w:tr w14:paraId="4021AF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271" w:type="pct"/>
                  <w:vMerge w:val="restart"/>
                  <w:tcBorders>
                    <w:tl2br w:val="nil"/>
                    <w:tr2bl w:val="nil"/>
                  </w:tcBorders>
                  <w:vAlign w:val="center"/>
                </w:tcPr>
                <w:p w14:paraId="50AB7ADD">
                  <w:pPr>
                    <w:widowControl/>
                    <w:autoSpaceDE w:val="0"/>
                    <w:adjustRightInd w:val="0"/>
                    <w:snapToGrid w:val="0"/>
                    <w:spacing w:line="240" w:lineRule="auto"/>
                    <w:ind w:firstLine="0" w:firstLineChars="0"/>
                    <w:jc w:val="center"/>
                    <w:rPr>
                      <w:rFonts w:hint="default" w:ascii="Times New Roman" w:hAnsi="Times New Roman" w:cs="Times New Roman"/>
                      <w:b/>
                      <w:bCs/>
                      <w:sz w:val="21"/>
                      <w:szCs w:val="21"/>
                      <w:highlight w:val="none"/>
                      <w:u w:val="none"/>
                    </w:rPr>
                  </w:pPr>
                  <w:r>
                    <w:rPr>
                      <w:rFonts w:hint="default" w:ascii="Times New Roman" w:hAnsi="Times New Roman" w:cs="Times New Roman"/>
                      <w:b/>
                      <w:bCs/>
                      <w:sz w:val="21"/>
                      <w:szCs w:val="21"/>
                      <w:highlight w:val="none"/>
                      <w:u w:val="none"/>
                    </w:rPr>
                    <w:t>序号</w:t>
                  </w:r>
                </w:p>
              </w:tc>
              <w:tc>
                <w:tcPr>
                  <w:tcW w:w="847" w:type="pct"/>
                  <w:vMerge w:val="restart"/>
                  <w:tcBorders>
                    <w:tl2br w:val="nil"/>
                    <w:tr2bl w:val="nil"/>
                  </w:tcBorders>
                  <w:vAlign w:val="center"/>
                </w:tcPr>
                <w:p w14:paraId="4F335DC0">
                  <w:pPr>
                    <w:widowControl/>
                    <w:autoSpaceDE w:val="0"/>
                    <w:adjustRightInd w:val="0"/>
                    <w:snapToGrid w:val="0"/>
                    <w:spacing w:line="240" w:lineRule="auto"/>
                    <w:ind w:firstLine="0" w:firstLineChars="0"/>
                    <w:jc w:val="center"/>
                    <w:rPr>
                      <w:rFonts w:hint="default" w:ascii="Times New Roman" w:hAnsi="Times New Roman" w:cs="Times New Roman"/>
                      <w:b/>
                      <w:bCs/>
                      <w:sz w:val="21"/>
                      <w:szCs w:val="21"/>
                      <w:highlight w:val="none"/>
                      <w:u w:val="none"/>
                    </w:rPr>
                  </w:pPr>
                  <w:r>
                    <w:rPr>
                      <w:rFonts w:hint="default" w:ascii="Times New Roman" w:hAnsi="Times New Roman" w:cs="Times New Roman"/>
                      <w:b/>
                      <w:bCs/>
                      <w:sz w:val="21"/>
                      <w:szCs w:val="21"/>
                      <w:highlight w:val="none"/>
                      <w:u w:val="none"/>
                    </w:rPr>
                    <w:t>排放口编号</w:t>
                  </w:r>
                </w:p>
              </w:tc>
              <w:tc>
                <w:tcPr>
                  <w:tcW w:w="610" w:type="pct"/>
                  <w:vMerge w:val="restart"/>
                  <w:tcBorders>
                    <w:tl2br w:val="nil"/>
                    <w:tr2bl w:val="nil"/>
                  </w:tcBorders>
                  <w:vAlign w:val="center"/>
                </w:tcPr>
                <w:p w14:paraId="3DA3ED4C">
                  <w:pPr>
                    <w:widowControl/>
                    <w:autoSpaceDE w:val="0"/>
                    <w:adjustRightInd w:val="0"/>
                    <w:snapToGrid w:val="0"/>
                    <w:spacing w:line="240" w:lineRule="auto"/>
                    <w:ind w:firstLine="0" w:firstLineChars="0"/>
                    <w:jc w:val="center"/>
                    <w:rPr>
                      <w:rFonts w:hint="default" w:ascii="Times New Roman" w:hAnsi="Times New Roman" w:cs="Times New Roman"/>
                      <w:b/>
                      <w:bCs/>
                      <w:sz w:val="21"/>
                      <w:szCs w:val="21"/>
                      <w:highlight w:val="none"/>
                      <w:u w:val="none"/>
                    </w:rPr>
                  </w:pPr>
                  <w:r>
                    <w:rPr>
                      <w:rFonts w:hint="default" w:ascii="Times New Roman" w:hAnsi="Times New Roman" w:cs="Times New Roman"/>
                      <w:b/>
                      <w:bCs/>
                      <w:sz w:val="21"/>
                      <w:szCs w:val="21"/>
                      <w:highlight w:val="none"/>
                      <w:u w:val="none"/>
                    </w:rPr>
                    <w:t>排放口类型</w:t>
                  </w:r>
                </w:p>
              </w:tc>
              <w:tc>
                <w:tcPr>
                  <w:tcW w:w="1509" w:type="pct"/>
                  <w:gridSpan w:val="2"/>
                  <w:tcBorders>
                    <w:tl2br w:val="nil"/>
                    <w:tr2bl w:val="nil"/>
                  </w:tcBorders>
                  <w:vAlign w:val="center"/>
                </w:tcPr>
                <w:p w14:paraId="3E6744C0">
                  <w:pPr>
                    <w:widowControl/>
                    <w:autoSpaceDE w:val="0"/>
                    <w:adjustRightInd w:val="0"/>
                    <w:snapToGrid w:val="0"/>
                    <w:spacing w:line="240" w:lineRule="auto"/>
                    <w:ind w:firstLine="0" w:firstLineChars="0"/>
                    <w:jc w:val="center"/>
                    <w:rPr>
                      <w:rFonts w:hint="default" w:ascii="Times New Roman" w:hAnsi="Times New Roman" w:cs="Times New Roman"/>
                      <w:b/>
                      <w:bCs/>
                      <w:sz w:val="21"/>
                      <w:szCs w:val="21"/>
                      <w:highlight w:val="none"/>
                      <w:u w:val="none"/>
                    </w:rPr>
                  </w:pPr>
                  <w:r>
                    <w:rPr>
                      <w:rFonts w:hint="default" w:ascii="Times New Roman" w:hAnsi="Times New Roman" w:cs="Times New Roman"/>
                      <w:b/>
                      <w:bCs/>
                      <w:sz w:val="21"/>
                      <w:szCs w:val="21"/>
                      <w:highlight w:val="none"/>
                      <w:u w:val="none"/>
                    </w:rPr>
                    <w:t>排放口地理坐标</w:t>
                  </w:r>
                </w:p>
              </w:tc>
              <w:tc>
                <w:tcPr>
                  <w:tcW w:w="547" w:type="pct"/>
                  <w:vMerge w:val="restart"/>
                  <w:tcBorders>
                    <w:tl2br w:val="nil"/>
                    <w:tr2bl w:val="nil"/>
                  </w:tcBorders>
                  <w:vAlign w:val="center"/>
                </w:tcPr>
                <w:p w14:paraId="03DF5D61">
                  <w:pPr>
                    <w:widowControl/>
                    <w:autoSpaceDE w:val="0"/>
                    <w:adjustRightInd w:val="0"/>
                    <w:snapToGrid w:val="0"/>
                    <w:spacing w:line="240" w:lineRule="auto"/>
                    <w:ind w:firstLine="0" w:firstLineChars="0"/>
                    <w:jc w:val="center"/>
                    <w:rPr>
                      <w:rFonts w:hint="default" w:ascii="Times New Roman" w:hAnsi="Times New Roman" w:cs="Times New Roman"/>
                      <w:b/>
                      <w:bCs/>
                      <w:sz w:val="21"/>
                      <w:szCs w:val="21"/>
                      <w:highlight w:val="none"/>
                      <w:u w:val="none"/>
                    </w:rPr>
                  </w:pPr>
                  <w:r>
                    <w:rPr>
                      <w:rFonts w:hint="default" w:ascii="Times New Roman" w:hAnsi="Times New Roman" w:cs="Times New Roman"/>
                      <w:b/>
                      <w:bCs/>
                      <w:sz w:val="21"/>
                      <w:szCs w:val="21"/>
                      <w:highlight w:val="none"/>
                      <w:u w:val="none"/>
                    </w:rPr>
                    <w:t>排</w:t>
                  </w:r>
                  <w:r>
                    <w:rPr>
                      <w:rFonts w:hint="eastAsia" w:cs="Times New Roman"/>
                      <w:b/>
                      <w:bCs/>
                      <w:sz w:val="21"/>
                      <w:szCs w:val="21"/>
                      <w:highlight w:val="none"/>
                      <w:u w:val="none"/>
                      <w:lang w:val="en-US" w:eastAsia="zh-CN"/>
                    </w:rPr>
                    <w:t>放</w:t>
                  </w:r>
                  <w:r>
                    <w:rPr>
                      <w:rFonts w:hint="default" w:ascii="Times New Roman" w:hAnsi="Times New Roman" w:cs="Times New Roman"/>
                      <w:b/>
                      <w:bCs/>
                      <w:sz w:val="21"/>
                      <w:szCs w:val="21"/>
                      <w:highlight w:val="none"/>
                      <w:u w:val="none"/>
                    </w:rPr>
                    <w:t>高度（m）</w:t>
                  </w:r>
                </w:p>
              </w:tc>
              <w:tc>
                <w:tcPr>
                  <w:tcW w:w="650" w:type="pct"/>
                  <w:vMerge w:val="restart"/>
                  <w:tcBorders>
                    <w:tl2br w:val="nil"/>
                    <w:tr2bl w:val="nil"/>
                  </w:tcBorders>
                  <w:vAlign w:val="center"/>
                </w:tcPr>
                <w:p w14:paraId="2E417931">
                  <w:pPr>
                    <w:widowControl/>
                    <w:autoSpaceDE w:val="0"/>
                    <w:adjustRightInd w:val="0"/>
                    <w:snapToGrid w:val="0"/>
                    <w:spacing w:line="240" w:lineRule="auto"/>
                    <w:ind w:firstLine="0" w:firstLineChars="0"/>
                    <w:jc w:val="center"/>
                    <w:rPr>
                      <w:rFonts w:hint="default" w:ascii="Times New Roman" w:hAnsi="Times New Roman" w:cs="Times New Roman"/>
                      <w:b/>
                      <w:bCs/>
                      <w:sz w:val="21"/>
                      <w:szCs w:val="21"/>
                      <w:highlight w:val="none"/>
                      <w:u w:val="none"/>
                    </w:rPr>
                  </w:pPr>
                  <w:r>
                    <w:rPr>
                      <w:rFonts w:hint="default" w:ascii="Times New Roman" w:hAnsi="Times New Roman" w:cs="Times New Roman"/>
                      <w:b/>
                      <w:bCs/>
                      <w:sz w:val="21"/>
                      <w:szCs w:val="21"/>
                      <w:highlight w:val="none"/>
                      <w:u w:val="none"/>
                    </w:rPr>
                    <w:t>排</w:t>
                  </w:r>
                  <w:r>
                    <w:rPr>
                      <w:rFonts w:hint="eastAsia" w:cs="Times New Roman"/>
                      <w:b/>
                      <w:bCs/>
                      <w:sz w:val="21"/>
                      <w:szCs w:val="21"/>
                      <w:highlight w:val="none"/>
                      <w:u w:val="none"/>
                      <w:lang w:val="en-US" w:eastAsia="zh-CN"/>
                    </w:rPr>
                    <w:t>放口</w:t>
                  </w:r>
                  <w:r>
                    <w:rPr>
                      <w:rFonts w:hint="default" w:ascii="Times New Roman" w:hAnsi="Times New Roman" w:cs="Times New Roman"/>
                      <w:b/>
                      <w:bCs/>
                      <w:sz w:val="21"/>
                      <w:szCs w:val="21"/>
                      <w:highlight w:val="none"/>
                      <w:u w:val="none"/>
                    </w:rPr>
                    <w:t>出口内径（m）</w:t>
                  </w:r>
                </w:p>
              </w:tc>
              <w:tc>
                <w:tcPr>
                  <w:tcW w:w="562" w:type="pct"/>
                  <w:vMerge w:val="restart"/>
                  <w:tcBorders>
                    <w:tl2br w:val="nil"/>
                    <w:tr2bl w:val="nil"/>
                  </w:tcBorders>
                  <w:vAlign w:val="center"/>
                </w:tcPr>
                <w:p w14:paraId="04610513">
                  <w:pPr>
                    <w:widowControl/>
                    <w:autoSpaceDE w:val="0"/>
                    <w:adjustRightInd w:val="0"/>
                    <w:snapToGrid w:val="0"/>
                    <w:spacing w:line="240" w:lineRule="auto"/>
                    <w:ind w:firstLine="0" w:firstLineChars="0"/>
                    <w:jc w:val="center"/>
                    <w:rPr>
                      <w:rFonts w:hint="default" w:ascii="Times New Roman" w:hAnsi="Times New Roman" w:cs="Times New Roman"/>
                      <w:b/>
                      <w:bCs/>
                      <w:sz w:val="21"/>
                      <w:szCs w:val="21"/>
                      <w:highlight w:val="none"/>
                      <w:u w:val="none"/>
                    </w:rPr>
                  </w:pPr>
                  <w:r>
                    <w:rPr>
                      <w:rFonts w:hint="default" w:ascii="Times New Roman" w:hAnsi="Times New Roman" w:cs="Times New Roman"/>
                      <w:b/>
                      <w:bCs/>
                      <w:sz w:val="21"/>
                      <w:szCs w:val="21"/>
                      <w:highlight w:val="none"/>
                      <w:u w:val="none"/>
                    </w:rPr>
                    <w:t>排气温度（℃）</w:t>
                  </w:r>
                </w:p>
              </w:tc>
            </w:tr>
            <w:tr w14:paraId="6B8881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271" w:type="pct"/>
                  <w:vMerge w:val="continue"/>
                  <w:tcBorders>
                    <w:tl2br w:val="nil"/>
                    <w:tr2bl w:val="nil"/>
                  </w:tcBorders>
                  <w:vAlign w:val="center"/>
                </w:tcPr>
                <w:p w14:paraId="29194218">
                  <w:pPr>
                    <w:widowControl/>
                    <w:spacing w:line="240" w:lineRule="auto"/>
                    <w:ind w:firstLine="0" w:firstLineChars="0"/>
                    <w:rPr>
                      <w:rFonts w:hint="default" w:ascii="Times New Roman" w:hAnsi="Times New Roman" w:cs="Times New Roman"/>
                      <w:sz w:val="21"/>
                      <w:szCs w:val="21"/>
                      <w:highlight w:val="none"/>
                      <w:u w:val="none"/>
                    </w:rPr>
                  </w:pPr>
                </w:p>
              </w:tc>
              <w:tc>
                <w:tcPr>
                  <w:tcW w:w="847" w:type="pct"/>
                  <w:vMerge w:val="continue"/>
                  <w:tcBorders>
                    <w:tl2br w:val="nil"/>
                    <w:tr2bl w:val="nil"/>
                  </w:tcBorders>
                  <w:vAlign w:val="center"/>
                </w:tcPr>
                <w:p w14:paraId="34C36B92">
                  <w:pPr>
                    <w:widowControl/>
                    <w:spacing w:line="240" w:lineRule="auto"/>
                    <w:ind w:firstLine="0" w:firstLineChars="0"/>
                    <w:rPr>
                      <w:rFonts w:hint="default" w:ascii="Times New Roman" w:hAnsi="Times New Roman" w:cs="Times New Roman"/>
                      <w:sz w:val="21"/>
                      <w:szCs w:val="21"/>
                      <w:highlight w:val="none"/>
                      <w:u w:val="none"/>
                    </w:rPr>
                  </w:pPr>
                </w:p>
              </w:tc>
              <w:tc>
                <w:tcPr>
                  <w:tcW w:w="610" w:type="pct"/>
                  <w:vMerge w:val="continue"/>
                  <w:tcBorders>
                    <w:tl2br w:val="nil"/>
                    <w:tr2bl w:val="nil"/>
                  </w:tcBorders>
                  <w:vAlign w:val="center"/>
                </w:tcPr>
                <w:p w14:paraId="4EDA4A0D">
                  <w:pPr>
                    <w:widowControl/>
                    <w:spacing w:line="240" w:lineRule="auto"/>
                    <w:ind w:firstLine="0" w:firstLineChars="0"/>
                    <w:rPr>
                      <w:rFonts w:hint="default" w:ascii="Times New Roman" w:hAnsi="Times New Roman" w:cs="Times New Roman"/>
                      <w:sz w:val="21"/>
                      <w:szCs w:val="21"/>
                      <w:highlight w:val="none"/>
                      <w:u w:val="none"/>
                    </w:rPr>
                  </w:pPr>
                </w:p>
              </w:tc>
              <w:tc>
                <w:tcPr>
                  <w:tcW w:w="788" w:type="pct"/>
                  <w:tcBorders>
                    <w:tl2br w:val="nil"/>
                    <w:tr2bl w:val="nil"/>
                  </w:tcBorders>
                  <w:vAlign w:val="center"/>
                </w:tcPr>
                <w:p w14:paraId="0F2E2B19">
                  <w:pPr>
                    <w:widowControl/>
                    <w:autoSpaceDE w:val="0"/>
                    <w:adjustRightInd w:val="0"/>
                    <w:snapToGrid w:val="0"/>
                    <w:spacing w:line="240" w:lineRule="auto"/>
                    <w:ind w:firstLine="0" w:firstLineChars="0"/>
                    <w:jc w:val="center"/>
                    <w:rPr>
                      <w:rFonts w:hint="default" w:ascii="Times New Roman" w:hAnsi="Times New Roman" w:cs="Times New Roman"/>
                      <w:b/>
                      <w:bCs/>
                      <w:sz w:val="21"/>
                      <w:szCs w:val="21"/>
                      <w:highlight w:val="none"/>
                      <w:u w:val="none"/>
                    </w:rPr>
                  </w:pPr>
                  <w:r>
                    <w:rPr>
                      <w:rFonts w:hint="default" w:ascii="Times New Roman" w:hAnsi="Times New Roman" w:cs="Times New Roman"/>
                      <w:b/>
                      <w:bCs/>
                      <w:sz w:val="21"/>
                      <w:szCs w:val="21"/>
                      <w:highlight w:val="none"/>
                      <w:u w:val="none"/>
                    </w:rPr>
                    <w:t>经度</w:t>
                  </w:r>
                </w:p>
              </w:tc>
              <w:tc>
                <w:tcPr>
                  <w:tcW w:w="721" w:type="pct"/>
                  <w:tcBorders>
                    <w:tl2br w:val="nil"/>
                    <w:tr2bl w:val="nil"/>
                  </w:tcBorders>
                  <w:vAlign w:val="center"/>
                </w:tcPr>
                <w:p w14:paraId="63456E13">
                  <w:pPr>
                    <w:widowControl/>
                    <w:autoSpaceDE w:val="0"/>
                    <w:adjustRightInd w:val="0"/>
                    <w:snapToGrid w:val="0"/>
                    <w:spacing w:line="240" w:lineRule="auto"/>
                    <w:ind w:firstLine="0" w:firstLineChars="0"/>
                    <w:jc w:val="center"/>
                    <w:rPr>
                      <w:rFonts w:hint="default" w:ascii="Times New Roman" w:hAnsi="Times New Roman" w:cs="Times New Roman"/>
                      <w:b/>
                      <w:bCs/>
                      <w:sz w:val="21"/>
                      <w:szCs w:val="21"/>
                      <w:highlight w:val="none"/>
                      <w:u w:val="none"/>
                    </w:rPr>
                  </w:pPr>
                  <w:r>
                    <w:rPr>
                      <w:rFonts w:hint="default" w:ascii="Times New Roman" w:hAnsi="Times New Roman" w:cs="Times New Roman"/>
                      <w:b/>
                      <w:bCs/>
                      <w:sz w:val="21"/>
                      <w:szCs w:val="21"/>
                      <w:highlight w:val="none"/>
                      <w:u w:val="none"/>
                    </w:rPr>
                    <w:t>纬度</w:t>
                  </w:r>
                </w:p>
              </w:tc>
              <w:tc>
                <w:tcPr>
                  <w:tcW w:w="547" w:type="pct"/>
                  <w:vMerge w:val="continue"/>
                  <w:tcBorders>
                    <w:tl2br w:val="nil"/>
                    <w:tr2bl w:val="nil"/>
                  </w:tcBorders>
                  <w:vAlign w:val="center"/>
                </w:tcPr>
                <w:p w14:paraId="166D2EA2">
                  <w:pPr>
                    <w:widowControl/>
                    <w:spacing w:line="240" w:lineRule="auto"/>
                    <w:ind w:firstLine="0" w:firstLineChars="0"/>
                    <w:rPr>
                      <w:rFonts w:hint="default" w:ascii="Times New Roman" w:hAnsi="Times New Roman" w:cs="Times New Roman"/>
                      <w:sz w:val="21"/>
                      <w:szCs w:val="21"/>
                      <w:highlight w:val="none"/>
                      <w:u w:val="none"/>
                    </w:rPr>
                  </w:pPr>
                </w:p>
              </w:tc>
              <w:tc>
                <w:tcPr>
                  <w:tcW w:w="650" w:type="pct"/>
                  <w:vMerge w:val="continue"/>
                  <w:tcBorders>
                    <w:tl2br w:val="nil"/>
                    <w:tr2bl w:val="nil"/>
                  </w:tcBorders>
                  <w:vAlign w:val="center"/>
                </w:tcPr>
                <w:p w14:paraId="04448D4B">
                  <w:pPr>
                    <w:widowControl/>
                    <w:spacing w:line="240" w:lineRule="auto"/>
                    <w:ind w:firstLine="0" w:firstLineChars="0"/>
                    <w:rPr>
                      <w:rFonts w:hint="default" w:ascii="Times New Roman" w:hAnsi="Times New Roman" w:cs="Times New Roman"/>
                      <w:sz w:val="21"/>
                      <w:szCs w:val="21"/>
                      <w:highlight w:val="none"/>
                      <w:u w:val="none"/>
                    </w:rPr>
                  </w:pPr>
                </w:p>
              </w:tc>
              <w:tc>
                <w:tcPr>
                  <w:tcW w:w="562" w:type="pct"/>
                  <w:vMerge w:val="continue"/>
                  <w:tcBorders>
                    <w:tl2br w:val="nil"/>
                    <w:tr2bl w:val="nil"/>
                  </w:tcBorders>
                  <w:vAlign w:val="center"/>
                </w:tcPr>
                <w:p w14:paraId="6B04D539">
                  <w:pPr>
                    <w:widowControl/>
                    <w:spacing w:line="240" w:lineRule="auto"/>
                    <w:ind w:firstLine="0" w:firstLineChars="0"/>
                    <w:rPr>
                      <w:rFonts w:hint="default" w:ascii="Times New Roman" w:hAnsi="Times New Roman" w:cs="Times New Roman"/>
                      <w:sz w:val="21"/>
                      <w:szCs w:val="21"/>
                      <w:highlight w:val="none"/>
                      <w:u w:val="none"/>
                    </w:rPr>
                  </w:pPr>
                </w:p>
              </w:tc>
            </w:tr>
            <w:tr w14:paraId="7BFCA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1" w:type="pct"/>
                  <w:tcBorders>
                    <w:tl2br w:val="nil"/>
                    <w:tr2bl w:val="nil"/>
                  </w:tcBorders>
                  <w:vAlign w:val="center"/>
                </w:tcPr>
                <w:p w14:paraId="5CDD05DA">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1</w:t>
                  </w:r>
                </w:p>
              </w:tc>
              <w:tc>
                <w:tcPr>
                  <w:tcW w:w="847" w:type="pct"/>
                  <w:tcBorders>
                    <w:tl2br w:val="nil"/>
                    <w:tr2bl w:val="nil"/>
                  </w:tcBorders>
                  <w:vAlign w:val="center"/>
                </w:tcPr>
                <w:p w14:paraId="400C0A76">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P1</w:t>
                  </w:r>
                </w:p>
              </w:tc>
              <w:tc>
                <w:tcPr>
                  <w:tcW w:w="610" w:type="pct"/>
                  <w:tcBorders>
                    <w:tl2br w:val="nil"/>
                    <w:tr2bl w:val="nil"/>
                  </w:tcBorders>
                  <w:vAlign w:val="center"/>
                </w:tcPr>
                <w:p w14:paraId="2EFD95E3">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一般排放口</w:t>
                  </w:r>
                </w:p>
              </w:tc>
              <w:tc>
                <w:tcPr>
                  <w:tcW w:w="788" w:type="pct"/>
                  <w:tcBorders>
                    <w:tl2br w:val="nil"/>
                    <w:tr2bl w:val="nil"/>
                  </w:tcBorders>
                  <w:vAlign w:val="center"/>
                </w:tcPr>
                <w:p w14:paraId="5B8B8AE0">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rPr>
                  </w:pPr>
                  <w:r>
                    <w:rPr>
                      <w:rFonts w:hint="default" w:ascii="Times New Roman" w:hAnsi="Times New Roman" w:cs="Times New Roman"/>
                      <w:spacing w:val="6"/>
                      <w:sz w:val="21"/>
                      <w:szCs w:val="21"/>
                      <w:highlight w:val="none"/>
                      <w:u w:val="none"/>
                    </w:rPr>
                    <w:t>113.161408</w:t>
                  </w:r>
                </w:p>
              </w:tc>
              <w:tc>
                <w:tcPr>
                  <w:tcW w:w="721" w:type="pct"/>
                  <w:tcBorders>
                    <w:tl2br w:val="nil"/>
                    <w:tr2bl w:val="nil"/>
                  </w:tcBorders>
                  <w:vAlign w:val="center"/>
                </w:tcPr>
                <w:p w14:paraId="7A99EA3A">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pacing w:val="6"/>
                      <w:sz w:val="21"/>
                      <w:szCs w:val="21"/>
                      <w:highlight w:val="none"/>
                      <w:u w:val="none"/>
                    </w:rPr>
                    <w:t>29.44345</w:t>
                  </w:r>
                  <w:r>
                    <w:rPr>
                      <w:rFonts w:hint="default" w:ascii="Times New Roman" w:hAnsi="Times New Roman" w:cs="Times New Roman"/>
                      <w:spacing w:val="6"/>
                      <w:sz w:val="21"/>
                      <w:szCs w:val="21"/>
                      <w:highlight w:val="none"/>
                      <w:u w:val="none"/>
                      <w:lang w:val="en-US" w:eastAsia="zh-CN"/>
                    </w:rPr>
                    <w:t>2</w:t>
                  </w:r>
                </w:p>
              </w:tc>
              <w:tc>
                <w:tcPr>
                  <w:tcW w:w="547" w:type="pct"/>
                  <w:tcBorders>
                    <w:tl2br w:val="nil"/>
                    <w:tr2bl w:val="nil"/>
                  </w:tcBorders>
                  <w:vAlign w:val="center"/>
                </w:tcPr>
                <w:p w14:paraId="0A8612BD">
                  <w:pPr>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28</w:t>
                  </w:r>
                </w:p>
              </w:tc>
              <w:tc>
                <w:tcPr>
                  <w:tcW w:w="650" w:type="pct"/>
                  <w:tcBorders>
                    <w:tl2br w:val="nil"/>
                    <w:tr2bl w:val="nil"/>
                  </w:tcBorders>
                  <w:vAlign w:val="center"/>
                </w:tcPr>
                <w:p w14:paraId="0706A865">
                  <w:pPr>
                    <w:spacing w:line="240" w:lineRule="auto"/>
                    <w:ind w:firstLine="0" w:firstLineChars="0"/>
                    <w:jc w:val="center"/>
                    <w:rPr>
                      <w:rFonts w:hint="default" w:ascii="Times New Roman" w:hAnsi="Times New Roman" w:eastAsia="宋体" w:cs="Times New Roman"/>
                      <w:sz w:val="21"/>
                      <w:szCs w:val="21"/>
                      <w:highlight w:val="none"/>
                      <w:u w:val="none"/>
                      <w:lang w:eastAsia="zh-CN"/>
                    </w:rPr>
                  </w:pPr>
                  <w:r>
                    <w:rPr>
                      <w:rFonts w:hint="default" w:ascii="Times New Roman" w:hAnsi="Times New Roman" w:cs="Times New Roman"/>
                      <w:sz w:val="21"/>
                      <w:szCs w:val="21"/>
                      <w:highlight w:val="none"/>
                      <w:u w:val="none"/>
                      <w:lang w:val="en-US" w:eastAsia="zh-CN"/>
                    </w:rPr>
                    <w:t>/</w:t>
                  </w:r>
                </w:p>
              </w:tc>
              <w:tc>
                <w:tcPr>
                  <w:tcW w:w="562" w:type="pct"/>
                  <w:tcBorders>
                    <w:tl2br w:val="nil"/>
                    <w:tr2bl w:val="nil"/>
                  </w:tcBorders>
                  <w:vAlign w:val="center"/>
                </w:tcPr>
                <w:p w14:paraId="4FED998B">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常温</w:t>
                  </w:r>
                </w:p>
              </w:tc>
            </w:tr>
            <w:tr w14:paraId="53300E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1" w:type="pct"/>
                  <w:tcBorders>
                    <w:tl2br w:val="nil"/>
                    <w:tr2bl w:val="nil"/>
                  </w:tcBorders>
                  <w:vAlign w:val="center"/>
                </w:tcPr>
                <w:p w14:paraId="3C762261">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2</w:t>
                  </w:r>
                </w:p>
              </w:tc>
              <w:tc>
                <w:tcPr>
                  <w:tcW w:w="847" w:type="pct"/>
                  <w:tcBorders>
                    <w:tl2br w:val="nil"/>
                    <w:tr2bl w:val="nil"/>
                  </w:tcBorders>
                  <w:vAlign w:val="center"/>
                </w:tcPr>
                <w:p w14:paraId="23DD1D87">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P2</w:t>
                  </w:r>
                </w:p>
              </w:tc>
              <w:tc>
                <w:tcPr>
                  <w:tcW w:w="610" w:type="pct"/>
                  <w:tcBorders>
                    <w:tl2br w:val="nil"/>
                    <w:tr2bl w:val="nil"/>
                  </w:tcBorders>
                  <w:vAlign w:val="center"/>
                </w:tcPr>
                <w:p w14:paraId="4242D203">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一般排放口</w:t>
                  </w:r>
                </w:p>
              </w:tc>
              <w:tc>
                <w:tcPr>
                  <w:tcW w:w="788" w:type="pct"/>
                  <w:tcBorders>
                    <w:tl2br w:val="nil"/>
                    <w:tr2bl w:val="nil"/>
                  </w:tcBorders>
                  <w:vAlign w:val="center"/>
                </w:tcPr>
                <w:p w14:paraId="5301BDC8">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pacing w:val="6"/>
                      <w:sz w:val="21"/>
                      <w:szCs w:val="21"/>
                      <w:highlight w:val="none"/>
                      <w:u w:val="none"/>
                    </w:rPr>
                    <w:t>113.1616</w:t>
                  </w:r>
                  <w:r>
                    <w:rPr>
                      <w:rFonts w:hint="default" w:ascii="Times New Roman" w:hAnsi="Times New Roman" w:cs="Times New Roman"/>
                      <w:spacing w:val="6"/>
                      <w:sz w:val="21"/>
                      <w:szCs w:val="21"/>
                      <w:highlight w:val="none"/>
                      <w:u w:val="none"/>
                      <w:lang w:val="en-US" w:eastAsia="zh-CN"/>
                    </w:rPr>
                    <w:t>50</w:t>
                  </w:r>
                </w:p>
              </w:tc>
              <w:tc>
                <w:tcPr>
                  <w:tcW w:w="721" w:type="pct"/>
                  <w:tcBorders>
                    <w:tl2br w:val="nil"/>
                    <w:tr2bl w:val="nil"/>
                  </w:tcBorders>
                  <w:vAlign w:val="center"/>
                </w:tcPr>
                <w:p w14:paraId="1E720420">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rPr>
                  </w:pPr>
                  <w:r>
                    <w:rPr>
                      <w:rFonts w:hint="default" w:ascii="Times New Roman" w:hAnsi="Times New Roman" w:cs="Times New Roman"/>
                      <w:spacing w:val="6"/>
                      <w:sz w:val="21"/>
                      <w:szCs w:val="21"/>
                      <w:highlight w:val="none"/>
                      <w:u w:val="none"/>
                    </w:rPr>
                    <w:t>29.443988</w:t>
                  </w:r>
                </w:p>
              </w:tc>
              <w:tc>
                <w:tcPr>
                  <w:tcW w:w="547" w:type="pct"/>
                  <w:tcBorders>
                    <w:tl2br w:val="nil"/>
                    <w:tr2bl w:val="nil"/>
                  </w:tcBorders>
                  <w:vAlign w:val="center"/>
                </w:tcPr>
                <w:p w14:paraId="06E542C9">
                  <w:pPr>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28</w:t>
                  </w:r>
                </w:p>
              </w:tc>
              <w:tc>
                <w:tcPr>
                  <w:tcW w:w="650" w:type="pct"/>
                  <w:tcBorders>
                    <w:tl2br w:val="nil"/>
                    <w:tr2bl w:val="nil"/>
                  </w:tcBorders>
                  <w:vAlign w:val="center"/>
                </w:tcPr>
                <w:p w14:paraId="27BF8494">
                  <w:pPr>
                    <w:spacing w:line="240" w:lineRule="auto"/>
                    <w:ind w:firstLine="0" w:firstLineChars="0"/>
                    <w:jc w:val="center"/>
                    <w:rPr>
                      <w:rFonts w:hint="default" w:ascii="Times New Roman" w:hAnsi="Times New Roman"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w:t>
                  </w:r>
                </w:p>
              </w:tc>
              <w:tc>
                <w:tcPr>
                  <w:tcW w:w="562" w:type="pct"/>
                  <w:tcBorders>
                    <w:tl2br w:val="nil"/>
                    <w:tr2bl w:val="nil"/>
                  </w:tcBorders>
                  <w:vAlign w:val="center"/>
                </w:tcPr>
                <w:p w14:paraId="2D46DA0A">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常温</w:t>
                  </w:r>
                </w:p>
              </w:tc>
            </w:tr>
            <w:tr w14:paraId="0E3325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1" w:type="pct"/>
                  <w:tcBorders>
                    <w:tl2br w:val="nil"/>
                    <w:tr2bl w:val="nil"/>
                  </w:tcBorders>
                  <w:vAlign w:val="center"/>
                </w:tcPr>
                <w:p w14:paraId="0835E94B">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3</w:t>
                  </w:r>
                </w:p>
              </w:tc>
              <w:tc>
                <w:tcPr>
                  <w:tcW w:w="847" w:type="pct"/>
                  <w:tcBorders>
                    <w:tl2br w:val="nil"/>
                    <w:tr2bl w:val="nil"/>
                  </w:tcBorders>
                  <w:vAlign w:val="center"/>
                </w:tcPr>
                <w:p w14:paraId="6BE7BDA1">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P3</w:t>
                  </w:r>
                </w:p>
              </w:tc>
              <w:tc>
                <w:tcPr>
                  <w:tcW w:w="610" w:type="pct"/>
                  <w:tcBorders>
                    <w:tl2br w:val="nil"/>
                    <w:tr2bl w:val="nil"/>
                  </w:tcBorders>
                  <w:vAlign w:val="center"/>
                </w:tcPr>
                <w:p w14:paraId="79E4DD43">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一般排放口</w:t>
                  </w:r>
                </w:p>
              </w:tc>
              <w:tc>
                <w:tcPr>
                  <w:tcW w:w="788" w:type="pct"/>
                  <w:tcBorders>
                    <w:tl2br w:val="nil"/>
                    <w:tr2bl w:val="nil"/>
                  </w:tcBorders>
                  <w:vAlign w:val="center"/>
                </w:tcPr>
                <w:p w14:paraId="4D625FD1">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rPr>
                  </w:pPr>
                  <w:r>
                    <w:rPr>
                      <w:rFonts w:hint="default" w:ascii="Times New Roman" w:hAnsi="Times New Roman" w:cs="Times New Roman"/>
                      <w:spacing w:val="6"/>
                      <w:sz w:val="21"/>
                      <w:szCs w:val="21"/>
                      <w:highlight w:val="none"/>
                      <w:u w:val="none"/>
                    </w:rPr>
                    <w:t>113.164208</w:t>
                  </w:r>
                </w:p>
              </w:tc>
              <w:tc>
                <w:tcPr>
                  <w:tcW w:w="721" w:type="pct"/>
                  <w:tcBorders>
                    <w:tl2br w:val="nil"/>
                    <w:tr2bl w:val="nil"/>
                  </w:tcBorders>
                  <w:vAlign w:val="center"/>
                </w:tcPr>
                <w:p w14:paraId="0BDCD868">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rPr>
                  </w:pPr>
                  <w:r>
                    <w:rPr>
                      <w:rFonts w:hint="default" w:ascii="Times New Roman" w:hAnsi="Times New Roman" w:cs="Times New Roman"/>
                      <w:spacing w:val="6"/>
                      <w:sz w:val="21"/>
                      <w:szCs w:val="21"/>
                      <w:highlight w:val="none"/>
                      <w:u w:val="none"/>
                    </w:rPr>
                    <w:t>29.451278</w:t>
                  </w:r>
                </w:p>
              </w:tc>
              <w:tc>
                <w:tcPr>
                  <w:tcW w:w="547" w:type="pct"/>
                  <w:tcBorders>
                    <w:tl2br w:val="nil"/>
                    <w:tr2bl w:val="nil"/>
                  </w:tcBorders>
                  <w:vAlign w:val="center"/>
                </w:tcPr>
                <w:p w14:paraId="13E8DC2A">
                  <w:pPr>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24</w:t>
                  </w:r>
                </w:p>
              </w:tc>
              <w:tc>
                <w:tcPr>
                  <w:tcW w:w="650" w:type="pct"/>
                  <w:tcBorders>
                    <w:tl2br w:val="nil"/>
                    <w:tr2bl w:val="nil"/>
                  </w:tcBorders>
                  <w:vAlign w:val="center"/>
                </w:tcPr>
                <w:p w14:paraId="792A0917">
                  <w:pPr>
                    <w:spacing w:line="240" w:lineRule="auto"/>
                    <w:ind w:firstLine="0" w:firstLineChars="0"/>
                    <w:jc w:val="center"/>
                    <w:rPr>
                      <w:rFonts w:hint="default" w:ascii="Times New Roman" w:hAnsi="Times New Roman"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w:t>
                  </w:r>
                </w:p>
              </w:tc>
              <w:tc>
                <w:tcPr>
                  <w:tcW w:w="562" w:type="pct"/>
                  <w:tcBorders>
                    <w:tl2br w:val="nil"/>
                    <w:tr2bl w:val="nil"/>
                  </w:tcBorders>
                  <w:vAlign w:val="center"/>
                </w:tcPr>
                <w:p w14:paraId="06577C6E">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常温</w:t>
                  </w:r>
                </w:p>
              </w:tc>
            </w:tr>
            <w:tr w14:paraId="1FB012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1" w:type="pct"/>
                  <w:tcBorders>
                    <w:tl2br w:val="nil"/>
                    <w:tr2bl w:val="nil"/>
                  </w:tcBorders>
                  <w:vAlign w:val="center"/>
                </w:tcPr>
                <w:p w14:paraId="7CF1F117">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4</w:t>
                  </w:r>
                </w:p>
              </w:tc>
              <w:tc>
                <w:tcPr>
                  <w:tcW w:w="847" w:type="pct"/>
                  <w:tcBorders>
                    <w:tl2br w:val="nil"/>
                    <w:tr2bl w:val="nil"/>
                  </w:tcBorders>
                  <w:vAlign w:val="center"/>
                </w:tcPr>
                <w:p w14:paraId="3D1FFB47">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P4</w:t>
                  </w:r>
                </w:p>
              </w:tc>
              <w:tc>
                <w:tcPr>
                  <w:tcW w:w="610" w:type="pct"/>
                  <w:tcBorders>
                    <w:tl2br w:val="nil"/>
                    <w:tr2bl w:val="nil"/>
                  </w:tcBorders>
                  <w:vAlign w:val="center"/>
                </w:tcPr>
                <w:p w14:paraId="76FD42C3">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一般排放口</w:t>
                  </w:r>
                </w:p>
              </w:tc>
              <w:tc>
                <w:tcPr>
                  <w:tcW w:w="788" w:type="pct"/>
                  <w:tcBorders>
                    <w:tl2br w:val="nil"/>
                    <w:tr2bl w:val="nil"/>
                  </w:tcBorders>
                  <w:vAlign w:val="center"/>
                </w:tcPr>
                <w:p w14:paraId="2535E367">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rPr>
                  </w:pPr>
                  <w:r>
                    <w:rPr>
                      <w:rFonts w:hint="default" w:ascii="Times New Roman" w:hAnsi="Times New Roman" w:cs="Times New Roman"/>
                      <w:spacing w:val="6"/>
                      <w:sz w:val="21"/>
                      <w:szCs w:val="21"/>
                      <w:highlight w:val="none"/>
                      <w:u w:val="none"/>
                    </w:rPr>
                    <w:t>113.164085</w:t>
                  </w:r>
                </w:p>
              </w:tc>
              <w:tc>
                <w:tcPr>
                  <w:tcW w:w="721" w:type="pct"/>
                  <w:tcBorders>
                    <w:tl2br w:val="nil"/>
                    <w:tr2bl w:val="nil"/>
                  </w:tcBorders>
                  <w:vAlign w:val="center"/>
                </w:tcPr>
                <w:p w14:paraId="7230B27F">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rPr>
                  </w:pPr>
                  <w:r>
                    <w:rPr>
                      <w:rFonts w:hint="default" w:ascii="Times New Roman" w:hAnsi="Times New Roman" w:cs="Times New Roman"/>
                      <w:spacing w:val="6"/>
                      <w:sz w:val="21"/>
                      <w:szCs w:val="21"/>
                      <w:highlight w:val="none"/>
                      <w:u w:val="none"/>
                    </w:rPr>
                    <w:t>29.452326</w:t>
                  </w:r>
                </w:p>
              </w:tc>
              <w:tc>
                <w:tcPr>
                  <w:tcW w:w="547" w:type="pct"/>
                  <w:tcBorders>
                    <w:tl2br w:val="nil"/>
                    <w:tr2bl w:val="nil"/>
                  </w:tcBorders>
                  <w:vAlign w:val="center"/>
                </w:tcPr>
                <w:p w14:paraId="021CCA98">
                  <w:pPr>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28</w:t>
                  </w:r>
                </w:p>
              </w:tc>
              <w:tc>
                <w:tcPr>
                  <w:tcW w:w="650" w:type="pct"/>
                  <w:tcBorders>
                    <w:tl2br w:val="nil"/>
                    <w:tr2bl w:val="nil"/>
                  </w:tcBorders>
                  <w:vAlign w:val="center"/>
                </w:tcPr>
                <w:p w14:paraId="697B7673">
                  <w:pPr>
                    <w:spacing w:line="240" w:lineRule="auto"/>
                    <w:ind w:firstLine="0" w:firstLineChars="0"/>
                    <w:jc w:val="center"/>
                    <w:rPr>
                      <w:rFonts w:hint="default" w:ascii="Times New Roman" w:hAnsi="Times New Roman"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w:t>
                  </w:r>
                </w:p>
              </w:tc>
              <w:tc>
                <w:tcPr>
                  <w:tcW w:w="562" w:type="pct"/>
                  <w:tcBorders>
                    <w:tl2br w:val="nil"/>
                    <w:tr2bl w:val="nil"/>
                  </w:tcBorders>
                  <w:vAlign w:val="center"/>
                </w:tcPr>
                <w:p w14:paraId="08FF566E">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常温</w:t>
                  </w:r>
                </w:p>
              </w:tc>
            </w:tr>
          </w:tbl>
          <w:p w14:paraId="317DA9C7">
            <w:pPr>
              <w:keepNext w:val="0"/>
              <w:keepLines w:val="0"/>
              <w:pageBreakBefore w:val="0"/>
              <w:widowControl/>
              <w:kinsoku/>
              <w:wordWrap/>
              <w:overflowPunct/>
              <w:topLinePunct w:val="0"/>
              <w:autoSpaceDE/>
              <w:autoSpaceDN/>
              <w:bidi w:val="0"/>
              <w:adjustRightInd/>
              <w:snapToGrid/>
              <w:spacing w:before="164" w:beforeLines="50"/>
              <w:ind w:firstLine="0" w:firstLineChars="0"/>
              <w:textAlignment w:val="auto"/>
              <w:rPr>
                <w:b/>
                <w:bCs/>
              </w:rPr>
            </w:pPr>
            <w:r>
              <w:rPr>
                <w:rFonts w:hint="eastAsia"/>
                <w:b/>
                <w:bCs/>
              </w:rPr>
              <w:t>1.</w:t>
            </w:r>
            <w:r>
              <w:rPr>
                <w:rFonts w:hint="eastAsia"/>
                <w:b/>
                <w:bCs/>
                <w:lang w:val="en-US" w:eastAsia="zh-CN"/>
              </w:rPr>
              <w:t>4</w:t>
            </w:r>
            <w:r>
              <w:rPr>
                <w:rFonts w:hint="eastAsia"/>
                <w:b/>
                <w:bCs/>
              </w:rPr>
              <w:t>处理措施可行性分析</w:t>
            </w:r>
          </w:p>
          <w:p w14:paraId="1D0BCDE9">
            <w:pPr>
              <w:ind w:firstLine="480"/>
            </w:pPr>
            <w:r>
              <w:rPr>
                <w:rFonts w:hint="eastAsia"/>
              </w:rPr>
              <w:t>1、处理措施可行性分析</w:t>
            </w:r>
          </w:p>
          <w:p w14:paraId="4C3B1EE2">
            <w:pPr>
              <w:ind w:firstLine="480"/>
              <w:rPr>
                <w:kern w:val="2"/>
              </w:rPr>
            </w:pPr>
            <w:r>
              <w:rPr>
                <w:rFonts w:hint="eastAsia"/>
              </w:rPr>
              <w:t>本项目</w:t>
            </w:r>
            <w:r>
              <w:rPr>
                <w:rFonts w:hint="eastAsia"/>
                <w:lang w:val="en-US" w:eastAsia="zh-CN"/>
              </w:rPr>
              <w:t>一期筒仓呼吸粉尘经28m高仓顶脉冲</w:t>
            </w:r>
            <w:r>
              <w:rPr>
                <w:rFonts w:hint="eastAsia"/>
              </w:rPr>
              <w:t>布袋除尘器处理后</w:t>
            </w:r>
            <w:r>
              <w:rPr>
                <w:rFonts w:hint="eastAsia"/>
                <w:lang w:val="en-US" w:eastAsia="zh-CN"/>
              </w:rPr>
              <w:t>从除尘器排气口</w:t>
            </w:r>
            <w:r>
              <w:rPr>
                <w:rFonts w:hint="eastAsia"/>
              </w:rPr>
              <w:t>排放</w:t>
            </w:r>
            <w:r>
              <w:rPr>
                <w:rFonts w:hint="eastAsia"/>
                <w:lang w:eastAsia="zh-CN"/>
              </w:rPr>
              <w:t>，</w:t>
            </w:r>
            <w:r>
              <w:rPr>
                <w:rFonts w:hint="eastAsia"/>
                <w:lang w:val="en-US" w:eastAsia="zh-CN"/>
              </w:rPr>
              <w:t>二期筒仓呼吸粉尘经24m高仓顶侧吸模块化布袋除尘器处理后从除尘器排气口</w:t>
            </w:r>
            <w:r>
              <w:rPr>
                <w:rFonts w:hint="eastAsia"/>
              </w:rPr>
              <w:t>排放</w:t>
            </w:r>
            <w:r>
              <w:rPr>
                <w:rFonts w:hint="eastAsia"/>
                <w:lang w:val="en-US" w:eastAsia="zh-CN"/>
              </w:rPr>
              <w:t>，三期筒仓呼吸粉尘经28m高仓顶侧吸模块化布袋除尘器处理后从除尘器排气口</w:t>
            </w:r>
            <w:r>
              <w:rPr>
                <w:rFonts w:hint="eastAsia"/>
              </w:rPr>
              <w:t>排放</w:t>
            </w:r>
            <w:r>
              <w:rPr>
                <w:rFonts w:hint="eastAsia"/>
                <w:lang w:val="en-US" w:eastAsia="zh-CN"/>
              </w:rPr>
              <w:t>。</w:t>
            </w:r>
          </w:p>
          <w:p w14:paraId="362FE290">
            <w:pPr>
              <w:ind w:firstLine="480"/>
              <w:rPr>
                <w:kern w:val="2"/>
              </w:rPr>
            </w:pPr>
            <w:r>
              <w:rPr>
                <w:kern w:val="2"/>
              </w:rPr>
              <w:t>布袋除尘器也称为过滤式除尘器，是一种干式高效除尘器，它是利用纤维编织物制作的袋式过滤元件来捕集含尘气体中固体颗粒物的除尘装置。其作用原理是尘粒在绕过滤布纤维时因惯性力作用与纤维碰撞而被拦截。细微的尘粒（粒径为1微米或更小）则受气体分子冲击（布朗运动）不断改变着运动方向，由于纤维间的空隙小于气体分子布朗运动的自由路径，尘粒便与纤维碰撞接触而被分离出来。含尘气体从袋式除尘器入口进入后，通过废气分配装置均匀分配进入滤袋，当含尘气体穿过滤袋时，粉尘即被吸附在滤料上，而被净化的气体则从滤袋内</w:t>
            </w:r>
            <w:r>
              <w:rPr>
                <w:rFonts w:hint="eastAsia"/>
                <w:kern w:val="2"/>
              </w:rPr>
              <w:t>排出</w:t>
            </w:r>
            <w:r>
              <w:rPr>
                <w:kern w:val="2"/>
              </w:rPr>
              <w:t>。当吸附在滤料上的粉尘达到一定厚度时进行清灰，将吸附在滤袋外表面的粉尘清落至下面的灰斗中</w:t>
            </w:r>
            <w:r>
              <w:rPr>
                <w:rFonts w:hint="eastAsia"/>
                <w:kern w:val="2"/>
                <w:lang w:eastAsia="zh-CN"/>
              </w:rPr>
              <w:t>，</w:t>
            </w:r>
            <w:r>
              <w:rPr>
                <w:rFonts w:hint="eastAsia"/>
                <w:kern w:val="2"/>
                <w:lang w:val="en-US" w:eastAsia="zh-CN"/>
              </w:rPr>
              <w:t>使气体得到净化</w:t>
            </w:r>
            <w:r>
              <w:rPr>
                <w:kern w:val="2"/>
              </w:rPr>
              <w:t>。</w:t>
            </w:r>
          </w:p>
          <w:p w14:paraId="736B14BD">
            <w:pPr>
              <w:ind w:firstLine="480"/>
              <w:rPr>
                <w:rFonts w:hint="default" w:eastAsia="宋体"/>
                <w:spacing w:val="6"/>
                <w:szCs w:val="32"/>
                <w:lang w:val="en-US" w:eastAsia="zh-CN"/>
              </w:rPr>
            </w:pPr>
            <w:r>
              <w:rPr>
                <w:rFonts w:hint="eastAsia"/>
                <w:kern w:val="2"/>
              </w:rPr>
              <w:t>根据上表4-2，项目营运期间颗粒物经</w:t>
            </w:r>
            <w:r>
              <w:rPr>
                <w:rFonts w:hint="eastAsia"/>
                <w:kern w:val="2"/>
                <w:lang w:val="en-US" w:eastAsia="zh-CN"/>
              </w:rPr>
              <w:t>布袋除尘器</w:t>
            </w:r>
            <w:r>
              <w:rPr>
                <w:rFonts w:hint="eastAsia"/>
                <w:kern w:val="2"/>
              </w:rPr>
              <w:t>处理后</w:t>
            </w:r>
            <w:r>
              <w:rPr>
                <w:rFonts w:hint="eastAsia"/>
              </w:rPr>
              <w:t>满足</w:t>
            </w:r>
            <w:r>
              <w:rPr>
                <w:rFonts w:hint="eastAsia"/>
                <w:spacing w:val="6"/>
                <w:szCs w:val="32"/>
              </w:rPr>
              <w:t>《大气污染物综合排放标准</w:t>
            </w:r>
            <w:r>
              <w:rPr>
                <w:rFonts w:hint="eastAsia"/>
              </w:rPr>
              <w:t>》</w:t>
            </w:r>
            <w:r>
              <w:rPr>
                <w:rFonts w:hint="eastAsia"/>
                <w:spacing w:val="6"/>
                <w:szCs w:val="32"/>
              </w:rPr>
              <w:t>（GB16297-1996）表2有组织排放限值。</w:t>
            </w:r>
            <w:r>
              <w:rPr>
                <w:rFonts w:hint="eastAsia"/>
                <w:spacing w:val="6"/>
                <w:szCs w:val="32"/>
                <w:lang w:val="en-US" w:eastAsia="zh-CN"/>
              </w:rPr>
              <w:t>参照《排污许可证申请与核发规范 水泥工业》附录B及《水泥工业除尘技术规范》表1“污染防治可行技术及推荐的除尘方式，本项目采取袋式除尘器为可行技术。</w:t>
            </w:r>
          </w:p>
          <w:p w14:paraId="26CA8016">
            <w:pPr>
              <w:keepNext w:val="0"/>
              <w:keepLines w:val="0"/>
              <w:pageBreakBefore w:val="0"/>
              <w:widowControl/>
              <w:kinsoku/>
              <w:wordWrap/>
              <w:overflowPunct/>
              <w:topLinePunct w:val="0"/>
              <w:autoSpaceDE/>
              <w:autoSpaceDN/>
              <w:bidi w:val="0"/>
              <w:adjustRightInd/>
              <w:snapToGrid/>
              <w:ind w:firstLine="0" w:firstLineChars="0"/>
              <w:textAlignment w:val="auto"/>
              <w:rPr>
                <w:b/>
                <w:bCs/>
                <w:u w:val="none"/>
              </w:rPr>
            </w:pPr>
            <w:r>
              <w:rPr>
                <w:rFonts w:hint="eastAsia"/>
                <w:b/>
                <w:bCs/>
                <w:u w:val="none"/>
              </w:rPr>
              <w:t>1.</w:t>
            </w:r>
            <w:r>
              <w:rPr>
                <w:rFonts w:hint="eastAsia"/>
                <w:b/>
                <w:bCs/>
                <w:u w:val="none"/>
                <w:lang w:val="en-US" w:eastAsia="zh-CN"/>
              </w:rPr>
              <w:t>5</w:t>
            </w:r>
            <w:r>
              <w:rPr>
                <w:rFonts w:hint="eastAsia"/>
                <w:b/>
                <w:bCs/>
                <w:u w:val="none"/>
              </w:rPr>
              <w:t>非正常工况分析</w:t>
            </w:r>
          </w:p>
          <w:p w14:paraId="75D36212">
            <w:pPr>
              <w:ind w:firstLine="480"/>
              <w:rPr>
                <w:u w:val="none"/>
              </w:rPr>
            </w:pPr>
            <w:r>
              <w:rPr>
                <w:u w:val="none"/>
              </w:rPr>
              <w:t>根据《环境影响评价技术导则 大气环境》（HJ2.2-2018）中对废气非正常排放的定义</w:t>
            </w:r>
            <w:r>
              <w:rPr>
                <w:rFonts w:hint="eastAsia"/>
                <w:u w:val="none"/>
              </w:rPr>
              <w:t>“</w:t>
            </w:r>
            <w:r>
              <w:rPr>
                <w:u w:val="none"/>
              </w:rPr>
              <w:t>生产过程中开停车（工、炉）、设备检修、工艺设备运转异常等非正常工况下的污染物排放，以及污染物排放控制措施达不到应有效率等情况下的排放</w:t>
            </w:r>
            <w:r>
              <w:rPr>
                <w:rFonts w:hint="eastAsia"/>
                <w:u w:val="none"/>
              </w:rPr>
              <w:t>”</w:t>
            </w:r>
            <w:r>
              <w:rPr>
                <w:u w:val="none"/>
              </w:rPr>
              <w:t>。本评价非正常排放主要考虑</w:t>
            </w:r>
            <w:r>
              <w:rPr>
                <w:rFonts w:hint="eastAsia"/>
                <w:u w:val="none"/>
                <w:lang w:val="en-US" w:eastAsia="zh-CN"/>
              </w:rPr>
              <w:t>配套废气处理设施达不到应有的处理效率，废气处理效率按照0%计算</w:t>
            </w:r>
            <w:r>
              <w:rPr>
                <w:rFonts w:hint="eastAsia"/>
                <w:u w:val="none"/>
              </w:rPr>
              <w:t>，</w:t>
            </w:r>
            <w:r>
              <w:rPr>
                <w:u w:val="none"/>
              </w:rPr>
              <w:t>具体非正常排放情况见下表。</w:t>
            </w:r>
          </w:p>
          <w:p w14:paraId="0734980D">
            <w:pPr>
              <w:pStyle w:val="379"/>
              <w:keepNext w:val="0"/>
              <w:keepLines w:val="0"/>
              <w:pageBreakBefore w:val="0"/>
              <w:widowControl w:val="0"/>
              <w:kinsoku/>
              <w:wordWrap/>
              <w:overflowPunct/>
              <w:topLinePunct w:val="0"/>
              <w:autoSpaceDE/>
              <w:autoSpaceDN/>
              <w:bidi w:val="0"/>
              <w:adjustRightInd/>
              <w:snapToGrid/>
              <w:spacing w:line="240" w:lineRule="auto"/>
              <w:textAlignment w:val="auto"/>
              <w:rPr>
                <w:b/>
                <w:bCs/>
                <w:u w:val="none"/>
              </w:rPr>
            </w:pPr>
            <w:r>
              <w:rPr>
                <w:b/>
                <w:bCs/>
                <w:u w:val="none"/>
              </w:rPr>
              <w:t>污染源非正常排放量核算表</w:t>
            </w:r>
          </w:p>
          <w:tbl>
            <w:tblPr>
              <w:tblStyle w:val="31"/>
              <w:tblW w:w="4996"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28" w:type="dxa"/>
                <w:bottom w:w="0" w:type="dxa"/>
                <w:right w:w="28" w:type="dxa"/>
              </w:tblCellMar>
            </w:tblPr>
            <w:tblGrid>
              <w:gridCol w:w="825"/>
              <w:gridCol w:w="985"/>
              <w:gridCol w:w="740"/>
              <w:gridCol w:w="1233"/>
              <w:gridCol w:w="1110"/>
              <w:gridCol w:w="827"/>
              <w:gridCol w:w="778"/>
              <w:gridCol w:w="1717"/>
            </w:tblGrid>
            <w:tr w14:paraId="6A94810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570" w:hRule="atLeast"/>
                <w:jc w:val="center"/>
              </w:trPr>
              <w:tc>
                <w:tcPr>
                  <w:tcW w:w="502" w:type="pct"/>
                  <w:tcBorders>
                    <w:tl2br w:val="nil"/>
                    <w:tr2bl w:val="nil"/>
                  </w:tcBorders>
                  <w:shd w:val="clear" w:color="auto" w:fill="FFFFFF"/>
                  <w:vAlign w:val="center"/>
                </w:tcPr>
                <w:p w14:paraId="08CABFA6">
                  <w:pPr>
                    <w:pStyle w:val="97"/>
                    <w:widowControl w:val="0"/>
                    <w:ind w:left="0" w:leftChars="0" w:right="0" w:rightChars="0" w:firstLine="0" w:firstLineChars="0"/>
                    <w:jc w:val="center"/>
                    <w:rPr>
                      <w:b/>
                      <w:bCs/>
                      <w:u w:val="none"/>
                    </w:rPr>
                  </w:pPr>
                  <w:r>
                    <w:rPr>
                      <w:b/>
                      <w:bCs/>
                      <w:u w:val="none"/>
                    </w:rPr>
                    <w:t>污染源</w:t>
                  </w:r>
                </w:p>
              </w:tc>
              <w:tc>
                <w:tcPr>
                  <w:tcW w:w="599" w:type="pct"/>
                  <w:tcBorders>
                    <w:tl2br w:val="nil"/>
                    <w:tr2bl w:val="nil"/>
                  </w:tcBorders>
                  <w:shd w:val="clear" w:color="auto" w:fill="FFFFFF"/>
                  <w:vAlign w:val="center"/>
                </w:tcPr>
                <w:p w14:paraId="6772776F">
                  <w:pPr>
                    <w:pStyle w:val="97"/>
                    <w:widowControl w:val="0"/>
                    <w:ind w:left="0" w:leftChars="0" w:right="0" w:rightChars="0" w:firstLine="0" w:firstLineChars="0"/>
                    <w:jc w:val="center"/>
                    <w:rPr>
                      <w:b/>
                      <w:bCs/>
                      <w:u w:val="none"/>
                    </w:rPr>
                  </w:pPr>
                  <w:r>
                    <w:rPr>
                      <w:b/>
                      <w:bCs/>
                      <w:u w:val="none"/>
                    </w:rPr>
                    <w:t>非正常排放原因</w:t>
                  </w:r>
                </w:p>
              </w:tc>
              <w:tc>
                <w:tcPr>
                  <w:tcW w:w="450" w:type="pct"/>
                  <w:tcBorders>
                    <w:tl2br w:val="nil"/>
                    <w:tr2bl w:val="nil"/>
                  </w:tcBorders>
                  <w:shd w:val="clear" w:color="auto" w:fill="FFFFFF"/>
                  <w:vAlign w:val="center"/>
                </w:tcPr>
                <w:p w14:paraId="27ADD573">
                  <w:pPr>
                    <w:pStyle w:val="97"/>
                    <w:widowControl w:val="0"/>
                    <w:ind w:left="0" w:leftChars="0" w:right="0" w:rightChars="0" w:firstLine="0" w:firstLineChars="0"/>
                    <w:jc w:val="center"/>
                    <w:rPr>
                      <w:b/>
                      <w:bCs/>
                      <w:u w:val="none"/>
                    </w:rPr>
                  </w:pPr>
                  <w:r>
                    <w:rPr>
                      <w:b/>
                      <w:bCs/>
                      <w:u w:val="none"/>
                    </w:rPr>
                    <w:t>污染物</w:t>
                  </w:r>
                </w:p>
              </w:tc>
              <w:tc>
                <w:tcPr>
                  <w:tcW w:w="750" w:type="pct"/>
                  <w:tcBorders>
                    <w:tl2br w:val="nil"/>
                    <w:tr2bl w:val="nil"/>
                  </w:tcBorders>
                  <w:shd w:val="clear" w:color="auto" w:fill="FFFFFF"/>
                  <w:vAlign w:val="center"/>
                </w:tcPr>
                <w:p w14:paraId="42111519">
                  <w:pPr>
                    <w:pStyle w:val="97"/>
                    <w:widowControl w:val="0"/>
                    <w:ind w:left="0" w:leftChars="0" w:right="0" w:rightChars="0" w:firstLine="0" w:firstLineChars="0"/>
                    <w:jc w:val="center"/>
                    <w:rPr>
                      <w:b/>
                      <w:bCs/>
                      <w:u w:val="none"/>
                    </w:rPr>
                  </w:pPr>
                  <w:r>
                    <w:rPr>
                      <w:b/>
                      <w:bCs/>
                      <w:u w:val="none"/>
                    </w:rPr>
                    <w:t>非正常排放浓度/（mg/m</w:t>
                  </w:r>
                  <w:r>
                    <w:rPr>
                      <w:b/>
                      <w:bCs/>
                      <w:u w:val="none"/>
                      <w:vertAlign w:val="superscript"/>
                    </w:rPr>
                    <w:t>3</w:t>
                  </w:r>
                  <w:r>
                    <w:rPr>
                      <w:b/>
                      <w:bCs/>
                      <w:u w:val="none"/>
                    </w:rPr>
                    <w:t>）</w:t>
                  </w:r>
                </w:p>
              </w:tc>
              <w:tc>
                <w:tcPr>
                  <w:tcW w:w="675" w:type="pct"/>
                  <w:tcBorders>
                    <w:tl2br w:val="nil"/>
                    <w:tr2bl w:val="nil"/>
                  </w:tcBorders>
                  <w:shd w:val="clear" w:color="auto" w:fill="FFFFFF"/>
                  <w:vAlign w:val="center"/>
                </w:tcPr>
                <w:p w14:paraId="0DC6C806">
                  <w:pPr>
                    <w:pStyle w:val="97"/>
                    <w:widowControl w:val="0"/>
                    <w:ind w:left="0" w:leftChars="0" w:right="0" w:rightChars="0" w:firstLine="0" w:firstLineChars="0"/>
                    <w:jc w:val="center"/>
                    <w:rPr>
                      <w:b/>
                      <w:bCs/>
                      <w:u w:val="none"/>
                    </w:rPr>
                  </w:pPr>
                  <w:r>
                    <w:rPr>
                      <w:b/>
                      <w:bCs/>
                      <w:u w:val="none"/>
                    </w:rPr>
                    <w:t>非正常排放速率/（kg/h）</w:t>
                  </w:r>
                </w:p>
              </w:tc>
              <w:tc>
                <w:tcPr>
                  <w:tcW w:w="503" w:type="pct"/>
                  <w:tcBorders>
                    <w:tl2br w:val="nil"/>
                    <w:tr2bl w:val="nil"/>
                  </w:tcBorders>
                  <w:shd w:val="clear" w:color="auto" w:fill="FFFFFF"/>
                  <w:vAlign w:val="center"/>
                </w:tcPr>
                <w:p w14:paraId="56E0AA6E">
                  <w:pPr>
                    <w:pStyle w:val="97"/>
                    <w:widowControl w:val="0"/>
                    <w:ind w:left="0" w:leftChars="0" w:right="0" w:rightChars="0" w:firstLine="0" w:firstLineChars="0"/>
                    <w:jc w:val="center"/>
                    <w:rPr>
                      <w:b/>
                      <w:bCs/>
                      <w:u w:val="none"/>
                    </w:rPr>
                  </w:pPr>
                  <w:r>
                    <w:rPr>
                      <w:b/>
                      <w:bCs/>
                      <w:u w:val="none"/>
                    </w:rPr>
                    <w:t>单次持续时间/h</w:t>
                  </w:r>
                </w:p>
              </w:tc>
              <w:tc>
                <w:tcPr>
                  <w:tcW w:w="473" w:type="pct"/>
                  <w:tcBorders>
                    <w:tl2br w:val="nil"/>
                    <w:tr2bl w:val="nil"/>
                  </w:tcBorders>
                  <w:shd w:val="clear" w:color="auto" w:fill="FFFFFF"/>
                  <w:vAlign w:val="center"/>
                </w:tcPr>
                <w:p w14:paraId="01C56CFF">
                  <w:pPr>
                    <w:pStyle w:val="97"/>
                    <w:widowControl w:val="0"/>
                    <w:ind w:left="0" w:leftChars="0" w:right="0" w:rightChars="0" w:firstLine="0" w:firstLineChars="0"/>
                    <w:jc w:val="center"/>
                    <w:rPr>
                      <w:b/>
                      <w:bCs/>
                      <w:u w:val="none"/>
                    </w:rPr>
                  </w:pPr>
                  <w:r>
                    <w:rPr>
                      <w:b/>
                      <w:bCs/>
                      <w:u w:val="none"/>
                    </w:rPr>
                    <w:t>年发生频次/次</w:t>
                  </w:r>
                </w:p>
              </w:tc>
              <w:tc>
                <w:tcPr>
                  <w:tcW w:w="1044" w:type="pct"/>
                  <w:tcBorders>
                    <w:tl2br w:val="nil"/>
                    <w:tr2bl w:val="nil"/>
                  </w:tcBorders>
                  <w:shd w:val="clear" w:color="auto" w:fill="FFFFFF"/>
                  <w:vAlign w:val="center"/>
                </w:tcPr>
                <w:p w14:paraId="1E956C46">
                  <w:pPr>
                    <w:pStyle w:val="97"/>
                    <w:widowControl w:val="0"/>
                    <w:ind w:left="0" w:leftChars="0" w:right="0" w:rightChars="0" w:firstLine="0" w:firstLineChars="0"/>
                    <w:jc w:val="center"/>
                    <w:rPr>
                      <w:b/>
                      <w:bCs/>
                      <w:u w:val="none"/>
                    </w:rPr>
                  </w:pPr>
                  <w:r>
                    <w:rPr>
                      <w:b/>
                      <w:bCs/>
                      <w:u w:val="none"/>
                    </w:rPr>
                    <w:t>应对措施</w:t>
                  </w:r>
                </w:p>
              </w:tc>
            </w:tr>
            <w:tr w14:paraId="72E1787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67" w:hRule="atLeast"/>
                <w:jc w:val="center"/>
              </w:trPr>
              <w:tc>
                <w:tcPr>
                  <w:tcW w:w="502" w:type="pct"/>
                  <w:tcBorders>
                    <w:tl2br w:val="nil"/>
                    <w:tr2bl w:val="nil"/>
                  </w:tcBorders>
                  <w:shd w:val="clear" w:color="auto" w:fill="FFFFFF"/>
                  <w:vAlign w:val="center"/>
                </w:tcPr>
                <w:p w14:paraId="38E8AACA">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P1</w:t>
                  </w:r>
                </w:p>
              </w:tc>
              <w:tc>
                <w:tcPr>
                  <w:tcW w:w="599" w:type="pct"/>
                  <w:vMerge w:val="restart"/>
                  <w:tcBorders>
                    <w:tl2br w:val="nil"/>
                    <w:tr2bl w:val="nil"/>
                  </w:tcBorders>
                  <w:shd w:val="clear" w:color="auto" w:fill="FFFFFF"/>
                  <w:vAlign w:val="center"/>
                </w:tcPr>
                <w:p w14:paraId="11A750D3">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仓顶除尘设备故障</w:t>
                  </w:r>
                </w:p>
              </w:tc>
              <w:tc>
                <w:tcPr>
                  <w:tcW w:w="450" w:type="pct"/>
                  <w:tcBorders>
                    <w:tl2br w:val="nil"/>
                    <w:tr2bl w:val="nil"/>
                  </w:tcBorders>
                  <w:shd w:val="clear" w:color="auto" w:fill="FFFFFF"/>
                  <w:vAlign w:val="center"/>
                </w:tcPr>
                <w:p w14:paraId="639F3761">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颗粒物</w:t>
                  </w:r>
                </w:p>
              </w:tc>
              <w:tc>
                <w:tcPr>
                  <w:tcW w:w="1234" w:type="dxa"/>
                  <w:tcBorders>
                    <w:tl2br w:val="nil"/>
                    <w:tr2bl w:val="nil"/>
                  </w:tcBorders>
                  <w:shd w:val="clear" w:color="auto" w:fill="auto"/>
                  <w:vAlign w:val="center"/>
                </w:tcPr>
                <w:p w14:paraId="03B4726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u w:val="none"/>
                      <w:lang w:val="en-US" w:eastAsia="zh-CN" w:bidi="ar-SA"/>
                    </w:rPr>
                  </w:pPr>
                  <w:r>
                    <w:rPr>
                      <w:rFonts w:hint="eastAsia" w:cs="Times New Roman"/>
                      <w:color w:val="auto"/>
                      <w:kern w:val="0"/>
                      <w:sz w:val="21"/>
                      <w:szCs w:val="21"/>
                      <w:u w:val="none"/>
                      <w:vertAlign w:val="baseline"/>
                      <w:lang w:val="en-US" w:eastAsia="zh-CN"/>
                    </w:rPr>
                    <w:t>416.46</w:t>
                  </w:r>
                </w:p>
              </w:tc>
              <w:tc>
                <w:tcPr>
                  <w:tcW w:w="1110" w:type="dxa"/>
                  <w:tcBorders>
                    <w:tl2br w:val="nil"/>
                    <w:tr2bl w:val="nil"/>
                  </w:tcBorders>
                  <w:shd w:val="clear" w:color="auto" w:fill="auto"/>
                  <w:vAlign w:val="center"/>
                </w:tcPr>
                <w:p w14:paraId="161E73C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等线" w:cs="Times New Roman"/>
                      <w:color w:val="000000"/>
                      <w:sz w:val="21"/>
                      <w:szCs w:val="21"/>
                      <w:highlight w:val="none"/>
                      <w:u w:val="none"/>
                      <w:lang w:val="en-US" w:eastAsia="zh-CN" w:bidi="ar-SA"/>
                    </w:rPr>
                  </w:pPr>
                  <w:r>
                    <w:rPr>
                      <w:rFonts w:hint="eastAsia" w:cs="Times New Roman"/>
                      <w:color w:val="auto"/>
                      <w:kern w:val="0"/>
                      <w:sz w:val="21"/>
                      <w:szCs w:val="21"/>
                      <w:u w:val="none"/>
                      <w:vertAlign w:val="baseline"/>
                      <w:lang w:val="en-US" w:eastAsia="zh-CN"/>
                    </w:rPr>
                    <w:t>3.37</w:t>
                  </w:r>
                </w:p>
              </w:tc>
              <w:tc>
                <w:tcPr>
                  <w:tcW w:w="503" w:type="pct"/>
                  <w:tcBorders>
                    <w:tl2br w:val="nil"/>
                    <w:tr2bl w:val="nil"/>
                  </w:tcBorders>
                  <w:shd w:val="clear" w:color="auto" w:fill="FFFFFF"/>
                  <w:vAlign w:val="center"/>
                </w:tcPr>
                <w:p w14:paraId="534674E9">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0.5</w:t>
                  </w:r>
                </w:p>
              </w:tc>
              <w:tc>
                <w:tcPr>
                  <w:tcW w:w="473" w:type="pct"/>
                  <w:tcBorders>
                    <w:tl2br w:val="nil"/>
                    <w:tr2bl w:val="nil"/>
                  </w:tcBorders>
                  <w:shd w:val="clear" w:color="auto" w:fill="FFFFFF"/>
                  <w:vAlign w:val="center"/>
                </w:tcPr>
                <w:p w14:paraId="04C52449">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0-1</w:t>
                  </w:r>
                </w:p>
              </w:tc>
              <w:tc>
                <w:tcPr>
                  <w:tcW w:w="1044" w:type="pct"/>
                  <w:vMerge w:val="restart"/>
                  <w:tcBorders>
                    <w:tl2br w:val="nil"/>
                    <w:tr2bl w:val="nil"/>
                  </w:tcBorders>
                  <w:shd w:val="clear" w:color="auto" w:fill="FFFFFF"/>
                  <w:vAlign w:val="center"/>
                </w:tcPr>
                <w:p w14:paraId="3075A255">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及时维修</w:t>
                  </w:r>
                </w:p>
              </w:tc>
            </w:tr>
            <w:tr w14:paraId="34D70F6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67" w:hRule="atLeast"/>
                <w:jc w:val="center"/>
              </w:trPr>
              <w:tc>
                <w:tcPr>
                  <w:tcW w:w="502" w:type="pct"/>
                  <w:tcBorders>
                    <w:tl2br w:val="nil"/>
                    <w:tr2bl w:val="nil"/>
                  </w:tcBorders>
                  <w:shd w:val="clear" w:color="auto" w:fill="FFFFFF"/>
                  <w:vAlign w:val="center"/>
                </w:tcPr>
                <w:p w14:paraId="626D04AB">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P2</w:t>
                  </w:r>
                </w:p>
              </w:tc>
              <w:tc>
                <w:tcPr>
                  <w:tcW w:w="599" w:type="pct"/>
                  <w:vMerge w:val="continue"/>
                  <w:tcBorders>
                    <w:tl2br w:val="nil"/>
                    <w:tr2bl w:val="nil"/>
                  </w:tcBorders>
                  <w:shd w:val="clear" w:color="auto" w:fill="FFFFFF"/>
                  <w:vAlign w:val="center"/>
                </w:tcPr>
                <w:p w14:paraId="04F5972E">
                  <w:pPr>
                    <w:pStyle w:val="97"/>
                    <w:widowControl w:val="0"/>
                    <w:ind w:left="0" w:leftChars="0" w:right="0" w:rightChars="0" w:firstLine="0" w:firstLineChars="0"/>
                    <w:jc w:val="center"/>
                    <w:rPr>
                      <w:u w:val="none"/>
                    </w:rPr>
                  </w:pPr>
                </w:p>
              </w:tc>
              <w:tc>
                <w:tcPr>
                  <w:tcW w:w="450" w:type="pct"/>
                  <w:tcBorders>
                    <w:tl2br w:val="nil"/>
                    <w:tr2bl w:val="nil"/>
                  </w:tcBorders>
                  <w:shd w:val="clear" w:color="auto" w:fill="FFFFFF"/>
                  <w:vAlign w:val="center"/>
                </w:tcPr>
                <w:p w14:paraId="14CC092C">
                  <w:pPr>
                    <w:pStyle w:val="97"/>
                    <w:widowControl w:val="0"/>
                    <w:ind w:left="0" w:leftChars="0" w:right="0" w:rightChars="0" w:firstLine="0" w:firstLineChars="0"/>
                    <w:jc w:val="center"/>
                    <w:rPr>
                      <w:rFonts w:hint="eastAsia" w:eastAsia="宋体"/>
                      <w:u w:val="none"/>
                      <w:lang w:val="en-US" w:eastAsia="zh-CN"/>
                    </w:rPr>
                  </w:pPr>
                  <w:r>
                    <w:rPr>
                      <w:rFonts w:hint="eastAsia"/>
                      <w:u w:val="none"/>
                      <w:lang w:val="en-US" w:eastAsia="zh-CN"/>
                    </w:rPr>
                    <w:t>颗粒物</w:t>
                  </w:r>
                </w:p>
              </w:tc>
              <w:tc>
                <w:tcPr>
                  <w:tcW w:w="1234" w:type="dxa"/>
                  <w:tcBorders>
                    <w:tl2br w:val="nil"/>
                    <w:tr2bl w:val="nil"/>
                  </w:tcBorders>
                  <w:shd w:val="clear" w:color="auto" w:fill="auto"/>
                  <w:vAlign w:val="center"/>
                </w:tcPr>
                <w:p w14:paraId="2A3BE48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u w:val="none"/>
                      <w:lang w:val="en-US" w:eastAsia="zh-CN" w:bidi="ar-SA"/>
                    </w:rPr>
                  </w:pPr>
                  <w:r>
                    <w:rPr>
                      <w:rFonts w:hint="eastAsia" w:cs="Times New Roman"/>
                      <w:color w:val="auto"/>
                      <w:kern w:val="0"/>
                      <w:sz w:val="21"/>
                      <w:szCs w:val="21"/>
                      <w:u w:val="none"/>
                      <w:vertAlign w:val="baseline"/>
                      <w:lang w:val="en-US" w:eastAsia="zh-CN"/>
                    </w:rPr>
                    <w:t>416.46</w:t>
                  </w:r>
                </w:p>
              </w:tc>
              <w:tc>
                <w:tcPr>
                  <w:tcW w:w="1110" w:type="dxa"/>
                  <w:tcBorders>
                    <w:tl2br w:val="nil"/>
                    <w:tr2bl w:val="nil"/>
                  </w:tcBorders>
                  <w:shd w:val="clear" w:color="auto" w:fill="auto"/>
                  <w:vAlign w:val="center"/>
                </w:tcPr>
                <w:p w14:paraId="24F8B65F">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u w:val="none"/>
                      <w:lang w:val="en-US" w:eastAsia="zh-CN" w:bidi="ar-SA"/>
                    </w:rPr>
                  </w:pPr>
                  <w:r>
                    <w:rPr>
                      <w:rFonts w:hint="eastAsia" w:cs="Times New Roman"/>
                      <w:color w:val="auto"/>
                      <w:kern w:val="0"/>
                      <w:sz w:val="21"/>
                      <w:szCs w:val="21"/>
                      <w:u w:val="none"/>
                      <w:vertAlign w:val="baseline"/>
                      <w:lang w:val="en-US" w:eastAsia="zh-CN"/>
                    </w:rPr>
                    <w:t>3.37</w:t>
                  </w:r>
                </w:p>
              </w:tc>
              <w:tc>
                <w:tcPr>
                  <w:tcW w:w="503" w:type="pct"/>
                  <w:tcBorders>
                    <w:tl2br w:val="nil"/>
                    <w:tr2bl w:val="nil"/>
                  </w:tcBorders>
                  <w:shd w:val="clear" w:color="auto" w:fill="FFFFFF"/>
                  <w:vAlign w:val="center"/>
                </w:tcPr>
                <w:p w14:paraId="4A2818D8">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0.5</w:t>
                  </w:r>
                </w:p>
              </w:tc>
              <w:tc>
                <w:tcPr>
                  <w:tcW w:w="473" w:type="pct"/>
                  <w:tcBorders>
                    <w:tl2br w:val="nil"/>
                    <w:tr2bl w:val="nil"/>
                  </w:tcBorders>
                  <w:shd w:val="clear" w:color="auto" w:fill="FFFFFF"/>
                  <w:vAlign w:val="center"/>
                </w:tcPr>
                <w:p w14:paraId="4002F785">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0-1</w:t>
                  </w:r>
                </w:p>
              </w:tc>
              <w:tc>
                <w:tcPr>
                  <w:tcW w:w="1044" w:type="pct"/>
                  <w:vMerge w:val="continue"/>
                  <w:tcBorders>
                    <w:tl2br w:val="nil"/>
                    <w:tr2bl w:val="nil"/>
                  </w:tcBorders>
                  <w:shd w:val="clear" w:color="auto" w:fill="FFFFFF"/>
                  <w:vAlign w:val="center"/>
                </w:tcPr>
                <w:p w14:paraId="37A9C271">
                  <w:pPr>
                    <w:pStyle w:val="97"/>
                    <w:widowControl w:val="0"/>
                    <w:ind w:left="0" w:leftChars="0" w:right="0" w:rightChars="0" w:firstLine="0" w:firstLineChars="0"/>
                    <w:jc w:val="center"/>
                    <w:rPr>
                      <w:u w:val="none"/>
                    </w:rPr>
                  </w:pPr>
                </w:p>
              </w:tc>
            </w:tr>
            <w:tr w14:paraId="68F6303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67" w:hRule="atLeast"/>
                <w:jc w:val="center"/>
              </w:trPr>
              <w:tc>
                <w:tcPr>
                  <w:tcW w:w="502" w:type="pct"/>
                  <w:tcBorders>
                    <w:tl2br w:val="nil"/>
                    <w:tr2bl w:val="nil"/>
                  </w:tcBorders>
                  <w:shd w:val="clear" w:color="auto" w:fill="FFFFFF"/>
                  <w:vAlign w:val="center"/>
                </w:tcPr>
                <w:p w14:paraId="4D9FFBFC">
                  <w:pPr>
                    <w:pStyle w:val="97"/>
                    <w:widowControl w:val="0"/>
                    <w:ind w:left="0" w:leftChars="0" w:right="0" w:rightChars="0" w:firstLine="0" w:firstLineChars="0"/>
                    <w:jc w:val="center"/>
                    <w:rPr>
                      <w:rFonts w:hint="default"/>
                      <w:u w:val="none"/>
                      <w:lang w:val="en-US" w:eastAsia="zh-CN"/>
                    </w:rPr>
                  </w:pPr>
                  <w:r>
                    <w:rPr>
                      <w:rFonts w:hint="eastAsia"/>
                      <w:u w:val="none"/>
                      <w:lang w:val="en-US" w:eastAsia="zh-CN"/>
                    </w:rPr>
                    <w:t>P3</w:t>
                  </w:r>
                </w:p>
              </w:tc>
              <w:tc>
                <w:tcPr>
                  <w:tcW w:w="599" w:type="pct"/>
                  <w:vMerge w:val="continue"/>
                  <w:tcBorders>
                    <w:tl2br w:val="nil"/>
                    <w:tr2bl w:val="nil"/>
                  </w:tcBorders>
                  <w:shd w:val="clear" w:color="auto" w:fill="FFFFFF"/>
                  <w:vAlign w:val="center"/>
                </w:tcPr>
                <w:p w14:paraId="289D581A">
                  <w:pPr>
                    <w:pStyle w:val="97"/>
                    <w:widowControl w:val="0"/>
                    <w:ind w:left="0" w:leftChars="0" w:right="0" w:rightChars="0" w:firstLine="0" w:firstLineChars="0"/>
                    <w:jc w:val="center"/>
                    <w:rPr>
                      <w:u w:val="none"/>
                    </w:rPr>
                  </w:pPr>
                </w:p>
              </w:tc>
              <w:tc>
                <w:tcPr>
                  <w:tcW w:w="450" w:type="pct"/>
                  <w:tcBorders>
                    <w:tl2br w:val="nil"/>
                    <w:tr2bl w:val="nil"/>
                  </w:tcBorders>
                  <w:shd w:val="clear" w:color="auto" w:fill="FFFFFF"/>
                  <w:vAlign w:val="center"/>
                </w:tcPr>
                <w:p w14:paraId="175E61A7">
                  <w:pPr>
                    <w:pStyle w:val="97"/>
                    <w:widowControl w:val="0"/>
                    <w:ind w:left="0" w:leftChars="0" w:right="0" w:rightChars="0" w:firstLine="0" w:firstLineChars="0"/>
                    <w:jc w:val="center"/>
                    <w:rPr>
                      <w:rFonts w:hint="eastAsia" w:eastAsia="宋体"/>
                      <w:u w:val="none"/>
                      <w:lang w:val="en-US" w:eastAsia="zh-CN"/>
                    </w:rPr>
                  </w:pPr>
                  <w:r>
                    <w:rPr>
                      <w:rFonts w:hint="eastAsia"/>
                      <w:u w:val="none"/>
                      <w:lang w:val="en-US" w:eastAsia="zh-CN"/>
                    </w:rPr>
                    <w:t>颗粒物</w:t>
                  </w:r>
                </w:p>
              </w:tc>
              <w:tc>
                <w:tcPr>
                  <w:tcW w:w="1234" w:type="dxa"/>
                  <w:tcBorders>
                    <w:tl2br w:val="nil"/>
                    <w:tr2bl w:val="nil"/>
                  </w:tcBorders>
                  <w:shd w:val="clear" w:color="auto" w:fill="auto"/>
                  <w:vAlign w:val="center"/>
                </w:tcPr>
                <w:p w14:paraId="608F6B6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u w:val="none"/>
                      <w:lang w:val="en-US" w:eastAsia="zh-CN" w:bidi="ar-SA"/>
                    </w:rPr>
                  </w:pPr>
                  <w:r>
                    <w:rPr>
                      <w:rFonts w:hint="eastAsia" w:cs="Times New Roman"/>
                      <w:color w:val="auto"/>
                      <w:kern w:val="0"/>
                      <w:sz w:val="21"/>
                      <w:szCs w:val="21"/>
                      <w:u w:val="none"/>
                      <w:vertAlign w:val="baseline"/>
                      <w:lang w:val="en-US" w:eastAsia="zh-CN"/>
                    </w:rPr>
                    <w:t>312.34</w:t>
                  </w:r>
                </w:p>
              </w:tc>
              <w:tc>
                <w:tcPr>
                  <w:tcW w:w="1110" w:type="dxa"/>
                  <w:tcBorders>
                    <w:tl2br w:val="nil"/>
                    <w:tr2bl w:val="nil"/>
                  </w:tcBorders>
                  <w:shd w:val="clear" w:color="auto" w:fill="auto"/>
                  <w:vAlign w:val="center"/>
                </w:tcPr>
                <w:p w14:paraId="532B9F8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u w:val="none"/>
                      <w:lang w:val="en-US" w:eastAsia="zh-CN" w:bidi="ar-SA"/>
                    </w:rPr>
                  </w:pPr>
                  <w:r>
                    <w:rPr>
                      <w:rFonts w:hint="eastAsia" w:cs="Times New Roman"/>
                      <w:color w:val="auto"/>
                      <w:kern w:val="0"/>
                      <w:sz w:val="21"/>
                      <w:szCs w:val="21"/>
                      <w:u w:val="none"/>
                      <w:vertAlign w:val="baseline"/>
                      <w:lang w:val="en-US" w:eastAsia="zh-CN"/>
                    </w:rPr>
                    <w:t>3.37</w:t>
                  </w:r>
                </w:p>
              </w:tc>
              <w:tc>
                <w:tcPr>
                  <w:tcW w:w="503" w:type="pct"/>
                  <w:tcBorders>
                    <w:tl2br w:val="nil"/>
                    <w:tr2bl w:val="nil"/>
                  </w:tcBorders>
                  <w:shd w:val="clear" w:color="auto" w:fill="FFFFFF"/>
                  <w:vAlign w:val="center"/>
                </w:tcPr>
                <w:p w14:paraId="3BE1FD2D">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0.5</w:t>
                  </w:r>
                </w:p>
              </w:tc>
              <w:tc>
                <w:tcPr>
                  <w:tcW w:w="473" w:type="pct"/>
                  <w:tcBorders>
                    <w:tl2br w:val="nil"/>
                    <w:tr2bl w:val="nil"/>
                  </w:tcBorders>
                  <w:shd w:val="clear" w:color="auto" w:fill="FFFFFF"/>
                  <w:vAlign w:val="center"/>
                </w:tcPr>
                <w:p w14:paraId="5F3AAF6D">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0-1</w:t>
                  </w:r>
                </w:p>
              </w:tc>
              <w:tc>
                <w:tcPr>
                  <w:tcW w:w="1044" w:type="pct"/>
                  <w:vMerge w:val="continue"/>
                  <w:tcBorders>
                    <w:tl2br w:val="nil"/>
                    <w:tr2bl w:val="nil"/>
                  </w:tcBorders>
                  <w:shd w:val="clear" w:color="auto" w:fill="FFFFFF"/>
                  <w:vAlign w:val="center"/>
                </w:tcPr>
                <w:p w14:paraId="1B6C601B">
                  <w:pPr>
                    <w:pStyle w:val="97"/>
                    <w:widowControl w:val="0"/>
                    <w:ind w:left="0" w:leftChars="0" w:right="0" w:rightChars="0" w:firstLine="0" w:firstLineChars="0"/>
                    <w:jc w:val="center"/>
                    <w:rPr>
                      <w:u w:val="none"/>
                    </w:rPr>
                  </w:pPr>
                </w:p>
              </w:tc>
            </w:tr>
            <w:tr w14:paraId="254FCDF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67" w:hRule="atLeast"/>
                <w:jc w:val="center"/>
              </w:trPr>
              <w:tc>
                <w:tcPr>
                  <w:tcW w:w="502" w:type="pct"/>
                  <w:tcBorders>
                    <w:tl2br w:val="nil"/>
                    <w:tr2bl w:val="nil"/>
                  </w:tcBorders>
                  <w:shd w:val="clear" w:color="auto" w:fill="FFFFFF"/>
                  <w:vAlign w:val="center"/>
                </w:tcPr>
                <w:p w14:paraId="387B97F3">
                  <w:pPr>
                    <w:pStyle w:val="97"/>
                    <w:widowControl w:val="0"/>
                    <w:ind w:left="0" w:leftChars="0" w:right="0" w:rightChars="0" w:firstLine="0" w:firstLineChars="0"/>
                    <w:jc w:val="center"/>
                    <w:rPr>
                      <w:rFonts w:hint="default"/>
                      <w:u w:val="none"/>
                      <w:lang w:val="en-US" w:eastAsia="zh-CN"/>
                    </w:rPr>
                  </w:pPr>
                  <w:r>
                    <w:rPr>
                      <w:rFonts w:hint="eastAsia"/>
                      <w:u w:val="none"/>
                      <w:lang w:val="en-US" w:eastAsia="zh-CN"/>
                    </w:rPr>
                    <w:t>P4</w:t>
                  </w:r>
                </w:p>
              </w:tc>
              <w:tc>
                <w:tcPr>
                  <w:tcW w:w="599" w:type="pct"/>
                  <w:vMerge w:val="continue"/>
                  <w:tcBorders>
                    <w:tl2br w:val="nil"/>
                    <w:tr2bl w:val="nil"/>
                  </w:tcBorders>
                  <w:shd w:val="clear" w:color="auto" w:fill="FFFFFF"/>
                  <w:vAlign w:val="center"/>
                </w:tcPr>
                <w:p w14:paraId="64091959">
                  <w:pPr>
                    <w:pStyle w:val="97"/>
                    <w:widowControl w:val="0"/>
                    <w:ind w:left="0" w:leftChars="0" w:right="0" w:rightChars="0" w:firstLine="0" w:firstLineChars="0"/>
                    <w:jc w:val="center"/>
                    <w:rPr>
                      <w:u w:val="none"/>
                    </w:rPr>
                  </w:pPr>
                </w:p>
              </w:tc>
              <w:tc>
                <w:tcPr>
                  <w:tcW w:w="450" w:type="pct"/>
                  <w:tcBorders>
                    <w:tl2br w:val="nil"/>
                    <w:tr2bl w:val="nil"/>
                  </w:tcBorders>
                  <w:shd w:val="clear" w:color="auto" w:fill="FFFFFF"/>
                  <w:vAlign w:val="center"/>
                </w:tcPr>
                <w:p w14:paraId="6FDF7858">
                  <w:pPr>
                    <w:pStyle w:val="97"/>
                    <w:widowControl w:val="0"/>
                    <w:ind w:left="0" w:leftChars="0" w:right="0" w:rightChars="0" w:firstLine="0" w:firstLineChars="0"/>
                    <w:jc w:val="center"/>
                    <w:rPr>
                      <w:rFonts w:hint="eastAsia" w:eastAsia="宋体"/>
                      <w:u w:val="none"/>
                      <w:lang w:val="en-US" w:eastAsia="zh-CN"/>
                    </w:rPr>
                  </w:pPr>
                  <w:r>
                    <w:rPr>
                      <w:rFonts w:hint="eastAsia"/>
                      <w:u w:val="none"/>
                      <w:lang w:val="en-US" w:eastAsia="zh-CN"/>
                    </w:rPr>
                    <w:t>颗粒物</w:t>
                  </w:r>
                </w:p>
              </w:tc>
              <w:tc>
                <w:tcPr>
                  <w:tcW w:w="1234" w:type="dxa"/>
                  <w:tcBorders>
                    <w:tl2br w:val="nil"/>
                    <w:tr2bl w:val="nil"/>
                  </w:tcBorders>
                  <w:shd w:val="clear" w:color="auto" w:fill="auto"/>
                  <w:vAlign w:val="center"/>
                </w:tcPr>
                <w:p w14:paraId="48C0670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u w:val="none"/>
                      <w:lang w:val="en-US" w:eastAsia="zh-CN" w:bidi="ar-SA"/>
                    </w:rPr>
                  </w:pPr>
                  <w:r>
                    <w:rPr>
                      <w:rFonts w:hint="eastAsia" w:cs="Times New Roman"/>
                      <w:color w:val="auto"/>
                      <w:kern w:val="0"/>
                      <w:sz w:val="21"/>
                      <w:szCs w:val="21"/>
                      <w:u w:val="none"/>
                      <w:vertAlign w:val="baseline"/>
                      <w:lang w:val="en-US" w:eastAsia="zh-CN"/>
                    </w:rPr>
                    <w:t>585.64</w:t>
                  </w:r>
                </w:p>
              </w:tc>
              <w:tc>
                <w:tcPr>
                  <w:tcW w:w="1110" w:type="dxa"/>
                  <w:tcBorders>
                    <w:tl2br w:val="nil"/>
                    <w:tr2bl w:val="nil"/>
                  </w:tcBorders>
                  <w:shd w:val="clear" w:color="auto" w:fill="auto"/>
                  <w:vAlign w:val="center"/>
                </w:tcPr>
                <w:p w14:paraId="167CC7A7">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u w:val="none"/>
                      <w:lang w:val="en-US" w:eastAsia="zh-CN" w:bidi="ar-SA"/>
                    </w:rPr>
                  </w:pPr>
                  <w:r>
                    <w:rPr>
                      <w:rFonts w:hint="eastAsia" w:cs="Times New Roman"/>
                      <w:color w:val="auto"/>
                      <w:kern w:val="0"/>
                      <w:sz w:val="21"/>
                      <w:szCs w:val="21"/>
                      <w:u w:val="none"/>
                      <w:vertAlign w:val="baseline"/>
                      <w:lang w:val="en-US" w:eastAsia="zh-CN"/>
                    </w:rPr>
                    <w:t>10.12</w:t>
                  </w:r>
                </w:p>
              </w:tc>
              <w:tc>
                <w:tcPr>
                  <w:tcW w:w="503" w:type="pct"/>
                  <w:tcBorders>
                    <w:tl2br w:val="nil"/>
                    <w:tr2bl w:val="nil"/>
                  </w:tcBorders>
                  <w:shd w:val="clear" w:color="auto" w:fill="FFFFFF"/>
                  <w:vAlign w:val="center"/>
                </w:tcPr>
                <w:p w14:paraId="40772DE6">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0.5</w:t>
                  </w:r>
                </w:p>
              </w:tc>
              <w:tc>
                <w:tcPr>
                  <w:tcW w:w="473" w:type="pct"/>
                  <w:tcBorders>
                    <w:tl2br w:val="nil"/>
                    <w:tr2bl w:val="nil"/>
                  </w:tcBorders>
                  <w:shd w:val="clear" w:color="auto" w:fill="FFFFFF"/>
                  <w:vAlign w:val="center"/>
                </w:tcPr>
                <w:p w14:paraId="74C647DC">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0-1</w:t>
                  </w:r>
                </w:p>
              </w:tc>
              <w:tc>
                <w:tcPr>
                  <w:tcW w:w="1044" w:type="pct"/>
                  <w:vMerge w:val="continue"/>
                  <w:tcBorders>
                    <w:tl2br w:val="nil"/>
                    <w:tr2bl w:val="nil"/>
                  </w:tcBorders>
                  <w:shd w:val="clear" w:color="auto" w:fill="FFFFFF"/>
                  <w:vAlign w:val="center"/>
                </w:tcPr>
                <w:p w14:paraId="462C0428">
                  <w:pPr>
                    <w:pStyle w:val="97"/>
                    <w:widowControl w:val="0"/>
                    <w:ind w:left="0" w:leftChars="0" w:right="0" w:rightChars="0" w:firstLine="0" w:firstLineChars="0"/>
                    <w:jc w:val="center"/>
                    <w:rPr>
                      <w:u w:val="none"/>
                    </w:rPr>
                  </w:pPr>
                </w:p>
              </w:tc>
            </w:tr>
          </w:tbl>
          <w:p w14:paraId="212C0390">
            <w:pPr>
              <w:spacing w:before="120" w:beforeLines="50"/>
              <w:ind w:firstLine="482"/>
              <w:rPr>
                <w:b/>
                <w:bCs/>
                <w:u w:val="none"/>
              </w:rPr>
            </w:pPr>
            <w:r>
              <w:rPr>
                <w:rFonts w:hint="eastAsia"/>
                <w:b/>
                <w:bCs/>
                <w:u w:val="none"/>
              </w:rPr>
              <w:t>非正常工况防范措施：</w:t>
            </w:r>
          </w:p>
          <w:p w14:paraId="4FD9D102">
            <w:pPr>
              <w:widowControl w:val="0"/>
              <w:ind w:firstLine="480"/>
              <w:rPr>
                <w:u w:val="none"/>
              </w:rPr>
            </w:pPr>
            <w:r>
              <w:rPr>
                <w:rFonts w:hint="eastAsia"/>
                <w:u w:val="none"/>
              </w:rPr>
              <w:t>为确保项目</w:t>
            </w:r>
            <w:r>
              <w:rPr>
                <w:rFonts w:hint="eastAsia"/>
                <w:u w:val="none"/>
                <w:lang w:val="en-US" w:eastAsia="zh-CN"/>
              </w:rPr>
              <w:t>仓顶除尘设备</w:t>
            </w:r>
            <w:r>
              <w:rPr>
                <w:rFonts w:hint="eastAsia"/>
                <w:u w:val="none"/>
              </w:rPr>
              <w:t>正常运行，建议建设单位在日常运行过程中，采取如下措施：</w:t>
            </w:r>
          </w:p>
          <w:p w14:paraId="0BE9CF34">
            <w:pPr>
              <w:widowControl w:val="0"/>
              <w:numPr>
                <w:ilvl w:val="0"/>
                <w:numId w:val="31"/>
              </w:numPr>
              <w:ind w:firstLine="480"/>
              <w:rPr>
                <w:u w:val="none"/>
              </w:rPr>
            </w:pPr>
            <w:r>
              <w:rPr>
                <w:rFonts w:hint="eastAsia"/>
                <w:u w:val="none"/>
              </w:rPr>
              <w:t>安排专人负责每日巡检</w:t>
            </w:r>
            <w:r>
              <w:rPr>
                <w:rFonts w:hint="eastAsia"/>
                <w:u w:val="none"/>
                <w:lang w:val="en-US" w:eastAsia="zh-CN"/>
              </w:rPr>
              <w:t>筒仓及仓顶配套除尘设备</w:t>
            </w:r>
            <w:r>
              <w:rPr>
                <w:rFonts w:hint="eastAsia"/>
                <w:u w:val="none"/>
              </w:rPr>
              <w:t>，做好巡检记录；</w:t>
            </w:r>
          </w:p>
          <w:p w14:paraId="27DCC580">
            <w:pPr>
              <w:pStyle w:val="4"/>
              <w:numPr>
                <w:ilvl w:val="0"/>
                <w:numId w:val="31"/>
              </w:numPr>
              <w:ind w:firstLine="480"/>
              <w:rPr>
                <w:u w:val="none"/>
              </w:rPr>
            </w:pPr>
            <w:r>
              <w:rPr>
                <w:rFonts w:hint="eastAsia"/>
                <w:u w:val="none"/>
              </w:rPr>
              <w:t>当发现</w:t>
            </w:r>
            <w:r>
              <w:rPr>
                <w:rFonts w:hint="eastAsia"/>
                <w:u w:val="none"/>
                <w:lang w:val="en-US" w:eastAsia="zh-CN"/>
              </w:rPr>
              <w:t>仓顶除尘设备</w:t>
            </w:r>
            <w:r>
              <w:rPr>
                <w:rFonts w:hint="eastAsia"/>
                <w:u w:val="none"/>
              </w:rPr>
              <w:t>故障并导致粉尘非正常排放时，应立即</w:t>
            </w:r>
            <w:r>
              <w:rPr>
                <w:rFonts w:hint="eastAsia"/>
                <w:u w:val="none"/>
                <w:lang w:val="en-US" w:eastAsia="zh-CN"/>
              </w:rPr>
              <w:t>安排专人进行维修</w:t>
            </w:r>
            <w:r>
              <w:rPr>
                <w:rFonts w:hint="eastAsia"/>
                <w:u w:val="none"/>
              </w:rPr>
              <w:t>；</w:t>
            </w:r>
          </w:p>
          <w:p w14:paraId="32243E23">
            <w:pPr>
              <w:pStyle w:val="4"/>
              <w:numPr>
                <w:ilvl w:val="0"/>
                <w:numId w:val="31"/>
              </w:numPr>
              <w:ind w:firstLine="480"/>
              <w:rPr>
                <w:b/>
                <w:bCs/>
                <w:u w:val="none"/>
              </w:rPr>
            </w:pPr>
            <w:r>
              <w:rPr>
                <w:rFonts w:hint="eastAsia"/>
                <w:u w:val="none"/>
              </w:rPr>
              <w:t>按照要求定期对</w:t>
            </w:r>
            <w:r>
              <w:rPr>
                <w:rFonts w:hint="eastAsia"/>
                <w:u w:val="none"/>
                <w:lang w:val="en-US" w:eastAsia="zh-CN"/>
              </w:rPr>
              <w:t>仓顶除尘设备</w:t>
            </w:r>
            <w:r>
              <w:rPr>
                <w:rFonts w:hint="eastAsia"/>
                <w:u w:val="none"/>
              </w:rPr>
              <w:t>进行维护保养，以减少废气的非正常排放；</w:t>
            </w:r>
          </w:p>
          <w:p w14:paraId="75662F44">
            <w:pPr>
              <w:pStyle w:val="4"/>
              <w:numPr>
                <w:ilvl w:val="0"/>
                <w:numId w:val="31"/>
              </w:numPr>
              <w:ind w:firstLine="480"/>
              <w:rPr>
                <w:b/>
                <w:bCs/>
                <w:u w:val="none"/>
              </w:rPr>
            </w:pPr>
            <w:r>
              <w:rPr>
                <w:rFonts w:hint="eastAsia"/>
                <w:u w:val="none"/>
                <w:lang w:val="en-US" w:eastAsia="zh-CN"/>
              </w:rPr>
              <w:t>建立除尘设备</w:t>
            </w:r>
            <w:r>
              <w:rPr>
                <w:rFonts w:hint="eastAsia"/>
                <w:u w:val="none"/>
              </w:rPr>
              <w:t>运行管理台账，由专人负责记录。</w:t>
            </w:r>
          </w:p>
          <w:p w14:paraId="21638E93">
            <w:pPr>
              <w:ind w:firstLine="0" w:firstLineChars="0"/>
              <w:rPr>
                <w:b/>
                <w:bCs/>
                <w:highlight w:val="none"/>
              </w:rPr>
            </w:pPr>
            <w:r>
              <w:rPr>
                <w:rFonts w:hint="eastAsia"/>
                <w:b/>
                <w:bCs/>
                <w:highlight w:val="none"/>
              </w:rPr>
              <w:t>1.6 监测计划</w:t>
            </w:r>
          </w:p>
          <w:p w14:paraId="42C7D21E">
            <w:pPr>
              <w:ind w:firstLine="480"/>
              <w:rPr>
                <w:highlight w:val="none"/>
                <w:u w:val="single"/>
              </w:rPr>
            </w:pPr>
            <w:r>
              <w:rPr>
                <w:highlight w:val="none"/>
                <w:u w:val="single"/>
              </w:rPr>
              <w:t>根据《排污单位自行监测技术指南 总则》</w:t>
            </w:r>
            <w:r>
              <w:rPr>
                <w:rFonts w:hint="eastAsia"/>
                <w:highlight w:val="none"/>
                <w:u w:val="single"/>
              </w:rPr>
              <w:t>（</w:t>
            </w:r>
            <w:r>
              <w:rPr>
                <w:highlight w:val="none"/>
                <w:u w:val="single"/>
              </w:rPr>
              <w:t>HJ819-2017</w:t>
            </w:r>
            <w:r>
              <w:rPr>
                <w:rFonts w:hint="eastAsia"/>
                <w:highlight w:val="none"/>
                <w:u w:val="single"/>
              </w:rPr>
              <w:t>）</w:t>
            </w:r>
            <w:r>
              <w:rPr>
                <w:highlight w:val="none"/>
                <w:u w:val="single"/>
              </w:rPr>
              <w:t>、</w:t>
            </w:r>
            <w:r>
              <w:rPr>
                <w:rFonts w:hint="eastAsia"/>
                <w:highlight w:val="none"/>
                <w:u w:val="single"/>
              </w:rPr>
              <w:t>《</w:t>
            </w:r>
            <w:r>
              <w:rPr>
                <w:highlight w:val="none"/>
                <w:u w:val="single"/>
              </w:rPr>
              <w:t xml:space="preserve">排污单位自行监测技术指南 </w:t>
            </w:r>
            <w:r>
              <w:rPr>
                <w:rFonts w:hint="eastAsia"/>
                <w:highlight w:val="none"/>
                <w:u w:val="single"/>
              </w:rPr>
              <w:t>工业固体废物和危险废物治理》（HJ1250-2022）</w:t>
            </w:r>
            <w:r>
              <w:rPr>
                <w:rFonts w:hint="eastAsia"/>
                <w:highlight w:val="none"/>
                <w:u w:val="single"/>
                <w:lang w:val="en-US" w:eastAsia="zh-CN"/>
              </w:rPr>
              <w:t>以及</w:t>
            </w:r>
            <w:r>
              <w:rPr>
                <w:rFonts w:hint="eastAsia"/>
                <w:sz w:val="24"/>
                <w:highlight w:val="none"/>
                <w:u w:val="single"/>
              </w:rPr>
              <w:t>厂区现有项目自行监测计划等相关要求</w:t>
            </w:r>
            <w:r>
              <w:rPr>
                <w:highlight w:val="none"/>
                <w:u w:val="single"/>
              </w:rPr>
              <w:t>，本项目废气自行监测计划可参照下表执行：</w:t>
            </w:r>
          </w:p>
          <w:p w14:paraId="2E117DC5">
            <w:pPr>
              <w:pStyle w:val="379"/>
              <w:keepNext w:val="0"/>
              <w:keepLines w:val="0"/>
              <w:pageBreakBefore w:val="0"/>
              <w:widowControl w:val="0"/>
              <w:kinsoku/>
              <w:wordWrap/>
              <w:overflowPunct/>
              <w:topLinePunct w:val="0"/>
              <w:autoSpaceDE/>
              <w:autoSpaceDN/>
              <w:bidi w:val="0"/>
              <w:adjustRightInd/>
              <w:snapToGrid/>
              <w:spacing w:line="240" w:lineRule="auto"/>
              <w:textAlignment w:val="auto"/>
              <w:rPr>
                <w:highlight w:val="none"/>
                <w:u w:val="single"/>
              </w:rPr>
            </w:pPr>
            <w:r>
              <w:rPr>
                <w:rFonts w:hint="eastAsia"/>
                <w:b/>
                <w:bCs/>
                <w:highlight w:val="none"/>
                <w:u w:val="single"/>
              </w:rPr>
              <w:t>废气自行监测计划</w:t>
            </w:r>
          </w:p>
          <w:tbl>
            <w:tblPr>
              <w:tblStyle w:val="31"/>
              <w:tblW w:w="4998"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755"/>
              <w:gridCol w:w="756"/>
              <w:gridCol w:w="1263"/>
              <w:gridCol w:w="1143"/>
              <w:gridCol w:w="4302"/>
            </w:tblGrid>
            <w:tr w14:paraId="3962009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919" w:type="pct"/>
                  <w:gridSpan w:val="2"/>
                  <w:tcBorders>
                    <w:tl2br w:val="nil"/>
                    <w:tr2bl w:val="nil"/>
                  </w:tcBorders>
                  <w:vAlign w:val="center"/>
                </w:tcPr>
                <w:p w14:paraId="651ED235">
                  <w:pPr>
                    <w:pStyle w:val="97"/>
                    <w:ind w:firstLine="0" w:firstLineChars="0"/>
                    <w:jc w:val="center"/>
                    <w:rPr>
                      <w:b/>
                      <w:bCs/>
                      <w:highlight w:val="none"/>
                      <w:u w:val="single"/>
                    </w:rPr>
                  </w:pPr>
                  <w:r>
                    <w:rPr>
                      <w:b/>
                      <w:bCs/>
                      <w:highlight w:val="none"/>
                      <w:u w:val="single"/>
                    </w:rPr>
                    <w:t>监测点位</w:t>
                  </w:r>
                </w:p>
              </w:tc>
              <w:tc>
                <w:tcPr>
                  <w:tcW w:w="768" w:type="pct"/>
                  <w:tcBorders>
                    <w:tl2br w:val="nil"/>
                    <w:tr2bl w:val="nil"/>
                  </w:tcBorders>
                  <w:vAlign w:val="center"/>
                </w:tcPr>
                <w:p w14:paraId="057D424D">
                  <w:pPr>
                    <w:pStyle w:val="97"/>
                    <w:ind w:firstLine="0" w:firstLineChars="0"/>
                    <w:jc w:val="center"/>
                    <w:rPr>
                      <w:b/>
                      <w:bCs/>
                      <w:highlight w:val="none"/>
                      <w:u w:val="single"/>
                    </w:rPr>
                  </w:pPr>
                  <w:r>
                    <w:rPr>
                      <w:b/>
                      <w:bCs/>
                      <w:highlight w:val="none"/>
                      <w:u w:val="single"/>
                    </w:rPr>
                    <w:t>监测指标</w:t>
                  </w:r>
                </w:p>
              </w:tc>
              <w:tc>
                <w:tcPr>
                  <w:tcW w:w="695" w:type="pct"/>
                  <w:tcBorders>
                    <w:tl2br w:val="nil"/>
                    <w:tr2bl w:val="nil"/>
                  </w:tcBorders>
                  <w:vAlign w:val="center"/>
                </w:tcPr>
                <w:p w14:paraId="530D1C98">
                  <w:pPr>
                    <w:pStyle w:val="97"/>
                    <w:ind w:firstLine="0" w:firstLineChars="0"/>
                    <w:jc w:val="center"/>
                    <w:rPr>
                      <w:b/>
                      <w:bCs/>
                      <w:highlight w:val="none"/>
                      <w:u w:val="single"/>
                    </w:rPr>
                  </w:pPr>
                  <w:r>
                    <w:rPr>
                      <w:b/>
                      <w:bCs/>
                      <w:highlight w:val="none"/>
                      <w:u w:val="single"/>
                    </w:rPr>
                    <w:t>监测频次</w:t>
                  </w:r>
                </w:p>
              </w:tc>
              <w:tc>
                <w:tcPr>
                  <w:tcW w:w="2616" w:type="pct"/>
                  <w:tcBorders>
                    <w:tl2br w:val="nil"/>
                    <w:tr2bl w:val="nil"/>
                  </w:tcBorders>
                  <w:vAlign w:val="center"/>
                </w:tcPr>
                <w:p w14:paraId="2B87A80C">
                  <w:pPr>
                    <w:pStyle w:val="97"/>
                    <w:ind w:firstLine="0" w:firstLineChars="0"/>
                    <w:jc w:val="center"/>
                    <w:rPr>
                      <w:b/>
                      <w:bCs/>
                      <w:highlight w:val="none"/>
                      <w:u w:val="single"/>
                    </w:rPr>
                  </w:pPr>
                  <w:r>
                    <w:rPr>
                      <w:b/>
                      <w:bCs/>
                      <w:highlight w:val="none"/>
                      <w:u w:val="single"/>
                    </w:rPr>
                    <w:t>执行排放标准</w:t>
                  </w:r>
                </w:p>
              </w:tc>
            </w:tr>
            <w:tr w14:paraId="533A247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68" w:hRule="atLeast"/>
                <w:jc w:val="center"/>
              </w:trPr>
              <w:tc>
                <w:tcPr>
                  <w:tcW w:w="459" w:type="pct"/>
                  <w:vMerge w:val="restart"/>
                  <w:tcBorders>
                    <w:tl2br w:val="nil"/>
                    <w:tr2bl w:val="nil"/>
                  </w:tcBorders>
                  <w:vAlign w:val="center"/>
                </w:tcPr>
                <w:p w14:paraId="69F610BC">
                  <w:pPr>
                    <w:pStyle w:val="97"/>
                    <w:ind w:firstLine="0" w:firstLineChars="0"/>
                    <w:jc w:val="center"/>
                    <w:rPr>
                      <w:rFonts w:hint="default" w:eastAsia="宋体"/>
                      <w:highlight w:val="none"/>
                      <w:u w:val="single"/>
                      <w:lang w:val="en-US" w:eastAsia="zh-CN"/>
                    </w:rPr>
                  </w:pPr>
                  <w:r>
                    <w:rPr>
                      <w:rFonts w:hint="eastAsia"/>
                      <w:highlight w:val="none"/>
                      <w:u w:val="single"/>
                      <w:lang w:val="en-US" w:eastAsia="zh-CN"/>
                    </w:rPr>
                    <w:t>筒仓仓顶除尘器出气孔</w:t>
                  </w:r>
                </w:p>
              </w:tc>
              <w:tc>
                <w:tcPr>
                  <w:tcW w:w="459" w:type="pct"/>
                  <w:tcBorders>
                    <w:tl2br w:val="nil"/>
                    <w:tr2bl w:val="nil"/>
                  </w:tcBorders>
                  <w:vAlign w:val="center"/>
                </w:tcPr>
                <w:p w14:paraId="7569FD10">
                  <w:pPr>
                    <w:pStyle w:val="97"/>
                    <w:ind w:firstLine="0" w:firstLineChars="0"/>
                    <w:jc w:val="center"/>
                    <w:rPr>
                      <w:rFonts w:hint="default"/>
                      <w:highlight w:val="none"/>
                      <w:u w:val="single"/>
                      <w:lang w:val="en-US" w:eastAsia="zh-CN"/>
                    </w:rPr>
                  </w:pPr>
                  <w:r>
                    <w:rPr>
                      <w:rFonts w:hint="eastAsia"/>
                      <w:highlight w:val="none"/>
                      <w:u w:val="single"/>
                      <w:lang w:val="en-US" w:eastAsia="zh-CN"/>
                    </w:rPr>
                    <w:t>P1</w:t>
                  </w:r>
                </w:p>
              </w:tc>
              <w:tc>
                <w:tcPr>
                  <w:tcW w:w="768" w:type="pct"/>
                  <w:vMerge w:val="restart"/>
                  <w:tcBorders>
                    <w:tl2br w:val="nil"/>
                    <w:tr2bl w:val="nil"/>
                  </w:tcBorders>
                  <w:vAlign w:val="center"/>
                </w:tcPr>
                <w:p w14:paraId="479B96C3">
                  <w:pPr>
                    <w:pStyle w:val="97"/>
                    <w:ind w:firstLine="0" w:firstLineChars="0"/>
                    <w:jc w:val="center"/>
                    <w:rPr>
                      <w:highlight w:val="none"/>
                      <w:u w:val="single"/>
                    </w:rPr>
                  </w:pPr>
                  <w:r>
                    <w:rPr>
                      <w:rFonts w:hint="eastAsia"/>
                      <w:highlight w:val="none"/>
                      <w:u w:val="single"/>
                    </w:rPr>
                    <w:t>颗粒物</w:t>
                  </w:r>
                </w:p>
              </w:tc>
              <w:tc>
                <w:tcPr>
                  <w:tcW w:w="695" w:type="pct"/>
                  <w:vMerge w:val="restart"/>
                  <w:tcBorders>
                    <w:tl2br w:val="nil"/>
                    <w:tr2bl w:val="nil"/>
                  </w:tcBorders>
                  <w:vAlign w:val="center"/>
                </w:tcPr>
                <w:p w14:paraId="73969704">
                  <w:pPr>
                    <w:spacing w:line="240" w:lineRule="auto"/>
                    <w:ind w:firstLine="0" w:firstLineChars="0"/>
                    <w:jc w:val="center"/>
                    <w:rPr>
                      <w:sz w:val="21"/>
                      <w:szCs w:val="21"/>
                      <w:highlight w:val="none"/>
                      <w:u w:val="single"/>
                    </w:rPr>
                  </w:pPr>
                  <w:r>
                    <w:rPr>
                      <w:rFonts w:hint="eastAsia"/>
                      <w:sz w:val="21"/>
                      <w:szCs w:val="21"/>
                      <w:highlight w:val="none"/>
                      <w:u w:val="single"/>
                    </w:rPr>
                    <w:t>1次/半年</w:t>
                  </w:r>
                </w:p>
              </w:tc>
              <w:tc>
                <w:tcPr>
                  <w:tcW w:w="2616" w:type="pct"/>
                  <w:vMerge w:val="restart"/>
                  <w:tcBorders>
                    <w:tl2br w:val="nil"/>
                    <w:tr2bl w:val="nil"/>
                  </w:tcBorders>
                  <w:vAlign w:val="center"/>
                </w:tcPr>
                <w:p w14:paraId="27936FA1">
                  <w:pPr>
                    <w:pStyle w:val="97"/>
                    <w:ind w:firstLine="0" w:firstLineChars="0"/>
                    <w:jc w:val="center"/>
                    <w:rPr>
                      <w:spacing w:val="6"/>
                      <w:highlight w:val="none"/>
                      <w:u w:val="single"/>
                    </w:rPr>
                  </w:pPr>
                  <w:r>
                    <w:rPr>
                      <w:rFonts w:hint="eastAsia"/>
                      <w:spacing w:val="6"/>
                      <w:highlight w:val="none"/>
                      <w:u w:val="single"/>
                    </w:rPr>
                    <w:t>《大气污染物综合排放标准》（GB16297-1996）中表2有组织排放限值</w:t>
                  </w:r>
                </w:p>
              </w:tc>
            </w:tr>
            <w:tr w14:paraId="378BC7E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68" w:hRule="atLeast"/>
                <w:jc w:val="center"/>
              </w:trPr>
              <w:tc>
                <w:tcPr>
                  <w:tcW w:w="459" w:type="pct"/>
                  <w:vMerge w:val="continue"/>
                  <w:tcBorders>
                    <w:tl2br w:val="nil"/>
                    <w:tr2bl w:val="nil"/>
                  </w:tcBorders>
                  <w:vAlign w:val="center"/>
                </w:tcPr>
                <w:p w14:paraId="629DBDC4">
                  <w:pPr>
                    <w:pStyle w:val="97"/>
                    <w:ind w:firstLine="0" w:firstLineChars="0"/>
                    <w:jc w:val="center"/>
                    <w:rPr>
                      <w:highlight w:val="none"/>
                      <w:u w:val="single"/>
                    </w:rPr>
                  </w:pPr>
                </w:p>
              </w:tc>
              <w:tc>
                <w:tcPr>
                  <w:tcW w:w="459" w:type="pct"/>
                  <w:tcBorders>
                    <w:tl2br w:val="nil"/>
                    <w:tr2bl w:val="nil"/>
                  </w:tcBorders>
                  <w:vAlign w:val="center"/>
                </w:tcPr>
                <w:p w14:paraId="58DA4DD3">
                  <w:pPr>
                    <w:pStyle w:val="97"/>
                    <w:ind w:firstLine="0" w:firstLineChars="0"/>
                    <w:jc w:val="center"/>
                    <w:rPr>
                      <w:rFonts w:hint="default"/>
                      <w:highlight w:val="none"/>
                      <w:u w:val="single"/>
                      <w:lang w:val="en-US" w:eastAsia="zh-CN"/>
                    </w:rPr>
                  </w:pPr>
                  <w:r>
                    <w:rPr>
                      <w:rFonts w:hint="eastAsia"/>
                      <w:highlight w:val="none"/>
                      <w:u w:val="single"/>
                      <w:lang w:val="en-US" w:eastAsia="zh-CN"/>
                    </w:rPr>
                    <w:t>P2</w:t>
                  </w:r>
                </w:p>
              </w:tc>
              <w:tc>
                <w:tcPr>
                  <w:tcW w:w="768" w:type="pct"/>
                  <w:vMerge w:val="continue"/>
                  <w:tcBorders>
                    <w:tl2br w:val="nil"/>
                    <w:tr2bl w:val="nil"/>
                  </w:tcBorders>
                  <w:vAlign w:val="center"/>
                </w:tcPr>
                <w:p w14:paraId="1D702E1A">
                  <w:pPr>
                    <w:pStyle w:val="97"/>
                    <w:ind w:firstLine="0" w:firstLineChars="0"/>
                    <w:jc w:val="center"/>
                    <w:rPr>
                      <w:rFonts w:hint="eastAsia"/>
                      <w:highlight w:val="none"/>
                      <w:u w:val="single"/>
                      <w:lang w:val="en-US" w:eastAsia="zh-CN"/>
                    </w:rPr>
                  </w:pPr>
                </w:p>
              </w:tc>
              <w:tc>
                <w:tcPr>
                  <w:tcW w:w="695" w:type="pct"/>
                  <w:vMerge w:val="continue"/>
                  <w:tcBorders>
                    <w:tl2br w:val="nil"/>
                    <w:tr2bl w:val="nil"/>
                  </w:tcBorders>
                  <w:vAlign w:val="center"/>
                </w:tcPr>
                <w:p w14:paraId="7B2D13F2">
                  <w:pPr>
                    <w:pStyle w:val="97"/>
                    <w:ind w:firstLine="0" w:firstLineChars="0"/>
                    <w:jc w:val="center"/>
                    <w:rPr>
                      <w:rFonts w:hint="eastAsia"/>
                      <w:highlight w:val="none"/>
                      <w:u w:val="single"/>
                      <w:lang w:val="en-US" w:eastAsia="zh-CN"/>
                    </w:rPr>
                  </w:pPr>
                </w:p>
              </w:tc>
              <w:tc>
                <w:tcPr>
                  <w:tcW w:w="2616" w:type="pct"/>
                  <w:vMerge w:val="continue"/>
                  <w:tcBorders>
                    <w:tl2br w:val="nil"/>
                    <w:tr2bl w:val="nil"/>
                  </w:tcBorders>
                  <w:vAlign w:val="center"/>
                </w:tcPr>
                <w:p w14:paraId="2D351462">
                  <w:pPr>
                    <w:pStyle w:val="97"/>
                    <w:ind w:firstLine="0" w:firstLineChars="0"/>
                    <w:jc w:val="center"/>
                    <w:rPr>
                      <w:rFonts w:hint="eastAsia"/>
                      <w:highlight w:val="none"/>
                      <w:u w:val="single"/>
                      <w:lang w:val="en-US" w:eastAsia="zh-CN"/>
                    </w:rPr>
                  </w:pPr>
                </w:p>
              </w:tc>
            </w:tr>
            <w:tr w14:paraId="07968C0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68" w:hRule="atLeast"/>
                <w:jc w:val="center"/>
              </w:trPr>
              <w:tc>
                <w:tcPr>
                  <w:tcW w:w="459" w:type="pct"/>
                  <w:vMerge w:val="continue"/>
                  <w:tcBorders>
                    <w:tl2br w:val="nil"/>
                    <w:tr2bl w:val="nil"/>
                  </w:tcBorders>
                  <w:vAlign w:val="center"/>
                </w:tcPr>
                <w:p w14:paraId="53B89015">
                  <w:pPr>
                    <w:pStyle w:val="97"/>
                    <w:ind w:firstLine="0" w:firstLineChars="0"/>
                    <w:jc w:val="center"/>
                    <w:rPr>
                      <w:rFonts w:hint="eastAsia"/>
                      <w:highlight w:val="none"/>
                      <w:u w:val="single"/>
                      <w:lang w:val="en-US" w:eastAsia="zh-CN"/>
                    </w:rPr>
                  </w:pPr>
                </w:p>
              </w:tc>
              <w:tc>
                <w:tcPr>
                  <w:tcW w:w="459" w:type="pct"/>
                  <w:tcBorders>
                    <w:tl2br w:val="nil"/>
                    <w:tr2bl w:val="nil"/>
                  </w:tcBorders>
                  <w:vAlign w:val="center"/>
                </w:tcPr>
                <w:p w14:paraId="67DC261D">
                  <w:pPr>
                    <w:pStyle w:val="97"/>
                    <w:ind w:firstLine="0" w:firstLineChars="0"/>
                    <w:jc w:val="center"/>
                    <w:rPr>
                      <w:rFonts w:hint="default"/>
                      <w:highlight w:val="none"/>
                      <w:u w:val="single"/>
                      <w:lang w:val="en-US" w:eastAsia="zh-CN"/>
                    </w:rPr>
                  </w:pPr>
                  <w:r>
                    <w:rPr>
                      <w:rFonts w:hint="eastAsia"/>
                      <w:highlight w:val="none"/>
                      <w:u w:val="single"/>
                      <w:lang w:val="en-US" w:eastAsia="zh-CN"/>
                    </w:rPr>
                    <w:t>P3</w:t>
                  </w:r>
                </w:p>
              </w:tc>
              <w:tc>
                <w:tcPr>
                  <w:tcW w:w="768" w:type="pct"/>
                  <w:vMerge w:val="continue"/>
                  <w:tcBorders>
                    <w:tl2br w:val="nil"/>
                    <w:tr2bl w:val="nil"/>
                  </w:tcBorders>
                  <w:vAlign w:val="center"/>
                </w:tcPr>
                <w:p w14:paraId="277CD5F7">
                  <w:pPr>
                    <w:pStyle w:val="97"/>
                    <w:ind w:firstLine="0" w:firstLineChars="0"/>
                    <w:jc w:val="center"/>
                    <w:rPr>
                      <w:rFonts w:hint="eastAsia"/>
                      <w:highlight w:val="none"/>
                      <w:u w:val="single"/>
                      <w:lang w:val="en-US" w:eastAsia="zh-CN"/>
                    </w:rPr>
                  </w:pPr>
                </w:p>
              </w:tc>
              <w:tc>
                <w:tcPr>
                  <w:tcW w:w="695" w:type="pct"/>
                  <w:vMerge w:val="continue"/>
                  <w:tcBorders>
                    <w:tl2br w:val="nil"/>
                    <w:tr2bl w:val="nil"/>
                  </w:tcBorders>
                  <w:vAlign w:val="center"/>
                </w:tcPr>
                <w:p w14:paraId="1110F781">
                  <w:pPr>
                    <w:pStyle w:val="97"/>
                    <w:ind w:firstLine="0" w:firstLineChars="0"/>
                    <w:jc w:val="center"/>
                    <w:rPr>
                      <w:rFonts w:hint="eastAsia"/>
                      <w:highlight w:val="none"/>
                      <w:u w:val="single"/>
                      <w:lang w:val="en-US" w:eastAsia="zh-CN"/>
                    </w:rPr>
                  </w:pPr>
                </w:p>
              </w:tc>
              <w:tc>
                <w:tcPr>
                  <w:tcW w:w="2616" w:type="pct"/>
                  <w:vMerge w:val="continue"/>
                  <w:tcBorders>
                    <w:tl2br w:val="nil"/>
                    <w:tr2bl w:val="nil"/>
                  </w:tcBorders>
                  <w:vAlign w:val="center"/>
                </w:tcPr>
                <w:p w14:paraId="6A5E7652">
                  <w:pPr>
                    <w:pStyle w:val="97"/>
                    <w:ind w:firstLine="0" w:firstLineChars="0"/>
                    <w:jc w:val="center"/>
                    <w:rPr>
                      <w:rFonts w:hint="eastAsia"/>
                      <w:highlight w:val="none"/>
                      <w:u w:val="single"/>
                      <w:lang w:val="en-US" w:eastAsia="zh-CN"/>
                    </w:rPr>
                  </w:pPr>
                </w:p>
              </w:tc>
            </w:tr>
            <w:tr w14:paraId="03EC728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68" w:hRule="atLeast"/>
                <w:jc w:val="center"/>
              </w:trPr>
              <w:tc>
                <w:tcPr>
                  <w:tcW w:w="459" w:type="pct"/>
                  <w:vMerge w:val="continue"/>
                  <w:tcBorders>
                    <w:tl2br w:val="nil"/>
                    <w:tr2bl w:val="nil"/>
                  </w:tcBorders>
                  <w:vAlign w:val="center"/>
                </w:tcPr>
                <w:p w14:paraId="4F21217C">
                  <w:pPr>
                    <w:pStyle w:val="97"/>
                    <w:ind w:firstLine="0" w:firstLineChars="0"/>
                    <w:jc w:val="center"/>
                    <w:rPr>
                      <w:rFonts w:hint="eastAsia"/>
                      <w:highlight w:val="none"/>
                      <w:u w:val="single"/>
                      <w:lang w:val="en-US" w:eastAsia="zh-CN"/>
                    </w:rPr>
                  </w:pPr>
                </w:p>
              </w:tc>
              <w:tc>
                <w:tcPr>
                  <w:tcW w:w="459" w:type="pct"/>
                  <w:tcBorders>
                    <w:tl2br w:val="nil"/>
                    <w:tr2bl w:val="nil"/>
                  </w:tcBorders>
                  <w:vAlign w:val="center"/>
                </w:tcPr>
                <w:p w14:paraId="4008BBB9">
                  <w:pPr>
                    <w:pStyle w:val="97"/>
                    <w:ind w:firstLine="0" w:firstLineChars="0"/>
                    <w:jc w:val="center"/>
                    <w:rPr>
                      <w:rFonts w:hint="default"/>
                      <w:highlight w:val="none"/>
                      <w:u w:val="single"/>
                      <w:lang w:val="en-US" w:eastAsia="zh-CN"/>
                    </w:rPr>
                  </w:pPr>
                  <w:r>
                    <w:rPr>
                      <w:rFonts w:hint="eastAsia"/>
                      <w:highlight w:val="none"/>
                      <w:u w:val="single"/>
                      <w:lang w:val="en-US" w:eastAsia="zh-CN"/>
                    </w:rPr>
                    <w:t>P4</w:t>
                  </w:r>
                </w:p>
              </w:tc>
              <w:tc>
                <w:tcPr>
                  <w:tcW w:w="768" w:type="pct"/>
                  <w:vMerge w:val="continue"/>
                  <w:tcBorders>
                    <w:tl2br w:val="nil"/>
                    <w:tr2bl w:val="nil"/>
                  </w:tcBorders>
                  <w:vAlign w:val="center"/>
                </w:tcPr>
                <w:p w14:paraId="03BEF1B5">
                  <w:pPr>
                    <w:pStyle w:val="97"/>
                    <w:ind w:firstLine="0" w:firstLineChars="0"/>
                    <w:jc w:val="center"/>
                    <w:rPr>
                      <w:rFonts w:hint="eastAsia"/>
                      <w:highlight w:val="none"/>
                      <w:u w:val="single"/>
                      <w:lang w:val="en-US" w:eastAsia="zh-CN"/>
                    </w:rPr>
                  </w:pPr>
                </w:p>
              </w:tc>
              <w:tc>
                <w:tcPr>
                  <w:tcW w:w="695" w:type="pct"/>
                  <w:vMerge w:val="continue"/>
                  <w:tcBorders>
                    <w:tl2br w:val="nil"/>
                    <w:tr2bl w:val="nil"/>
                  </w:tcBorders>
                  <w:vAlign w:val="center"/>
                </w:tcPr>
                <w:p w14:paraId="368C219D">
                  <w:pPr>
                    <w:pStyle w:val="97"/>
                    <w:ind w:firstLine="0" w:firstLineChars="0"/>
                    <w:jc w:val="center"/>
                    <w:rPr>
                      <w:rFonts w:hint="eastAsia"/>
                      <w:highlight w:val="none"/>
                      <w:u w:val="single"/>
                      <w:lang w:val="en-US" w:eastAsia="zh-CN"/>
                    </w:rPr>
                  </w:pPr>
                </w:p>
              </w:tc>
              <w:tc>
                <w:tcPr>
                  <w:tcW w:w="2616" w:type="pct"/>
                  <w:vMerge w:val="continue"/>
                  <w:tcBorders>
                    <w:tl2br w:val="nil"/>
                    <w:tr2bl w:val="nil"/>
                  </w:tcBorders>
                  <w:vAlign w:val="center"/>
                </w:tcPr>
                <w:p w14:paraId="43712B01">
                  <w:pPr>
                    <w:pStyle w:val="97"/>
                    <w:ind w:firstLine="0" w:firstLineChars="0"/>
                    <w:jc w:val="center"/>
                    <w:rPr>
                      <w:rFonts w:hint="eastAsia"/>
                      <w:highlight w:val="none"/>
                      <w:u w:val="single"/>
                      <w:lang w:val="en-US" w:eastAsia="zh-CN"/>
                    </w:rPr>
                  </w:pPr>
                </w:p>
              </w:tc>
            </w:tr>
            <w:tr w14:paraId="11880D2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9" w:hRule="atLeast"/>
                <w:jc w:val="center"/>
              </w:trPr>
              <w:tc>
                <w:tcPr>
                  <w:tcW w:w="919" w:type="pct"/>
                  <w:gridSpan w:val="2"/>
                  <w:tcBorders>
                    <w:tl2br w:val="nil"/>
                    <w:tr2bl w:val="nil"/>
                  </w:tcBorders>
                  <w:vAlign w:val="center"/>
                </w:tcPr>
                <w:p w14:paraId="387E270E">
                  <w:pPr>
                    <w:pStyle w:val="97"/>
                    <w:ind w:firstLine="0" w:firstLineChars="0"/>
                    <w:jc w:val="center"/>
                    <w:rPr>
                      <w:highlight w:val="none"/>
                      <w:u w:val="single"/>
                    </w:rPr>
                  </w:pPr>
                  <w:r>
                    <w:rPr>
                      <w:rFonts w:hint="eastAsia"/>
                      <w:highlight w:val="none"/>
                      <w:u w:val="single"/>
                    </w:rPr>
                    <w:t>厂界</w:t>
                  </w:r>
                </w:p>
              </w:tc>
              <w:tc>
                <w:tcPr>
                  <w:tcW w:w="768" w:type="pct"/>
                  <w:tcBorders>
                    <w:tl2br w:val="nil"/>
                    <w:tr2bl w:val="nil"/>
                  </w:tcBorders>
                  <w:vAlign w:val="center"/>
                </w:tcPr>
                <w:p w14:paraId="2E1BF650">
                  <w:pPr>
                    <w:pStyle w:val="97"/>
                    <w:ind w:firstLine="0" w:firstLineChars="0"/>
                    <w:jc w:val="center"/>
                    <w:rPr>
                      <w:highlight w:val="none"/>
                      <w:u w:val="single"/>
                    </w:rPr>
                  </w:pPr>
                  <w:r>
                    <w:rPr>
                      <w:rFonts w:hint="eastAsia"/>
                      <w:highlight w:val="none"/>
                      <w:u w:val="single"/>
                    </w:rPr>
                    <w:t>颗粒物</w:t>
                  </w:r>
                </w:p>
              </w:tc>
              <w:tc>
                <w:tcPr>
                  <w:tcW w:w="695" w:type="pct"/>
                  <w:tcBorders>
                    <w:tl2br w:val="nil"/>
                    <w:tr2bl w:val="nil"/>
                  </w:tcBorders>
                  <w:vAlign w:val="center"/>
                </w:tcPr>
                <w:p w14:paraId="33E9C1AB">
                  <w:pPr>
                    <w:spacing w:line="240" w:lineRule="auto"/>
                    <w:ind w:firstLine="0" w:firstLineChars="0"/>
                    <w:jc w:val="center"/>
                    <w:rPr>
                      <w:sz w:val="21"/>
                      <w:szCs w:val="21"/>
                      <w:highlight w:val="none"/>
                      <w:u w:val="single"/>
                    </w:rPr>
                  </w:pPr>
                  <w:r>
                    <w:rPr>
                      <w:rFonts w:hint="eastAsia"/>
                      <w:sz w:val="21"/>
                      <w:szCs w:val="21"/>
                      <w:highlight w:val="none"/>
                      <w:u w:val="single"/>
                    </w:rPr>
                    <w:t>1次/季度</w:t>
                  </w:r>
                </w:p>
              </w:tc>
              <w:tc>
                <w:tcPr>
                  <w:tcW w:w="2616" w:type="pct"/>
                  <w:tcBorders>
                    <w:tl2br w:val="nil"/>
                    <w:tr2bl w:val="nil"/>
                  </w:tcBorders>
                  <w:vAlign w:val="center"/>
                </w:tcPr>
                <w:p w14:paraId="2E79FB4A">
                  <w:pPr>
                    <w:pStyle w:val="97"/>
                    <w:ind w:firstLine="0" w:firstLineChars="0"/>
                    <w:jc w:val="center"/>
                    <w:rPr>
                      <w:spacing w:val="6"/>
                      <w:highlight w:val="none"/>
                      <w:u w:val="single"/>
                    </w:rPr>
                  </w:pPr>
                  <w:r>
                    <w:rPr>
                      <w:rFonts w:hint="eastAsia"/>
                      <w:spacing w:val="6"/>
                      <w:highlight w:val="none"/>
                      <w:u w:val="single"/>
                    </w:rPr>
                    <w:t>《大气污染物综合排放标准》（GB16297-1996）中表2无组织排放限值</w:t>
                  </w:r>
                </w:p>
              </w:tc>
            </w:tr>
          </w:tbl>
          <w:p w14:paraId="64DD5FDA">
            <w:pPr>
              <w:numPr>
                <w:ilvl w:val="0"/>
                <w:numId w:val="28"/>
              </w:numPr>
              <w:autoSpaceDE w:val="0"/>
              <w:autoSpaceDN w:val="0"/>
              <w:adjustRightInd w:val="0"/>
              <w:snapToGrid w:val="0"/>
              <w:ind w:firstLineChars="0"/>
              <w:rPr>
                <w:b/>
              </w:rPr>
            </w:pPr>
            <w:r>
              <w:rPr>
                <w:rFonts w:hint="eastAsia"/>
                <w:b/>
                <w:sz w:val="28"/>
                <w:szCs w:val="28"/>
              </w:rPr>
              <w:t>废水</w:t>
            </w:r>
          </w:p>
          <w:p w14:paraId="4F7D449E">
            <w:pPr>
              <w:adjustRightInd w:val="0"/>
              <w:snapToGrid w:val="0"/>
              <w:ind w:firstLine="480"/>
              <w:rPr>
                <w:rFonts w:hint="default" w:eastAsia="宋体"/>
                <w:u w:val="none"/>
                <w:lang w:val="en-US" w:eastAsia="zh-CN"/>
              </w:rPr>
            </w:pPr>
            <w:r>
              <w:rPr>
                <w:rFonts w:hint="eastAsia"/>
                <w:u w:val="none"/>
              </w:rPr>
              <w:t>项目区进行雨污分流</w:t>
            </w:r>
            <w:r>
              <w:rPr>
                <w:rFonts w:hint="eastAsia"/>
                <w:u w:val="none"/>
                <w:lang w:eastAsia="zh-CN"/>
              </w:rPr>
              <w:t>，</w:t>
            </w:r>
            <w:r>
              <w:rPr>
                <w:rFonts w:hint="eastAsia"/>
                <w:u w:val="none"/>
                <w:lang w:val="en-US" w:eastAsia="zh-CN"/>
              </w:rPr>
              <w:t>污污分流</w:t>
            </w:r>
            <w:r>
              <w:rPr>
                <w:rFonts w:hint="eastAsia"/>
                <w:u w:val="none"/>
                <w:lang w:eastAsia="zh-CN"/>
              </w:rPr>
              <w:t>。</w:t>
            </w:r>
            <w:r>
              <w:rPr>
                <w:rFonts w:hint="eastAsia"/>
                <w:lang w:val="en-US" w:eastAsia="zh-CN"/>
              </w:rPr>
              <w:t>地面冲洗废水和车辆冲洗废水在现有项目中已进行核算，本项目不重复核算，地面冲洗废水和车辆冲洗废水经沉淀池收集沉淀后回用</w:t>
            </w:r>
            <w:r>
              <w:rPr>
                <w:rFonts w:hint="eastAsia"/>
                <w:highlight w:val="none"/>
                <w:lang w:val="en-US" w:eastAsia="zh-CN"/>
              </w:rPr>
              <w:t>。</w:t>
            </w:r>
          </w:p>
          <w:p w14:paraId="7320F2AB">
            <w:pPr>
              <w:numPr>
                <w:ilvl w:val="0"/>
                <w:numId w:val="28"/>
              </w:numPr>
              <w:autoSpaceDE w:val="0"/>
              <w:autoSpaceDN w:val="0"/>
              <w:adjustRightInd w:val="0"/>
              <w:snapToGrid w:val="0"/>
              <w:ind w:firstLineChars="0"/>
              <w:rPr>
                <w:b/>
              </w:rPr>
            </w:pPr>
            <w:r>
              <w:rPr>
                <w:rFonts w:hint="eastAsia"/>
                <w:b/>
                <w:sz w:val="28"/>
                <w:szCs w:val="28"/>
              </w:rPr>
              <w:t>噪声</w:t>
            </w:r>
          </w:p>
          <w:p w14:paraId="1B4C2E2B">
            <w:pPr>
              <w:ind w:firstLine="0" w:firstLineChars="0"/>
              <w:jc w:val="left"/>
              <w:rPr>
                <w:b/>
                <w:bCs/>
                <w:szCs w:val="21"/>
              </w:rPr>
            </w:pPr>
            <w:r>
              <w:rPr>
                <w:rFonts w:hint="eastAsia"/>
                <w:b/>
                <w:bCs/>
                <w:szCs w:val="21"/>
              </w:rPr>
              <w:t>3.1噪声源强</w:t>
            </w:r>
          </w:p>
          <w:p w14:paraId="536E6549">
            <w:pPr>
              <w:autoSpaceDE w:val="0"/>
              <w:autoSpaceDN w:val="0"/>
              <w:adjustRightInd w:val="0"/>
              <w:snapToGrid w:val="0"/>
              <w:ind w:firstLine="480"/>
              <w:rPr>
                <w:rFonts w:hint="eastAsia"/>
              </w:rPr>
            </w:pPr>
            <w:r>
              <w:t>本项目噪声来源</w:t>
            </w:r>
            <w:r>
              <w:rPr>
                <w:rFonts w:hint="eastAsia"/>
              </w:rPr>
              <w:t>为</w:t>
            </w:r>
            <w:r>
              <w:rPr>
                <w:rFonts w:hint="eastAsia"/>
                <w:lang w:val="en-US" w:eastAsia="zh-CN"/>
              </w:rPr>
              <w:t>分级机、旋风分离器以及除尘设备</w:t>
            </w:r>
            <w:r>
              <w:t>，</w:t>
            </w:r>
            <w:r>
              <w:rPr>
                <w:rFonts w:hint="eastAsia"/>
              </w:rPr>
              <w:t>本项目主要噪音设备、降噪措施见下表。</w:t>
            </w:r>
          </w:p>
          <w:p w14:paraId="3D1AB864">
            <w:pPr>
              <w:pStyle w:val="379"/>
              <w:keepNext w:val="0"/>
              <w:keepLines w:val="0"/>
              <w:pageBreakBefore w:val="0"/>
              <w:widowControl w:val="0"/>
              <w:kinsoku/>
              <w:wordWrap/>
              <w:overflowPunct/>
              <w:topLinePunct w:val="0"/>
              <w:autoSpaceDE/>
              <w:autoSpaceDN/>
              <w:bidi w:val="0"/>
              <w:adjustRightInd/>
              <w:snapToGrid/>
              <w:spacing w:line="240" w:lineRule="auto"/>
              <w:textAlignment w:val="auto"/>
              <w:rPr>
                <w:b/>
                <w:bCs/>
              </w:rPr>
            </w:pPr>
            <w:r>
              <w:rPr>
                <w:rFonts w:hint="eastAsia"/>
                <w:b/>
                <w:bCs/>
              </w:rPr>
              <w:t>项目噪声源强一览表</w:t>
            </w:r>
          </w:p>
          <w:tbl>
            <w:tblPr>
              <w:tblStyle w:val="31"/>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1369"/>
              <w:gridCol w:w="649"/>
              <w:gridCol w:w="427"/>
              <w:gridCol w:w="805"/>
              <w:gridCol w:w="864"/>
              <w:gridCol w:w="616"/>
              <w:gridCol w:w="1037"/>
              <w:gridCol w:w="808"/>
              <w:gridCol w:w="1104"/>
            </w:tblGrid>
            <w:tr w14:paraId="6CBCA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0" w:type="pct"/>
                  <w:vMerge w:val="restart"/>
                  <w:tcBorders>
                    <w:tl2br w:val="nil"/>
                    <w:tr2bl w:val="nil"/>
                  </w:tcBorders>
                  <w:vAlign w:val="center"/>
                </w:tcPr>
                <w:p w14:paraId="4ABEDFA1">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序号</w:t>
                  </w:r>
                </w:p>
              </w:tc>
              <w:tc>
                <w:tcPr>
                  <w:tcW w:w="835" w:type="pct"/>
                  <w:vMerge w:val="restart"/>
                  <w:tcBorders>
                    <w:tl2br w:val="nil"/>
                    <w:tr2bl w:val="nil"/>
                  </w:tcBorders>
                  <w:vAlign w:val="center"/>
                </w:tcPr>
                <w:p w14:paraId="17960832">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声源名称</w:t>
                  </w:r>
                </w:p>
              </w:tc>
              <w:tc>
                <w:tcPr>
                  <w:tcW w:w="397" w:type="pct"/>
                  <w:vMerge w:val="restart"/>
                  <w:tcBorders>
                    <w:tl2br w:val="nil"/>
                    <w:tr2bl w:val="nil"/>
                  </w:tcBorders>
                  <w:vAlign w:val="center"/>
                </w:tcPr>
                <w:p w14:paraId="71C51E6F">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数量</w:t>
                  </w:r>
                </w:p>
              </w:tc>
              <w:tc>
                <w:tcPr>
                  <w:tcW w:w="250" w:type="pct"/>
                  <w:vMerge w:val="restart"/>
                  <w:tcBorders>
                    <w:tl2br w:val="nil"/>
                    <w:tr2bl w:val="nil"/>
                  </w:tcBorders>
                  <w:vAlign w:val="center"/>
                </w:tcPr>
                <w:p w14:paraId="322D71F9">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型号</w:t>
                  </w:r>
                </w:p>
              </w:tc>
              <w:tc>
                <w:tcPr>
                  <w:tcW w:w="1384" w:type="pct"/>
                  <w:gridSpan w:val="3"/>
                  <w:tcBorders>
                    <w:tl2br w:val="nil"/>
                    <w:tr2bl w:val="nil"/>
                  </w:tcBorders>
                  <w:vAlign w:val="center"/>
                </w:tcPr>
                <w:p w14:paraId="147A3BCB">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空间相对位置/m</w:t>
                  </w:r>
                </w:p>
              </w:tc>
              <w:tc>
                <w:tcPr>
                  <w:tcW w:w="633" w:type="pct"/>
                  <w:vMerge w:val="restart"/>
                  <w:tcBorders>
                    <w:tl2br w:val="nil"/>
                    <w:tr2bl w:val="nil"/>
                  </w:tcBorders>
                  <w:vAlign w:val="center"/>
                </w:tcPr>
                <w:p w14:paraId="3054A886">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声源源强/dB（A）</w:t>
                  </w:r>
                </w:p>
              </w:tc>
              <w:tc>
                <w:tcPr>
                  <w:tcW w:w="494" w:type="pct"/>
                  <w:vMerge w:val="restart"/>
                  <w:tcBorders>
                    <w:tl2br w:val="nil"/>
                    <w:tr2bl w:val="nil"/>
                  </w:tcBorders>
                  <w:vAlign w:val="center"/>
                </w:tcPr>
                <w:p w14:paraId="3AD1E4FC">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声源控制措施</w:t>
                  </w:r>
                </w:p>
              </w:tc>
              <w:tc>
                <w:tcPr>
                  <w:tcW w:w="674" w:type="pct"/>
                  <w:vMerge w:val="restart"/>
                  <w:tcBorders>
                    <w:tl2br w:val="nil"/>
                    <w:tr2bl w:val="nil"/>
                  </w:tcBorders>
                  <w:vAlign w:val="center"/>
                </w:tcPr>
                <w:p w14:paraId="214A7C41">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运行</w:t>
                  </w:r>
                </w:p>
                <w:p w14:paraId="418D81E2">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时段</w:t>
                  </w:r>
                </w:p>
              </w:tc>
            </w:tr>
            <w:tr w14:paraId="308D7F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0" w:type="pct"/>
                  <w:vMerge w:val="continue"/>
                  <w:tcBorders>
                    <w:tl2br w:val="nil"/>
                    <w:tr2bl w:val="nil"/>
                  </w:tcBorders>
                  <w:vAlign w:val="center"/>
                </w:tcPr>
                <w:p w14:paraId="1C0937F0">
                  <w:pPr>
                    <w:adjustRightInd w:val="0"/>
                    <w:spacing w:line="240" w:lineRule="auto"/>
                    <w:ind w:firstLine="0" w:firstLineChars="0"/>
                    <w:jc w:val="center"/>
                    <w:rPr>
                      <w:rFonts w:hint="default" w:ascii="Times New Roman" w:hAnsi="Times New Roman" w:cs="Times New Roman"/>
                      <w:bCs/>
                      <w:sz w:val="21"/>
                      <w:szCs w:val="21"/>
                    </w:rPr>
                  </w:pPr>
                </w:p>
              </w:tc>
              <w:tc>
                <w:tcPr>
                  <w:tcW w:w="835" w:type="pct"/>
                  <w:vMerge w:val="continue"/>
                  <w:tcBorders>
                    <w:tl2br w:val="nil"/>
                    <w:tr2bl w:val="nil"/>
                  </w:tcBorders>
                  <w:vAlign w:val="center"/>
                </w:tcPr>
                <w:p w14:paraId="28B3B21A">
                  <w:pPr>
                    <w:adjustRightInd w:val="0"/>
                    <w:spacing w:line="240" w:lineRule="auto"/>
                    <w:ind w:firstLine="0" w:firstLineChars="0"/>
                    <w:jc w:val="center"/>
                    <w:rPr>
                      <w:rFonts w:hint="default" w:ascii="Times New Roman" w:hAnsi="Times New Roman" w:cs="Times New Roman"/>
                      <w:bCs/>
                      <w:sz w:val="21"/>
                      <w:szCs w:val="21"/>
                    </w:rPr>
                  </w:pPr>
                </w:p>
              </w:tc>
              <w:tc>
                <w:tcPr>
                  <w:tcW w:w="397" w:type="pct"/>
                  <w:vMerge w:val="continue"/>
                  <w:tcBorders>
                    <w:tl2br w:val="nil"/>
                    <w:tr2bl w:val="nil"/>
                  </w:tcBorders>
                  <w:vAlign w:val="center"/>
                </w:tcPr>
                <w:p w14:paraId="10C466F7">
                  <w:pPr>
                    <w:adjustRightInd w:val="0"/>
                    <w:spacing w:line="240" w:lineRule="auto"/>
                    <w:ind w:firstLine="0" w:firstLineChars="0"/>
                    <w:jc w:val="center"/>
                    <w:rPr>
                      <w:rFonts w:hint="default" w:ascii="Times New Roman" w:hAnsi="Times New Roman" w:cs="Times New Roman"/>
                      <w:bCs/>
                      <w:sz w:val="21"/>
                      <w:szCs w:val="21"/>
                    </w:rPr>
                  </w:pPr>
                </w:p>
              </w:tc>
              <w:tc>
                <w:tcPr>
                  <w:tcW w:w="250" w:type="pct"/>
                  <w:vMerge w:val="continue"/>
                  <w:tcBorders>
                    <w:tl2br w:val="nil"/>
                    <w:tr2bl w:val="nil"/>
                  </w:tcBorders>
                  <w:vAlign w:val="center"/>
                </w:tcPr>
                <w:p w14:paraId="59AECB33">
                  <w:pPr>
                    <w:adjustRightInd w:val="0"/>
                    <w:spacing w:line="240" w:lineRule="auto"/>
                    <w:ind w:firstLine="0" w:firstLineChars="0"/>
                    <w:jc w:val="center"/>
                    <w:rPr>
                      <w:rFonts w:hint="default" w:ascii="Times New Roman" w:hAnsi="Times New Roman" w:cs="Times New Roman"/>
                      <w:bCs/>
                      <w:sz w:val="21"/>
                      <w:szCs w:val="21"/>
                    </w:rPr>
                  </w:pPr>
                </w:p>
              </w:tc>
              <w:tc>
                <w:tcPr>
                  <w:tcW w:w="492" w:type="pct"/>
                  <w:tcBorders>
                    <w:tl2br w:val="nil"/>
                    <w:tr2bl w:val="nil"/>
                  </w:tcBorders>
                  <w:vAlign w:val="center"/>
                </w:tcPr>
                <w:p w14:paraId="21B64995">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X</w:t>
                  </w:r>
                </w:p>
              </w:tc>
              <w:tc>
                <w:tcPr>
                  <w:tcW w:w="515" w:type="pct"/>
                  <w:tcBorders>
                    <w:tl2br w:val="nil"/>
                    <w:tr2bl w:val="nil"/>
                  </w:tcBorders>
                  <w:vAlign w:val="center"/>
                </w:tcPr>
                <w:p w14:paraId="69319BBD">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Y</w:t>
                  </w:r>
                </w:p>
              </w:tc>
              <w:tc>
                <w:tcPr>
                  <w:tcW w:w="375" w:type="pct"/>
                  <w:tcBorders>
                    <w:tl2br w:val="nil"/>
                    <w:tr2bl w:val="nil"/>
                  </w:tcBorders>
                  <w:vAlign w:val="center"/>
                </w:tcPr>
                <w:p w14:paraId="2F308DDC">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Z</w:t>
                  </w:r>
                </w:p>
              </w:tc>
              <w:tc>
                <w:tcPr>
                  <w:tcW w:w="633" w:type="pct"/>
                  <w:vMerge w:val="continue"/>
                  <w:tcBorders>
                    <w:tl2br w:val="nil"/>
                    <w:tr2bl w:val="nil"/>
                  </w:tcBorders>
                  <w:vAlign w:val="center"/>
                </w:tcPr>
                <w:p w14:paraId="74BEEF7C">
                  <w:pPr>
                    <w:adjustRightInd w:val="0"/>
                    <w:spacing w:line="240" w:lineRule="auto"/>
                    <w:ind w:firstLine="0" w:firstLineChars="0"/>
                    <w:jc w:val="center"/>
                    <w:rPr>
                      <w:rFonts w:hint="default" w:ascii="Times New Roman" w:hAnsi="Times New Roman" w:cs="Times New Roman"/>
                      <w:b/>
                      <w:sz w:val="21"/>
                      <w:szCs w:val="21"/>
                    </w:rPr>
                  </w:pPr>
                </w:p>
              </w:tc>
              <w:tc>
                <w:tcPr>
                  <w:tcW w:w="494" w:type="pct"/>
                  <w:vMerge w:val="continue"/>
                  <w:tcBorders>
                    <w:tl2br w:val="nil"/>
                    <w:tr2bl w:val="nil"/>
                  </w:tcBorders>
                  <w:vAlign w:val="center"/>
                </w:tcPr>
                <w:p w14:paraId="5BF65B96">
                  <w:pPr>
                    <w:adjustRightInd w:val="0"/>
                    <w:spacing w:line="240" w:lineRule="auto"/>
                    <w:ind w:firstLine="0" w:firstLineChars="0"/>
                    <w:jc w:val="center"/>
                    <w:rPr>
                      <w:rFonts w:hint="default" w:ascii="Times New Roman" w:hAnsi="Times New Roman" w:cs="Times New Roman"/>
                      <w:b/>
                      <w:sz w:val="21"/>
                      <w:szCs w:val="21"/>
                    </w:rPr>
                  </w:pPr>
                </w:p>
              </w:tc>
              <w:tc>
                <w:tcPr>
                  <w:tcW w:w="674" w:type="pct"/>
                  <w:vMerge w:val="continue"/>
                  <w:tcBorders>
                    <w:tl2br w:val="nil"/>
                    <w:tr2bl w:val="nil"/>
                  </w:tcBorders>
                  <w:vAlign w:val="center"/>
                </w:tcPr>
                <w:p w14:paraId="152466EE">
                  <w:pPr>
                    <w:adjustRightInd w:val="0"/>
                    <w:spacing w:line="240" w:lineRule="auto"/>
                    <w:ind w:firstLine="0" w:firstLineChars="0"/>
                    <w:jc w:val="center"/>
                    <w:rPr>
                      <w:rFonts w:hint="default" w:ascii="Times New Roman" w:hAnsi="Times New Roman" w:cs="Times New Roman"/>
                      <w:bCs/>
                      <w:sz w:val="21"/>
                      <w:szCs w:val="21"/>
                    </w:rPr>
                  </w:pPr>
                </w:p>
              </w:tc>
            </w:tr>
            <w:tr w14:paraId="4D3942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vMerge w:val="restart"/>
                  <w:tcBorders>
                    <w:tl2br w:val="nil"/>
                    <w:tr2bl w:val="nil"/>
                  </w:tcBorders>
                  <w:vAlign w:val="center"/>
                </w:tcPr>
                <w:p w14:paraId="3F5B265D">
                  <w:pPr>
                    <w:pStyle w:val="380"/>
                    <w:spacing w:line="240" w:lineRule="auto"/>
                    <w:ind w:firstLine="0" w:firstLineChars="0"/>
                    <w:jc w:val="center"/>
                    <w:rPr>
                      <w:rFonts w:hint="default" w:ascii="Times New Roman" w:hAnsi="Times New Roman" w:cs="Times New Roman"/>
                      <w:bCs/>
                      <w:sz w:val="21"/>
                      <w:szCs w:val="21"/>
                    </w:rPr>
                  </w:pPr>
                  <w:r>
                    <w:rPr>
                      <w:rFonts w:hint="default" w:ascii="Times New Roman" w:hAnsi="Times New Roman" w:cs="Times New Roman"/>
                      <w:sz w:val="21"/>
                      <w:szCs w:val="21"/>
                    </w:rPr>
                    <w:t>1</w:t>
                  </w:r>
                </w:p>
              </w:tc>
              <w:tc>
                <w:tcPr>
                  <w:tcW w:w="835" w:type="pct"/>
                  <w:vMerge w:val="restart"/>
                  <w:tcBorders>
                    <w:tl2br w:val="nil"/>
                    <w:tr2bl w:val="nil"/>
                  </w:tcBorders>
                  <w:vAlign w:val="center"/>
                </w:tcPr>
                <w:p w14:paraId="26DB9DFF">
                  <w:pPr>
                    <w:widowControl/>
                    <w:spacing w:line="240" w:lineRule="auto"/>
                    <w:ind w:firstLine="0" w:firstLineChars="0"/>
                    <w:jc w:val="center"/>
                    <w:textAlignment w:val="center"/>
                    <w:rPr>
                      <w:rFonts w:hint="eastAsia"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分级机</w:t>
                  </w:r>
                </w:p>
              </w:tc>
              <w:tc>
                <w:tcPr>
                  <w:tcW w:w="397" w:type="pct"/>
                  <w:vMerge w:val="restart"/>
                  <w:tcBorders>
                    <w:tl2br w:val="nil"/>
                    <w:tr2bl w:val="nil"/>
                  </w:tcBorders>
                  <w:vAlign w:val="center"/>
                </w:tcPr>
                <w:p w14:paraId="5248FBCE">
                  <w:pPr>
                    <w:widowControl/>
                    <w:spacing w:line="240" w:lineRule="auto"/>
                    <w:ind w:firstLine="0" w:firstLineChars="0"/>
                    <w:jc w:val="center"/>
                    <w:textAlignment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3</w:t>
                  </w:r>
                </w:p>
              </w:tc>
              <w:tc>
                <w:tcPr>
                  <w:tcW w:w="250" w:type="pct"/>
                  <w:tcBorders>
                    <w:tl2br w:val="nil"/>
                    <w:tr2bl w:val="nil"/>
                  </w:tcBorders>
                  <w:vAlign w:val="center"/>
                </w:tcPr>
                <w:p w14:paraId="54F0E234">
                  <w:pPr>
                    <w:adjustRightInd w:val="0"/>
                    <w:spacing w:line="240" w:lineRule="auto"/>
                    <w:ind w:firstLine="0" w:firstLineChars="0"/>
                    <w:jc w:val="center"/>
                    <w:rPr>
                      <w:rFonts w:hint="default" w:ascii="Times New Roman" w:hAnsi="Times New Roman" w:cs="Times New Roman"/>
                      <w:bCs/>
                      <w:sz w:val="21"/>
                      <w:szCs w:val="21"/>
                    </w:rPr>
                  </w:pPr>
                  <w:r>
                    <w:rPr>
                      <w:rFonts w:hint="default" w:ascii="Times New Roman" w:hAnsi="Times New Roman" w:cs="Times New Roman"/>
                      <w:bCs/>
                      <w:sz w:val="21"/>
                      <w:szCs w:val="21"/>
                    </w:rPr>
                    <w:t>/</w:t>
                  </w:r>
                </w:p>
              </w:tc>
              <w:tc>
                <w:tcPr>
                  <w:tcW w:w="492" w:type="pct"/>
                  <w:tcBorders>
                    <w:tl2br w:val="nil"/>
                    <w:tr2bl w:val="nil"/>
                  </w:tcBorders>
                  <w:vAlign w:val="center"/>
                </w:tcPr>
                <w:p w14:paraId="3822D2F6">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196.86</w:t>
                  </w:r>
                </w:p>
              </w:tc>
              <w:tc>
                <w:tcPr>
                  <w:tcW w:w="515" w:type="pct"/>
                  <w:tcBorders>
                    <w:tl2br w:val="nil"/>
                    <w:tr2bl w:val="nil"/>
                  </w:tcBorders>
                  <w:vAlign w:val="center"/>
                </w:tcPr>
                <w:p w14:paraId="2B03FAB0">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276.64</w:t>
                  </w:r>
                </w:p>
              </w:tc>
              <w:tc>
                <w:tcPr>
                  <w:tcW w:w="375" w:type="pct"/>
                  <w:tcBorders>
                    <w:tl2br w:val="nil"/>
                    <w:tr2bl w:val="nil"/>
                  </w:tcBorders>
                  <w:vAlign w:val="center"/>
                </w:tcPr>
                <w:p w14:paraId="52B50B2D">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633" w:type="pct"/>
                  <w:vMerge w:val="restart"/>
                  <w:tcBorders>
                    <w:tl2br w:val="nil"/>
                    <w:tr2bl w:val="nil"/>
                  </w:tcBorders>
                  <w:vAlign w:val="center"/>
                </w:tcPr>
                <w:p w14:paraId="067AA401">
                  <w:pPr>
                    <w:adjustRightInd w:val="0"/>
                    <w:spacing w:line="240" w:lineRule="auto"/>
                    <w:ind w:firstLine="0" w:firstLineChars="0"/>
                    <w:jc w:val="center"/>
                    <w:rPr>
                      <w:rFonts w:hint="default" w:ascii="Times New Roman" w:hAnsi="Times New Roman" w:cs="Times New Roman"/>
                      <w:bCs/>
                      <w:sz w:val="21"/>
                      <w:szCs w:val="21"/>
                    </w:rPr>
                  </w:pPr>
                  <w:r>
                    <w:rPr>
                      <w:rFonts w:hint="eastAsia" w:ascii="Times New Roman" w:hAnsi="Times New Roman" w:cs="Times New Roman"/>
                      <w:bCs/>
                      <w:sz w:val="21"/>
                      <w:szCs w:val="21"/>
                      <w:lang w:val="en-US" w:eastAsia="zh-CN"/>
                    </w:rPr>
                    <w:t>85~90</w:t>
                  </w:r>
                </w:p>
              </w:tc>
              <w:tc>
                <w:tcPr>
                  <w:tcW w:w="494" w:type="pct"/>
                  <w:vMerge w:val="restart"/>
                  <w:tcBorders>
                    <w:tl2br w:val="nil"/>
                    <w:tr2bl w:val="nil"/>
                  </w:tcBorders>
                  <w:vAlign w:val="center"/>
                </w:tcPr>
                <w:p w14:paraId="29F267FF">
                  <w:pPr>
                    <w:adjustRightInd w:val="0"/>
                    <w:spacing w:line="240" w:lineRule="auto"/>
                    <w:ind w:firstLine="0" w:firstLineChars="0"/>
                    <w:jc w:val="center"/>
                    <w:rPr>
                      <w:rFonts w:hint="default" w:ascii="Times New Roman" w:hAnsi="Times New Roman" w:cs="Times New Roman"/>
                      <w:bCs/>
                      <w:sz w:val="21"/>
                      <w:szCs w:val="21"/>
                    </w:rPr>
                  </w:pPr>
                  <w:r>
                    <w:rPr>
                      <w:rFonts w:hint="default" w:ascii="Times New Roman" w:hAnsi="Times New Roman" w:cs="Times New Roman"/>
                      <w:bCs/>
                      <w:sz w:val="21"/>
                      <w:szCs w:val="21"/>
                    </w:rPr>
                    <w:t>减振、消声</w:t>
                  </w:r>
                </w:p>
              </w:tc>
              <w:tc>
                <w:tcPr>
                  <w:tcW w:w="674" w:type="pct"/>
                  <w:vMerge w:val="restart"/>
                  <w:tcBorders>
                    <w:tl2br w:val="nil"/>
                    <w:tr2bl w:val="nil"/>
                  </w:tcBorders>
                  <w:vAlign w:val="center"/>
                </w:tcPr>
                <w:p w14:paraId="538C6CDD">
                  <w:pPr>
                    <w:widowControl/>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全时段</w:t>
                  </w:r>
                </w:p>
              </w:tc>
            </w:tr>
            <w:tr w14:paraId="2C9479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vMerge w:val="continue"/>
                  <w:tcBorders>
                    <w:tl2br w:val="nil"/>
                    <w:tr2bl w:val="nil"/>
                  </w:tcBorders>
                  <w:vAlign w:val="center"/>
                </w:tcPr>
                <w:p w14:paraId="0BB87479">
                  <w:pPr>
                    <w:pStyle w:val="380"/>
                    <w:spacing w:line="240" w:lineRule="auto"/>
                    <w:ind w:firstLine="0" w:firstLineChars="0"/>
                    <w:jc w:val="center"/>
                    <w:rPr>
                      <w:rFonts w:hint="default" w:ascii="Times New Roman" w:hAnsi="Times New Roman" w:cs="Times New Roman"/>
                      <w:sz w:val="21"/>
                      <w:szCs w:val="21"/>
                    </w:rPr>
                  </w:pPr>
                </w:p>
              </w:tc>
              <w:tc>
                <w:tcPr>
                  <w:tcW w:w="835" w:type="pct"/>
                  <w:vMerge w:val="continue"/>
                  <w:tcBorders>
                    <w:tl2br w:val="nil"/>
                    <w:tr2bl w:val="nil"/>
                  </w:tcBorders>
                  <w:vAlign w:val="center"/>
                </w:tcPr>
                <w:p w14:paraId="163D14A6">
                  <w:pPr>
                    <w:widowControl/>
                    <w:spacing w:line="240" w:lineRule="auto"/>
                    <w:ind w:firstLine="0" w:firstLineChars="0"/>
                    <w:jc w:val="center"/>
                    <w:textAlignment w:val="center"/>
                    <w:rPr>
                      <w:rFonts w:hint="eastAsia" w:ascii="Times New Roman" w:hAnsi="Times New Roman" w:cs="Times New Roman"/>
                      <w:bCs/>
                      <w:sz w:val="21"/>
                      <w:szCs w:val="21"/>
                      <w:lang w:val="en-US" w:eastAsia="zh-CN"/>
                    </w:rPr>
                  </w:pPr>
                </w:p>
              </w:tc>
              <w:tc>
                <w:tcPr>
                  <w:tcW w:w="397" w:type="pct"/>
                  <w:vMerge w:val="continue"/>
                  <w:tcBorders>
                    <w:tl2br w:val="nil"/>
                    <w:tr2bl w:val="nil"/>
                  </w:tcBorders>
                  <w:vAlign w:val="center"/>
                </w:tcPr>
                <w:p w14:paraId="58102CA2">
                  <w:pPr>
                    <w:widowControl/>
                    <w:spacing w:line="240" w:lineRule="auto"/>
                    <w:ind w:firstLine="0" w:firstLineChars="0"/>
                    <w:jc w:val="center"/>
                    <w:textAlignment w:val="center"/>
                    <w:rPr>
                      <w:rFonts w:hint="eastAsia" w:ascii="Times New Roman" w:hAnsi="Times New Roman" w:cs="Times New Roman"/>
                      <w:sz w:val="21"/>
                      <w:szCs w:val="21"/>
                      <w:lang w:val="en-US" w:eastAsia="zh-CN"/>
                    </w:rPr>
                  </w:pPr>
                </w:p>
              </w:tc>
              <w:tc>
                <w:tcPr>
                  <w:tcW w:w="250" w:type="pct"/>
                  <w:tcBorders>
                    <w:tl2br w:val="nil"/>
                    <w:tr2bl w:val="nil"/>
                  </w:tcBorders>
                  <w:vAlign w:val="center"/>
                </w:tcPr>
                <w:p w14:paraId="30C5C230">
                  <w:pPr>
                    <w:adjustRightInd w:val="0"/>
                    <w:spacing w:line="240" w:lineRule="auto"/>
                    <w:ind w:firstLine="0" w:firstLineChars="0"/>
                    <w:jc w:val="center"/>
                    <w:rPr>
                      <w:rFonts w:hint="eastAsia"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w:t>
                  </w:r>
                </w:p>
              </w:tc>
              <w:tc>
                <w:tcPr>
                  <w:tcW w:w="492" w:type="pct"/>
                  <w:tcBorders>
                    <w:tl2br w:val="nil"/>
                    <w:tr2bl w:val="nil"/>
                  </w:tcBorders>
                  <w:vAlign w:val="center"/>
                </w:tcPr>
                <w:p w14:paraId="069B410C">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181.06</w:t>
                  </w:r>
                </w:p>
              </w:tc>
              <w:tc>
                <w:tcPr>
                  <w:tcW w:w="515" w:type="pct"/>
                  <w:tcBorders>
                    <w:tl2br w:val="nil"/>
                    <w:tr2bl w:val="nil"/>
                  </w:tcBorders>
                  <w:vAlign w:val="center"/>
                </w:tcPr>
                <w:p w14:paraId="67002843">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168.3</w:t>
                  </w:r>
                </w:p>
              </w:tc>
              <w:tc>
                <w:tcPr>
                  <w:tcW w:w="375" w:type="pct"/>
                  <w:tcBorders>
                    <w:tl2br w:val="nil"/>
                    <w:tr2bl w:val="nil"/>
                  </w:tcBorders>
                  <w:vAlign w:val="center"/>
                </w:tcPr>
                <w:p w14:paraId="0690FFCA">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24</w:t>
                  </w:r>
                </w:p>
              </w:tc>
              <w:tc>
                <w:tcPr>
                  <w:tcW w:w="633" w:type="pct"/>
                  <w:vMerge w:val="continue"/>
                  <w:tcBorders>
                    <w:tl2br w:val="nil"/>
                    <w:tr2bl w:val="nil"/>
                  </w:tcBorders>
                  <w:vAlign w:val="center"/>
                </w:tcPr>
                <w:p w14:paraId="3CF00EF4">
                  <w:pPr>
                    <w:adjustRightInd w:val="0"/>
                    <w:spacing w:line="240" w:lineRule="auto"/>
                    <w:ind w:firstLine="0" w:firstLineChars="0"/>
                    <w:jc w:val="center"/>
                    <w:rPr>
                      <w:rFonts w:hint="default" w:ascii="Times New Roman" w:hAnsi="Times New Roman" w:cs="Times New Roman"/>
                      <w:bCs/>
                      <w:sz w:val="21"/>
                      <w:szCs w:val="21"/>
                    </w:rPr>
                  </w:pPr>
                </w:p>
              </w:tc>
              <w:tc>
                <w:tcPr>
                  <w:tcW w:w="494" w:type="pct"/>
                  <w:vMerge w:val="continue"/>
                  <w:tcBorders>
                    <w:tl2br w:val="nil"/>
                    <w:tr2bl w:val="nil"/>
                  </w:tcBorders>
                  <w:vAlign w:val="center"/>
                </w:tcPr>
                <w:p w14:paraId="4E73A633">
                  <w:pPr>
                    <w:adjustRightInd w:val="0"/>
                    <w:spacing w:line="240" w:lineRule="auto"/>
                    <w:ind w:firstLine="0" w:firstLineChars="0"/>
                    <w:jc w:val="center"/>
                    <w:rPr>
                      <w:rFonts w:hint="default" w:ascii="Times New Roman" w:hAnsi="Times New Roman" w:cs="Times New Roman"/>
                      <w:bCs/>
                      <w:sz w:val="21"/>
                      <w:szCs w:val="21"/>
                    </w:rPr>
                  </w:pPr>
                </w:p>
              </w:tc>
              <w:tc>
                <w:tcPr>
                  <w:tcW w:w="674" w:type="pct"/>
                  <w:vMerge w:val="continue"/>
                  <w:tcBorders>
                    <w:tl2br w:val="nil"/>
                    <w:tr2bl w:val="nil"/>
                  </w:tcBorders>
                  <w:vAlign w:val="center"/>
                </w:tcPr>
                <w:p w14:paraId="2F50F00A">
                  <w:pPr>
                    <w:widowControl/>
                    <w:adjustRightInd w:val="0"/>
                    <w:spacing w:line="240" w:lineRule="auto"/>
                    <w:ind w:firstLine="0" w:firstLineChars="0"/>
                    <w:jc w:val="center"/>
                    <w:rPr>
                      <w:rFonts w:hint="default" w:ascii="Times New Roman" w:hAnsi="Times New Roman" w:cs="Times New Roman"/>
                      <w:bCs/>
                      <w:sz w:val="21"/>
                      <w:szCs w:val="21"/>
                    </w:rPr>
                  </w:pPr>
                </w:p>
              </w:tc>
            </w:tr>
            <w:tr w14:paraId="343357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vMerge w:val="continue"/>
                  <w:tcBorders>
                    <w:tl2br w:val="nil"/>
                    <w:tr2bl w:val="nil"/>
                  </w:tcBorders>
                  <w:vAlign w:val="center"/>
                </w:tcPr>
                <w:p w14:paraId="6179F022">
                  <w:pPr>
                    <w:pStyle w:val="380"/>
                    <w:spacing w:line="240" w:lineRule="auto"/>
                    <w:ind w:firstLine="0" w:firstLineChars="0"/>
                    <w:jc w:val="center"/>
                    <w:rPr>
                      <w:rFonts w:hint="default" w:ascii="Times New Roman" w:hAnsi="Times New Roman" w:cs="Times New Roman"/>
                      <w:sz w:val="21"/>
                      <w:szCs w:val="21"/>
                    </w:rPr>
                  </w:pPr>
                </w:p>
              </w:tc>
              <w:tc>
                <w:tcPr>
                  <w:tcW w:w="835" w:type="pct"/>
                  <w:vMerge w:val="continue"/>
                  <w:tcBorders>
                    <w:tl2br w:val="nil"/>
                    <w:tr2bl w:val="nil"/>
                  </w:tcBorders>
                  <w:vAlign w:val="center"/>
                </w:tcPr>
                <w:p w14:paraId="393556B0">
                  <w:pPr>
                    <w:widowControl/>
                    <w:spacing w:line="240" w:lineRule="auto"/>
                    <w:ind w:firstLine="0" w:firstLineChars="0"/>
                    <w:jc w:val="center"/>
                    <w:textAlignment w:val="center"/>
                    <w:rPr>
                      <w:rFonts w:hint="eastAsia" w:ascii="Times New Roman" w:hAnsi="Times New Roman" w:cs="Times New Roman"/>
                      <w:bCs/>
                      <w:sz w:val="21"/>
                      <w:szCs w:val="21"/>
                      <w:lang w:val="en-US" w:eastAsia="zh-CN"/>
                    </w:rPr>
                  </w:pPr>
                </w:p>
              </w:tc>
              <w:tc>
                <w:tcPr>
                  <w:tcW w:w="397" w:type="pct"/>
                  <w:vMerge w:val="continue"/>
                  <w:tcBorders>
                    <w:tl2br w:val="nil"/>
                    <w:tr2bl w:val="nil"/>
                  </w:tcBorders>
                  <w:vAlign w:val="center"/>
                </w:tcPr>
                <w:p w14:paraId="02E753B9">
                  <w:pPr>
                    <w:widowControl/>
                    <w:spacing w:line="240" w:lineRule="auto"/>
                    <w:ind w:firstLine="0" w:firstLineChars="0"/>
                    <w:jc w:val="center"/>
                    <w:textAlignment w:val="center"/>
                    <w:rPr>
                      <w:rFonts w:hint="eastAsia" w:ascii="Times New Roman" w:hAnsi="Times New Roman" w:cs="Times New Roman"/>
                      <w:sz w:val="21"/>
                      <w:szCs w:val="21"/>
                      <w:lang w:val="en-US" w:eastAsia="zh-CN"/>
                    </w:rPr>
                  </w:pPr>
                </w:p>
              </w:tc>
              <w:tc>
                <w:tcPr>
                  <w:tcW w:w="250" w:type="pct"/>
                  <w:tcBorders>
                    <w:tl2br w:val="nil"/>
                    <w:tr2bl w:val="nil"/>
                  </w:tcBorders>
                  <w:vAlign w:val="center"/>
                </w:tcPr>
                <w:p w14:paraId="0607DB17">
                  <w:pPr>
                    <w:adjustRightInd w:val="0"/>
                    <w:spacing w:line="240" w:lineRule="auto"/>
                    <w:ind w:firstLine="0" w:firstLineChars="0"/>
                    <w:jc w:val="center"/>
                    <w:rPr>
                      <w:rFonts w:hint="eastAsia"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w:t>
                  </w:r>
                </w:p>
              </w:tc>
              <w:tc>
                <w:tcPr>
                  <w:tcW w:w="492" w:type="pct"/>
                  <w:tcBorders>
                    <w:tl2br w:val="nil"/>
                    <w:tr2bl w:val="nil"/>
                  </w:tcBorders>
                  <w:vAlign w:val="center"/>
                </w:tcPr>
                <w:p w14:paraId="7DB3F8DB">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-60.03</w:t>
                  </w:r>
                </w:p>
              </w:tc>
              <w:tc>
                <w:tcPr>
                  <w:tcW w:w="515" w:type="pct"/>
                  <w:tcBorders>
                    <w:tl2br w:val="nil"/>
                    <w:tr2bl w:val="nil"/>
                  </w:tcBorders>
                  <w:vAlign w:val="center"/>
                </w:tcPr>
                <w:p w14:paraId="137D648C">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-677.65</w:t>
                  </w:r>
                </w:p>
              </w:tc>
              <w:tc>
                <w:tcPr>
                  <w:tcW w:w="375" w:type="pct"/>
                  <w:tcBorders>
                    <w:tl2br w:val="nil"/>
                    <w:tr2bl w:val="nil"/>
                  </w:tcBorders>
                  <w:vAlign w:val="center"/>
                </w:tcPr>
                <w:p w14:paraId="5E61B566">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633" w:type="pct"/>
                  <w:vMerge w:val="continue"/>
                  <w:tcBorders>
                    <w:tl2br w:val="nil"/>
                    <w:tr2bl w:val="nil"/>
                  </w:tcBorders>
                  <w:vAlign w:val="center"/>
                </w:tcPr>
                <w:p w14:paraId="5EA6D1B7">
                  <w:pPr>
                    <w:adjustRightInd w:val="0"/>
                    <w:spacing w:line="240" w:lineRule="auto"/>
                    <w:ind w:firstLine="0" w:firstLineChars="0"/>
                    <w:jc w:val="center"/>
                    <w:rPr>
                      <w:rFonts w:hint="default" w:ascii="Times New Roman" w:hAnsi="Times New Roman" w:cs="Times New Roman"/>
                      <w:bCs/>
                      <w:sz w:val="21"/>
                      <w:szCs w:val="21"/>
                    </w:rPr>
                  </w:pPr>
                </w:p>
              </w:tc>
              <w:tc>
                <w:tcPr>
                  <w:tcW w:w="494" w:type="pct"/>
                  <w:vMerge w:val="continue"/>
                  <w:tcBorders>
                    <w:tl2br w:val="nil"/>
                    <w:tr2bl w:val="nil"/>
                  </w:tcBorders>
                  <w:vAlign w:val="center"/>
                </w:tcPr>
                <w:p w14:paraId="01D138A4">
                  <w:pPr>
                    <w:adjustRightInd w:val="0"/>
                    <w:spacing w:line="240" w:lineRule="auto"/>
                    <w:ind w:firstLine="0" w:firstLineChars="0"/>
                    <w:jc w:val="center"/>
                    <w:rPr>
                      <w:rFonts w:hint="default" w:ascii="Times New Roman" w:hAnsi="Times New Roman" w:cs="Times New Roman"/>
                      <w:bCs/>
                      <w:sz w:val="21"/>
                      <w:szCs w:val="21"/>
                    </w:rPr>
                  </w:pPr>
                </w:p>
              </w:tc>
              <w:tc>
                <w:tcPr>
                  <w:tcW w:w="674" w:type="pct"/>
                  <w:vMerge w:val="continue"/>
                  <w:tcBorders>
                    <w:tl2br w:val="nil"/>
                    <w:tr2bl w:val="nil"/>
                  </w:tcBorders>
                  <w:vAlign w:val="center"/>
                </w:tcPr>
                <w:p w14:paraId="1DE34BDC">
                  <w:pPr>
                    <w:widowControl/>
                    <w:adjustRightInd w:val="0"/>
                    <w:spacing w:line="240" w:lineRule="auto"/>
                    <w:ind w:firstLine="0" w:firstLineChars="0"/>
                    <w:jc w:val="center"/>
                    <w:rPr>
                      <w:rFonts w:hint="default" w:ascii="Times New Roman" w:hAnsi="Times New Roman" w:cs="Times New Roman"/>
                      <w:bCs/>
                      <w:sz w:val="21"/>
                      <w:szCs w:val="21"/>
                    </w:rPr>
                  </w:pPr>
                </w:p>
              </w:tc>
            </w:tr>
            <w:tr w14:paraId="006733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vMerge w:val="restart"/>
                  <w:tcBorders>
                    <w:tl2br w:val="nil"/>
                    <w:tr2bl w:val="nil"/>
                  </w:tcBorders>
                  <w:vAlign w:val="center"/>
                </w:tcPr>
                <w:p w14:paraId="28ADE8FC">
                  <w:pPr>
                    <w:pStyle w:val="380"/>
                    <w:spacing w:line="240" w:lineRule="auto"/>
                    <w:ind w:firstLine="0" w:firstLineChars="0"/>
                    <w:jc w:val="center"/>
                    <w:rPr>
                      <w:rFonts w:hint="default" w:ascii="Times New Roman" w:hAnsi="Times New Roman" w:cs="Times New Roman"/>
                      <w:bCs/>
                      <w:sz w:val="21"/>
                      <w:szCs w:val="21"/>
                    </w:rPr>
                  </w:pPr>
                  <w:r>
                    <w:rPr>
                      <w:rFonts w:hint="default" w:ascii="Times New Roman" w:hAnsi="Times New Roman" w:cs="Times New Roman"/>
                      <w:sz w:val="21"/>
                      <w:szCs w:val="21"/>
                    </w:rPr>
                    <w:t>2</w:t>
                  </w:r>
                </w:p>
              </w:tc>
              <w:tc>
                <w:tcPr>
                  <w:tcW w:w="835" w:type="pct"/>
                  <w:vMerge w:val="restart"/>
                  <w:tcBorders>
                    <w:tl2br w:val="nil"/>
                    <w:tr2bl w:val="nil"/>
                  </w:tcBorders>
                  <w:vAlign w:val="center"/>
                </w:tcPr>
                <w:p w14:paraId="32CFDD72">
                  <w:pPr>
                    <w:widowControl/>
                    <w:spacing w:line="240" w:lineRule="auto"/>
                    <w:ind w:firstLine="0" w:firstLineChars="0"/>
                    <w:jc w:val="center"/>
                    <w:textAlignment w:val="center"/>
                    <w:rPr>
                      <w:rFonts w:hint="eastAsia"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旋风分离器</w:t>
                  </w:r>
                </w:p>
              </w:tc>
              <w:tc>
                <w:tcPr>
                  <w:tcW w:w="397" w:type="pct"/>
                  <w:vMerge w:val="restart"/>
                  <w:tcBorders>
                    <w:tl2br w:val="nil"/>
                    <w:tr2bl w:val="nil"/>
                  </w:tcBorders>
                  <w:vAlign w:val="center"/>
                </w:tcPr>
                <w:p w14:paraId="6B6F2658">
                  <w:pPr>
                    <w:widowControl/>
                    <w:spacing w:line="240" w:lineRule="auto"/>
                    <w:ind w:firstLine="0" w:firstLineChars="0"/>
                    <w:jc w:val="center"/>
                    <w:textAlignment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w:t>
                  </w:r>
                </w:p>
              </w:tc>
              <w:tc>
                <w:tcPr>
                  <w:tcW w:w="250" w:type="pct"/>
                  <w:tcBorders>
                    <w:tl2br w:val="nil"/>
                    <w:tr2bl w:val="nil"/>
                  </w:tcBorders>
                  <w:vAlign w:val="center"/>
                </w:tcPr>
                <w:p w14:paraId="221EE632">
                  <w:pPr>
                    <w:adjustRightInd w:val="0"/>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492" w:type="pct"/>
                  <w:tcBorders>
                    <w:tl2br w:val="nil"/>
                    <w:tr2bl w:val="nil"/>
                  </w:tcBorders>
                  <w:shd w:val="clear" w:color="auto" w:fill="auto"/>
                  <w:vAlign w:val="center"/>
                </w:tcPr>
                <w:p w14:paraId="1671D91E">
                  <w:pPr>
                    <w:adjustRightInd w:val="0"/>
                    <w:spacing w:line="240" w:lineRule="auto"/>
                    <w:ind w:firstLine="0" w:firstLineChars="0"/>
                    <w:jc w:val="center"/>
                    <w:rPr>
                      <w:rFonts w:hint="default" w:ascii="Times New Roman" w:hAnsi="Times New Roman" w:eastAsia="宋体" w:cs="Times New Roman"/>
                      <w:bCs/>
                      <w:sz w:val="21"/>
                      <w:szCs w:val="21"/>
                      <w:lang w:val="en-US" w:eastAsia="zh-CN" w:bidi="ar-SA"/>
                    </w:rPr>
                  </w:pPr>
                  <w:r>
                    <w:rPr>
                      <w:rFonts w:hint="eastAsia" w:ascii="Times New Roman" w:hAnsi="Times New Roman" w:cs="Times New Roman"/>
                      <w:bCs/>
                      <w:sz w:val="21"/>
                      <w:szCs w:val="21"/>
                      <w:lang w:val="en-US" w:eastAsia="zh-CN"/>
                    </w:rPr>
                    <w:t>204.78</w:t>
                  </w:r>
                </w:p>
              </w:tc>
              <w:tc>
                <w:tcPr>
                  <w:tcW w:w="515" w:type="pct"/>
                  <w:tcBorders>
                    <w:tl2br w:val="nil"/>
                    <w:tr2bl w:val="nil"/>
                  </w:tcBorders>
                  <w:shd w:val="clear" w:color="auto" w:fill="auto"/>
                  <w:vAlign w:val="center"/>
                </w:tcPr>
                <w:p w14:paraId="28A31C48">
                  <w:pPr>
                    <w:adjustRightInd w:val="0"/>
                    <w:spacing w:line="240" w:lineRule="auto"/>
                    <w:ind w:firstLine="0" w:firstLineChars="0"/>
                    <w:jc w:val="center"/>
                    <w:rPr>
                      <w:rFonts w:hint="default" w:ascii="Times New Roman" w:hAnsi="Times New Roman" w:eastAsia="宋体" w:cs="Times New Roman"/>
                      <w:bCs/>
                      <w:sz w:val="21"/>
                      <w:szCs w:val="21"/>
                      <w:lang w:val="en-US" w:eastAsia="zh-CN" w:bidi="ar-SA"/>
                    </w:rPr>
                  </w:pPr>
                  <w:r>
                    <w:rPr>
                      <w:rFonts w:hint="eastAsia" w:ascii="Times New Roman" w:hAnsi="Times New Roman" w:cs="Times New Roman"/>
                      <w:bCs/>
                      <w:sz w:val="21"/>
                      <w:szCs w:val="21"/>
                      <w:lang w:val="en-US" w:eastAsia="zh-CN"/>
                    </w:rPr>
                    <w:t>282.65</w:t>
                  </w:r>
                </w:p>
              </w:tc>
              <w:tc>
                <w:tcPr>
                  <w:tcW w:w="375" w:type="pct"/>
                  <w:tcBorders>
                    <w:tl2br w:val="nil"/>
                    <w:tr2bl w:val="nil"/>
                  </w:tcBorders>
                  <w:vAlign w:val="center"/>
                </w:tcPr>
                <w:p w14:paraId="1480BB78">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633" w:type="pct"/>
                  <w:vMerge w:val="restart"/>
                  <w:tcBorders>
                    <w:tl2br w:val="nil"/>
                    <w:tr2bl w:val="nil"/>
                  </w:tcBorders>
                  <w:vAlign w:val="center"/>
                </w:tcPr>
                <w:p w14:paraId="29A49EBF">
                  <w:pPr>
                    <w:adjustRightInd w:val="0"/>
                    <w:spacing w:line="240" w:lineRule="auto"/>
                    <w:ind w:firstLine="0" w:firstLineChars="0"/>
                    <w:jc w:val="center"/>
                    <w:rPr>
                      <w:rFonts w:hint="default" w:ascii="Times New Roman" w:hAnsi="Times New Roman" w:cs="Times New Roman"/>
                      <w:bCs/>
                      <w:sz w:val="21"/>
                      <w:szCs w:val="21"/>
                    </w:rPr>
                  </w:pPr>
                  <w:r>
                    <w:rPr>
                      <w:rFonts w:hint="eastAsia" w:ascii="Times New Roman" w:hAnsi="Times New Roman" w:cs="Times New Roman"/>
                      <w:bCs/>
                      <w:sz w:val="21"/>
                      <w:szCs w:val="21"/>
                      <w:lang w:val="en-US" w:eastAsia="zh-CN"/>
                    </w:rPr>
                    <w:t>85~90</w:t>
                  </w:r>
                </w:p>
              </w:tc>
              <w:tc>
                <w:tcPr>
                  <w:tcW w:w="494" w:type="pct"/>
                  <w:vMerge w:val="continue"/>
                  <w:tcBorders>
                    <w:tl2br w:val="nil"/>
                    <w:tr2bl w:val="nil"/>
                  </w:tcBorders>
                  <w:vAlign w:val="center"/>
                </w:tcPr>
                <w:p w14:paraId="2B6AC90C">
                  <w:pPr>
                    <w:adjustRightInd w:val="0"/>
                    <w:spacing w:line="240" w:lineRule="auto"/>
                    <w:ind w:firstLine="0" w:firstLineChars="0"/>
                    <w:jc w:val="center"/>
                    <w:rPr>
                      <w:rFonts w:hint="default" w:ascii="Times New Roman" w:hAnsi="Times New Roman" w:cs="Times New Roman"/>
                      <w:bCs/>
                      <w:sz w:val="21"/>
                      <w:szCs w:val="21"/>
                    </w:rPr>
                  </w:pPr>
                </w:p>
              </w:tc>
              <w:tc>
                <w:tcPr>
                  <w:tcW w:w="674" w:type="pct"/>
                  <w:vMerge w:val="continue"/>
                  <w:tcBorders>
                    <w:tl2br w:val="nil"/>
                    <w:tr2bl w:val="nil"/>
                  </w:tcBorders>
                  <w:vAlign w:val="center"/>
                </w:tcPr>
                <w:p w14:paraId="3AAFAC06">
                  <w:pPr>
                    <w:widowControl/>
                    <w:adjustRightInd w:val="0"/>
                    <w:spacing w:line="240" w:lineRule="auto"/>
                    <w:ind w:firstLine="0" w:firstLineChars="0"/>
                    <w:jc w:val="center"/>
                    <w:rPr>
                      <w:rFonts w:hint="default" w:ascii="Times New Roman" w:hAnsi="Times New Roman" w:cs="Times New Roman"/>
                      <w:bCs/>
                      <w:sz w:val="21"/>
                      <w:szCs w:val="21"/>
                    </w:rPr>
                  </w:pPr>
                </w:p>
              </w:tc>
            </w:tr>
            <w:tr w14:paraId="0CE20A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vMerge w:val="continue"/>
                  <w:tcBorders>
                    <w:tl2br w:val="nil"/>
                    <w:tr2bl w:val="nil"/>
                  </w:tcBorders>
                  <w:vAlign w:val="center"/>
                </w:tcPr>
                <w:p w14:paraId="4131A7C8">
                  <w:pPr>
                    <w:pStyle w:val="380"/>
                    <w:spacing w:line="240" w:lineRule="auto"/>
                    <w:ind w:firstLine="0" w:firstLineChars="0"/>
                    <w:jc w:val="center"/>
                    <w:rPr>
                      <w:rFonts w:hint="default" w:ascii="Times New Roman" w:hAnsi="Times New Roman" w:cs="Times New Roman"/>
                      <w:sz w:val="21"/>
                      <w:szCs w:val="21"/>
                    </w:rPr>
                  </w:pPr>
                </w:p>
              </w:tc>
              <w:tc>
                <w:tcPr>
                  <w:tcW w:w="835" w:type="pct"/>
                  <w:vMerge w:val="continue"/>
                  <w:tcBorders>
                    <w:tl2br w:val="nil"/>
                    <w:tr2bl w:val="nil"/>
                  </w:tcBorders>
                  <w:vAlign w:val="center"/>
                </w:tcPr>
                <w:p w14:paraId="5A0ACDFF">
                  <w:pPr>
                    <w:widowControl/>
                    <w:spacing w:line="240" w:lineRule="auto"/>
                    <w:ind w:firstLine="0" w:firstLineChars="0"/>
                    <w:jc w:val="center"/>
                    <w:textAlignment w:val="center"/>
                    <w:rPr>
                      <w:rFonts w:hint="eastAsia" w:ascii="Times New Roman" w:hAnsi="Times New Roman" w:cs="Times New Roman"/>
                      <w:bCs/>
                      <w:sz w:val="21"/>
                      <w:szCs w:val="21"/>
                      <w:lang w:val="en-US" w:eastAsia="zh-CN"/>
                    </w:rPr>
                  </w:pPr>
                </w:p>
              </w:tc>
              <w:tc>
                <w:tcPr>
                  <w:tcW w:w="397" w:type="pct"/>
                  <w:vMerge w:val="continue"/>
                  <w:tcBorders>
                    <w:tl2br w:val="nil"/>
                    <w:tr2bl w:val="nil"/>
                  </w:tcBorders>
                  <w:vAlign w:val="center"/>
                </w:tcPr>
                <w:p w14:paraId="078C7743">
                  <w:pPr>
                    <w:widowControl/>
                    <w:spacing w:line="240" w:lineRule="auto"/>
                    <w:ind w:firstLine="0" w:firstLineChars="0"/>
                    <w:jc w:val="center"/>
                    <w:textAlignment w:val="center"/>
                    <w:rPr>
                      <w:rFonts w:hint="default" w:ascii="Times New Roman" w:hAnsi="Times New Roman" w:cs="Times New Roman"/>
                      <w:sz w:val="21"/>
                      <w:szCs w:val="21"/>
                    </w:rPr>
                  </w:pPr>
                </w:p>
              </w:tc>
              <w:tc>
                <w:tcPr>
                  <w:tcW w:w="250" w:type="pct"/>
                  <w:tcBorders>
                    <w:tl2br w:val="nil"/>
                    <w:tr2bl w:val="nil"/>
                  </w:tcBorders>
                  <w:vAlign w:val="center"/>
                </w:tcPr>
                <w:p w14:paraId="1A1CBFB8">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492" w:type="pct"/>
                  <w:tcBorders>
                    <w:tl2br w:val="nil"/>
                    <w:tr2bl w:val="nil"/>
                  </w:tcBorders>
                  <w:shd w:val="clear" w:color="auto" w:fill="auto"/>
                  <w:vAlign w:val="center"/>
                </w:tcPr>
                <w:p w14:paraId="7A4EDC39">
                  <w:pPr>
                    <w:adjustRightInd w:val="0"/>
                    <w:spacing w:line="240" w:lineRule="auto"/>
                    <w:ind w:firstLine="0" w:firstLineChars="0"/>
                    <w:jc w:val="center"/>
                    <w:rPr>
                      <w:rFonts w:hint="default" w:ascii="Times New Roman" w:hAnsi="Times New Roman" w:eastAsia="宋体" w:cs="Times New Roman"/>
                      <w:bCs/>
                      <w:sz w:val="21"/>
                      <w:szCs w:val="21"/>
                      <w:lang w:val="en-US" w:eastAsia="zh-CN" w:bidi="ar-SA"/>
                    </w:rPr>
                  </w:pPr>
                  <w:r>
                    <w:rPr>
                      <w:rFonts w:hint="eastAsia" w:ascii="Times New Roman" w:hAnsi="Times New Roman" w:cs="Times New Roman"/>
                      <w:bCs/>
                      <w:sz w:val="21"/>
                      <w:szCs w:val="21"/>
                      <w:lang w:val="en-US" w:eastAsia="zh-CN"/>
                    </w:rPr>
                    <w:t>186.77</w:t>
                  </w:r>
                </w:p>
              </w:tc>
              <w:tc>
                <w:tcPr>
                  <w:tcW w:w="515" w:type="pct"/>
                  <w:tcBorders>
                    <w:tl2br w:val="nil"/>
                    <w:tr2bl w:val="nil"/>
                  </w:tcBorders>
                  <w:shd w:val="clear" w:color="auto" w:fill="auto"/>
                  <w:vAlign w:val="center"/>
                </w:tcPr>
                <w:p w14:paraId="4BCC1376">
                  <w:pPr>
                    <w:adjustRightInd w:val="0"/>
                    <w:spacing w:line="240" w:lineRule="auto"/>
                    <w:ind w:firstLine="0" w:firstLineChars="0"/>
                    <w:jc w:val="center"/>
                    <w:rPr>
                      <w:rFonts w:hint="default" w:ascii="Times New Roman" w:hAnsi="Times New Roman" w:eastAsia="宋体" w:cs="Times New Roman"/>
                      <w:bCs/>
                      <w:sz w:val="21"/>
                      <w:szCs w:val="21"/>
                      <w:lang w:val="en-US" w:eastAsia="zh-CN" w:bidi="ar-SA"/>
                    </w:rPr>
                  </w:pPr>
                  <w:r>
                    <w:rPr>
                      <w:rFonts w:hint="eastAsia" w:ascii="Times New Roman" w:hAnsi="Times New Roman" w:cs="Times New Roman"/>
                      <w:bCs/>
                      <w:sz w:val="21"/>
                      <w:szCs w:val="21"/>
                      <w:lang w:val="en-US" w:eastAsia="zh-CN"/>
                    </w:rPr>
                    <w:t>171.16</w:t>
                  </w:r>
                </w:p>
              </w:tc>
              <w:tc>
                <w:tcPr>
                  <w:tcW w:w="375" w:type="pct"/>
                  <w:tcBorders>
                    <w:tl2br w:val="nil"/>
                    <w:tr2bl w:val="nil"/>
                  </w:tcBorders>
                  <w:vAlign w:val="center"/>
                </w:tcPr>
                <w:p w14:paraId="200D9E6C">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24</w:t>
                  </w:r>
                </w:p>
              </w:tc>
              <w:tc>
                <w:tcPr>
                  <w:tcW w:w="633" w:type="pct"/>
                  <w:vMerge w:val="continue"/>
                  <w:tcBorders>
                    <w:tl2br w:val="nil"/>
                    <w:tr2bl w:val="nil"/>
                  </w:tcBorders>
                  <w:vAlign w:val="center"/>
                </w:tcPr>
                <w:p w14:paraId="5C0777AA">
                  <w:pPr>
                    <w:adjustRightInd w:val="0"/>
                    <w:spacing w:line="240" w:lineRule="auto"/>
                    <w:ind w:firstLine="0" w:firstLineChars="0"/>
                    <w:jc w:val="center"/>
                    <w:rPr>
                      <w:rFonts w:hint="default" w:ascii="Times New Roman" w:hAnsi="Times New Roman" w:cs="Times New Roman"/>
                      <w:bCs/>
                      <w:sz w:val="21"/>
                      <w:szCs w:val="21"/>
                    </w:rPr>
                  </w:pPr>
                </w:p>
              </w:tc>
              <w:tc>
                <w:tcPr>
                  <w:tcW w:w="494" w:type="pct"/>
                  <w:vMerge w:val="continue"/>
                  <w:tcBorders>
                    <w:tl2br w:val="nil"/>
                    <w:tr2bl w:val="nil"/>
                  </w:tcBorders>
                  <w:vAlign w:val="center"/>
                </w:tcPr>
                <w:p w14:paraId="52B88FDC">
                  <w:pPr>
                    <w:adjustRightInd w:val="0"/>
                    <w:spacing w:line="240" w:lineRule="auto"/>
                    <w:ind w:firstLine="0" w:firstLineChars="0"/>
                    <w:jc w:val="center"/>
                    <w:rPr>
                      <w:rFonts w:hint="default" w:ascii="Times New Roman" w:hAnsi="Times New Roman" w:cs="Times New Roman"/>
                      <w:bCs/>
                      <w:sz w:val="21"/>
                      <w:szCs w:val="21"/>
                    </w:rPr>
                  </w:pPr>
                </w:p>
              </w:tc>
              <w:tc>
                <w:tcPr>
                  <w:tcW w:w="674" w:type="pct"/>
                  <w:vMerge w:val="continue"/>
                  <w:tcBorders>
                    <w:tl2br w:val="nil"/>
                    <w:tr2bl w:val="nil"/>
                  </w:tcBorders>
                  <w:vAlign w:val="center"/>
                </w:tcPr>
                <w:p w14:paraId="24F9DF89">
                  <w:pPr>
                    <w:widowControl/>
                    <w:adjustRightInd w:val="0"/>
                    <w:spacing w:line="240" w:lineRule="auto"/>
                    <w:ind w:firstLine="0" w:firstLineChars="0"/>
                    <w:jc w:val="center"/>
                    <w:rPr>
                      <w:rFonts w:hint="default" w:ascii="Times New Roman" w:hAnsi="Times New Roman" w:cs="Times New Roman"/>
                      <w:bCs/>
                      <w:sz w:val="21"/>
                      <w:szCs w:val="21"/>
                    </w:rPr>
                  </w:pPr>
                </w:p>
              </w:tc>
            </w:tr>
            <w:tr w14:paraId="0536EA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vMerge w:val="continue"/>
                  <w:tcBorders>
                    <w:tl2br w:val="nil"/>
                    <w:tr2bl w:val="nil"/>
                  </w:tcBorders>
                  <w:vAlign w:val="center"/>
                </w:tcPr>
                <w:p w14:paraId="25DB6A93">
                  <w:pPr>
                    <w:pStyle w:val="380"/>
                    <w:spacing w:line="240" w:lineRule="auto"/>
                    <w:ind w:firstLine="0" w:firstLineChars="0"/>
                    <w:jc w:val="center"/>
                    <w:rPr>
                      <w:rFonts w:hint="default" w:ascii="Times New Roman" w:hAnsi="Times New Roman" w:cs="Times New Roman"/>
                      <w:sz w:val="21"/>
                      <w:szCs w:val="21"/>
                    </w:rPr>
                  </w:pPr>
                </w:p>
              </w:tc>
              <w:tc>
                <w:tcPr>
                  <w:tcW w:w="835" w:type="pct"/>
                  <w:vMerge w:val="continue"/>
                  <w:tcBorders>
                    <w:tl2br w:val="nil"/>
                    <w:tr2bl w:val="nil"/>
                  </w:tcBorders>
                  <w:vAlign w:val="center"/>
                </w:tcPr>
                <w:p w14:paraId="31D16D3C">
                  <w:pPr>
                    <w:widowControl/>
                    <w:spacing w:line="240" w:lineRule="auto"/>
                    <w:ind w:firstLine="0" w:firstLineChars="0"/>
                    <w:jc w:val="center"/>
                    <w:textAlignment w:val="center"/>
                    <w:rPr>
                      <w:rFonts w:hint="eastAsia" w:ascii="Times New Roman" w:hAnsi="Times New Roman" w:cs="Times New Roman"/>
                      <w:bCs/>
                      <w:sz w:val="21"/>
                      <w:szCs w:val="21"/>
                      <w:lang w:val="en-US" w:eastAsia="zh-CN"/>
                    </w:rPr>
                  </w:pPr>
                </w:p>
              </w:tc>
              <w:tc>
                <w:tcPr>
                  <w:tcW w:w="397" w:type="pct"/>
                  <w:vMerge w:val="continue"/>
                  <w:tcBorders>
                    <w:tl2br w:val="nil"/>
                    <w:tr2bl w:val="nil"/>
                  </w:tcBorders>
                  <w:vAlign w:val="center"/>
                </w:tcPr>
                <w:p w14:paraId="709D1A2B">
                  <w:pPr>
                    <w:widowControl/>
                    <w:spacing w:line="240" w:lineRule="auto"/>
                    <w:ind w:firstLine="0" w:firstLineChars="0"/>
                    <w:jc w:val="center"/>
                    <w:textAlignment w:val="center"/>
                    <w:rPr>
                      <w:rFonts w:hint="default" w:ascii="Times New Roman" w:hAnsi="Times New Roman" w:cs="Times New Roman"/>
                      <w:sz w:val="21"/>
                      <w:szCs w:val="21"/>
                    </w:rPr>
                  </w:pPr>
                </w:p>
              </w:tc>
              <w:tc>
                <w:tcPr>
                  <w:tcW w:w="250" w:type="pct"/>
                  <w:tcBorders>
                    <w:tl2br w:val="nil"/>
                    <w:tr2bl w:val="nil"/>
                  </w:tcBorders>
                  <w:vAlign w:val="center"/>
                </w:tcPr>
                <w:p w14:paraId="0FCB9BE3">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492" w:type="pct"/>
                  <w:tcBorders>
                    <w:tl2br w:val="nil"/>
                    <w:tr2bl w:val="nil"/>
                  </w:tcBorders>
                  <w:shd w:val="clear" w:color="auto" w:fill="auto"/>
                  <w:vAlign w:val="center"/>
                </w:tcPr>
                <w:p w14:paraId="39DEA04B">
                  <w:pPr>
                    <w:adjustRightInd w:val="0"/>
                    <w:spacing w:line="240" w:lineRule="auto"/>
                    <w:ind w:firstLine="0" w:firstLineChars="0"/>
                    <w:jc w:val="center"/>
                    <w:rPr>
                      <w:rFonts w:hint="default" w:ascii="Times New Roman" w:hAnsi="Times New Roman" w:eastAsia="宋体" w:cs="Times New Roman"/>
                      <w:bCs/>
                      <w:sz w:val="21"/>
                      <w:szCs w:val="21"/>
                      <w:lang w:val="en-US" w:eastAsia="zh-CN" w:bidi="ar-SA"/>
                    </w:rPr>
                  </w:pPr>
                  <w:r>
                    <w:rPr>
                      <w:rFonts w:hint="eastAsia" w:ascii="Times New Roman" w:hAnsi="Times New Roman" w:cs="Times New Roman"/>
                      <w:bCs/>
                      <w:sz w:val="21"/>
                      <w:szCs w:val="21"/>
                      <w:lang w:val="en-US" w:eastAsia="zh-CN"/>
                    </w:rPr>
                    <w:t>-43.33</w:t>
                  </w:r>
                </w:p>
              </w:tc>
              <w:tc>
                <w:tcPr>
                  <w:tcW w:w="515" w:type="pct"/>
                  <w:tcBorders>
                    <w:tl2br w:val="nil"/>
                    <w:tr2bl w:val="nil"/>
                  </w:tcBorders>
                  <w:shd w:val="clear" w:color="auto" w:fill="auto"/>
                  <w:vAlign w:val="center"/>
                </w:tcPr>
                <w:p w14:paraId="5808B9E6">
                  <w:pPr>
                    <w:adjustRightInd w:val="0"/>
                    <w:spacing w:line="240" w:lineRule="auto"/>
                    <w:ind w:firstLine="0" w:firstLineChars="0"/>
                    <w:jc w:val="center"/>
                    <w:rPr>
                      <w:rFonts w:hint="default" w:ascii="Times New Roman" w:hAnsi="Times New Roman" w:eastAsia="宋体" w:cs="Times New Roman"/>
                      <w:bCs/>
                      <w:sz w:val="21"/>
                      <w:szCs w:val="21"/>
                      <w:lang w:val="en-US" w:eastAsia="zh-CN" w:bidi="ar-SA"/>
                    </w:rPr>
                  </w:pPr>
                  <w:r>
                    <w:rPr>
                      <w:rFonts w:hint="eastAsia" w:ascii="Times New Roman" w:hAnsi="Times New Roman" w:cs="Times New Roman"/>
                      <w:bCs/>
                      <w:sz w:val="21"/>
                      <w:szCs w:val="21"/>
                      <w:lang w:val="en-US" w:eastAsia="zh-CN"/>
                    </w:rPr>
                    <w:t>-651.92</w:t>
                  </w:r>
                </w:p>
              </w:tc>
              <w:tc>
                <w:tcPr>
                  <w:tcW w:w="375" w:type="pct"/>
                  <w:tcBorders>
                    <w:tl2br w:val="nil"/>
                    <w:tr2bl w:val="nil"/>
                  </w:tcBorders>
                  <w:vAlign w:val="center"/>
                </w:tcPr>
                <w:p w14:paraId="40B0EC68">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633" w:type="pct"/>
                  <w:vMerge w:val="continue"/>
                  <w:tcBorders>
                    <w:tl2br w:val="nil"/>
                    <w:tr2bl w:val="nil"/>
                  </w:tcBorders>
                  <w:vAlign w:val="center"/>
                </w:tcPr>
                <w:p w14:paraId="2ECE1601">
                  <w:pPr>
                    <w:adjustRightInd w:val="0"/>
                    <w:spacing w:line="240" w:lineRule="auto"/>
                    <w:ind w:firstLine="0" w:firstLineChars="0"/>
                    <w:jc w:val="center"/>
                    <w:rPr>
                      <w:rFonts w:hint="default" w:ascii="Times New Roman" w:hAnsi="Times New Roman" w:cs="Times New Roman"/>
                      <w:bCs/>
                      <w:sz w:val="21"/>
                      <w:szCs w:val="21"/>
                    </w:rPr>
                  </w:pPr>
                </w:p>
              </w:tc>
              <w:tc>
                <w:tcPr>
                  <w:tcW w:w="494" w:type="pct"/>
                  <w:vMerge w:val="continue"/>
                  <w:tcBorders>
                    <w:tl2br w:val="nil"/>
                    <w:tr2bl w:val="nil"/>
                  </w:tcBorders>
                  <w:vAlign w:val="center"/>
                </w:tcPr>
                <w:p w14:paraId="3F4B720E">
                  <w:pPr>
                    <w:adjustRightInd w:val="0"/>
                    <w:spacing w:line="240" w:lineRule="auto"/>
                    <w:ind w:firstLine="0" w:firstLineChars="0"/>
                    <w:jc w:val="center"/>
                    <w:rPr>
                      <w:rFonts w:hint="default" w:ascii="Times New Roman" w:hAnsi="Times New Roman" w:cs="Times New Roman"/>
                      <w:bCs/>
                      <w:sz w:val="21"/>
                      <w:szCs w:val="21"/>
                    </w:rPr>
                  </w:pPr>
                </w:p>
              </w:tc>
              <w:tc>
                <w:tcPr>
                  <w:tcW w:w="674" w:type="pct"/>
                  <w:vMerge w:val="continue"/>
                  <w:tcBorders>
                    <w:tl2br w:val="nil"/>
                    <w:tr2bl w:val="nil"/>
                  </w:tcBorders>
                  <w:vAlign w:val="center"/>
                </w:tcPr>
                <w:p w14:paraId="0AFBFA15">
                  <w:pPr>
                    <w:widowControl/>
                    <w:adjustRightInd w:val="0"/>
                    <w:spacing w:line="240" w:lineRule="auto"/>
                    <w:ind w:firstLine="0" w:firstLineChars="0"/>
                    <w:jc w:val="center"/>
                    <w:rPr>
                      <w:rFonts w:hint="default" w:ascii="Times New Roman" w:hAnsi="Times New Roman" w:cs="Times New Roman"/>
                      <w:bCs/>
                      <w:sz w:val="21"/>
                      <w:szCs w:val="21"/>
                    </w:rPr>
                  </w:pPr>
                </w:p>
              </w:tc>
            </w:tr>
            <w:tr w14:paraId="08B929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vMerge w:val="restart"/>
                  <w:tcBorders>
                    <w:tl2br w:val="nil"/>
                    <w:tr2bl w:val="nil"/>
                  </w:tcBorders>
                  <w:vAlign w:val="center"/>
                </w:tcPr>
                <w:p w14:paraId="123A2BB8">
                  <w:pPr>
                    <w:pStyle w:val="380"/>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835" w:type="pct"/>
                  <w:vMerge w:val="restart"/>
                  <w:tcBorders>
                    <w:tl2br w:val="nil"/>
                    <w:tr2bl w:val="nil"/>
                  </w:tcBorders>
                  <w:vAlign w:val="center"/>
                </w:tcPr>
                <w:p w14:paraId="5CABDDD4">
                  <w:pPr>
                    <w:widowControl/>
                    <w:spacing w:line="240" w:lineRule="auto"/>
                    <w:ind w:firstLine="0" w:firstLineChars="0"/>
                    <w:jc w:val="center"/>
                    <w:textAlignment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脉冲布袋除尘器</w:t>
                  </w:r>
                </w:p>
              </w:tc>
              <w:tc>
                <w:tcPr>
                  <w:tcW w:w="397" w:type="pct"/>
                  <w:vMerge w:val="restart"/>
                  <w:tcBorders>
                    <w:tl2br w:val="nil"/>
                    <w:tr2bl w:val="nil"/>
                  </w:tcBorders>
                  <w:vAlign w:val="center"/>
                </w:tcPr>
                <w:p w14:paraId="4869E7C3">
                  <w:pPr>
                    <w:widowControl/>
                    <w:spacing w:line="240" w:lineRule="auto"/>
                    <w:ind w:firstLine="0" w:firstLineChars="0"/>
                    <w:jc w:val="center"/>
                    <w:textAlignment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w:t>
                  </w:r>
                </w:p>
              </w:tc>
              <w:tc>
                <w:tcPr>
                  <w:tcW w:w="250" w:type="pct"/>
                  <w:tcBorders>
                    <w:tl2br w:val="nil"/>
                    <w:tr2bl w:val="nil"/>
                  </w:tcBorders>
                  <w:vAlign w:val="center"/>
                </w:tcPr>
                <w:p w14:paraId="21ECF66A">
                  <w:pPr>
                    <w:adjustRightInd w:val="0"/>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492" w:type="pct"/>
                  <w:tcBorders>
                    <w:tl2br w:val="nil"/>
                    <w:tr2bl w:val="nil"/>
                  </w:tcBorders>
                  <w:vAlign w:val="center"/>
                </w:tcPr>
                <w:p w14:paraId="1AB5FA6E">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-46.5</w:t>
                  </w:r>
                </w:p>
              </w:tc>
              <w:tc>
                <w:tcPr>
                  <w:tcW w:w="515" w:type="pct"/>
                  <w:tcBorders>
                    <w:tl2br w:val="nil"/>
                    <w:tr2bl w:val="nil"/>
                  </w:tcBorders>
                  <w:vAlign w:val="center"/>
                </w:tcPr>
                <w:p w14:paraId="52551119">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-654.51</w:t>
                  </w:r>
                </w:p>
              </w:tc>
              <w:tc>
                <w:tcPr>
                  <w:tcW w:w="375" w:type="pct"/>
                  <w:tcBorders>
                    <w:tl2br w:val="nil"/>
                    <w:tr2bl w:val="nil"/>
                  </w:tcBorders>
                  <w:vAlign w:val="center"/>
                </w:tcPr>
                <w:p w14:paraId="247DBC55">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633" w:type="pct"/>
                  <w:vMerge w:val="restart"/>
                  <w:tcBorders>
                    <w:tl2br w:val="nil"/>
                    <w:tr2bl w:val="nil"/>
                  </w:tcBorders>
                  <w:vAlign w:val="center"/>
                </w:tcPr>
                <w:p w14:paraId="06AED0F7">
                  <w:pPr>
                    <w:adjustRightInd w:val="0"/>
                    <w:spacing w:line="240" w:lineRule="auto"/>
                    <w:ind w:firstLine="0" w:firstLineChars="0"/>
                    <w:jc w:val="center"/>
                    <w:rPr>
                      <w:rFonts w:hint="default" w:ascii="Times New Roman" w:hAnsi="Times New Roman" w:cs="Times New Roman"/>
                      <w:bCs/>
                      <w:sz w:val="21"/>
                      <w:szCs w:val="21"/>
                    </w:rPr>
                  </w:pPr>
                  <w:r>
                    <w:rPr>
                      <w:rFonts w:hint="eastAsia" w:ascii="Times New Roman" w:hAnsi="Times New Roman" w:cs="Times New Roman"/>
                      <w:bCs/>
                      <w:sz w:val="21"/>
                      <w:szCs w:val="21"/>
                      <w:lang w:val="en-US" w:eastAsia="zh-CN"/>
                    </w:rPr>
                    <w:t>85~90</w:t>
                  </w:r>
                </w:p>
              </w:tc>
              <w:tc>
                <w:tcPr>
                  <w:tcW w:w="494" w:type="pct"/>
                  <w:vMerge w:val="continue"/>
                  <w:tcBorders>
                    <w:tl2br w:val="nil"/>
                    <w:tr2bl w:val="nil"/>
                  </w:tcBorders>
                  <w:vAlign w:val="center"/>
                </w:tcPr>
                <w:p w14:paraId="7B933D2A">
                  <w:pPr>
                    <w:adjustRightInd w:val="0"/>
                    <w:spacing w:line="240" w:lineRule="auto"/>
                    <w:ind w:firstLine="0" w:firstLineChars="0"/>
                    <w:jc w:val="center"/>
                    <w:rPr>
                      <w:rFonts w:hint="default" w:ascii="Times New Roman" w:hAnsi="Times New Roman" w:cs="Times New Roman"/>
                      <w:bCs/>
                      <w:sz w:val="21"/>
                      <w:szCs w:val="21"/>
                    </w:rPr>
                  </w:pPr>
                </w:p>
              </w:tc>
              <w:tc>
                <w:tcPr>
                  <w:tcW w:w="674" w:type="pct"/>
                  <w:vMerge w:val="continue"/>
                  <w:tcBorders>
                    <w:tl2br w:val="nil"/>
                    <w:tr2bl w:val="nil"/>
                  </w:tcBorders>
                  <w:vAlign w:val="center"/>
                </w:tcPr>
                <w:p w14:paraId="5A9E5F41">
                  <w:pPr>
                    <w:widowControl/>
                    <w:adjustRightInd w:val="0"/>
                    <w:spacing w:line="240" w:lineRule="auto"/>
                    <w:ind w:firstLine="0" w:firstLineChars="0"/>
                    <w:jc w:val="center"/>
                    <w:rPr>
                      <w:rFonts w:hint="default" w:ascii="Times New Roman" w:hAnsi="Times New Roman" w:cs="Times New Roman"/>
                      <w:bCs/>
                      <w:sz w:val="21"/>
                      <w:szCs w:val="21"/>
                    </w:rPr>
                  </w:pPr>
                </w:p>
              </w:tc>
            </w:tr>
            <w:tr w14:paraId="4691A5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vMerge w:val="continue"/>
                  <w:tcBorders>
                    <w:tl2br w:val="nil"/>
                    <w:tr2bl w:val="nil"/>
                  </w:tcBorders>
                  <w:vAlign w:val="center"/>
                </w:tcPr>
                <w:p w14:paraId="5831D20B">
                  <w:pPr>
                    <w:pStyle w:val="380"/>
                    <w:spacing w:line="240" w:lineRule="auto"/>
                    <w:ind w:firstLine="0" w:firstLineChars="0"/>
                    <w:jc w:val="center"/>
                    <w:rPr>
                      <w:rFonts w:hint="default" w:ascii="Times New Roman" w:hAnsi="Times New Roman" w:cs="Times New Roman"/>
                      <w:sz w:val="21"/>
                      <w:szCs w:val="21"/>
                    </w:rPr>
                  </w:pPr>
                </w:p>
              </w:tc>
              <w:tc>
                <w:tcPr>
                  <w:tcW w:w="835" w:type="pct"/>
                  <w:vMerge w:val="continue"/>
                  <w:tcBorders>
                    <w:tl2br w:val="nil"/>
                    <w:tr2bl w:val="nil"/>
                  </w:tcBorders>
                  <w:vAlign w:val="center"/>
                </w:tcPr>
                <w:p w14:paraId="5D3F7FD0">
                  <w:pPr>
                    <w:widowControl/>
                    <w:spacing w:line="240" w:lineRule="auto"/>
                    <w:ind w:firstLine="0" w:firstLineChars="0"/>
                    <w:jc w:val="center"/>
                    <w:textAlignment w:val="center"/>
                    <w:rPr>
                      <w:rFonts w:hint="eastAsia" w:ascii="Times New Roman" w:hAnsi="Times New Roman" w:cs="Times New Roman"/>
                      <w:sz w:val="21"/>
                      <w:szCs w:val="21"/>
                      <w:lang w:val="en-US" w:eastAsia="zh-CN"/>
                    </w:rPr>
                  </w:pPr>
                </w:p>
              </w:tc>
              <w:tc>
                <w:tcPr>
                  <w:tcW w:w="397" w:type="pct"/>
                  <w:vMerge w:val="continue"/>
                  <w:tcBorders>
                    <w:tl2br w:val="nil"/>
                    <w:tr2bl w:val="nil"/>
                  </w:tcBorders>
                  <w:vAlign w:val="center"/>
                </w:tcPr>
                <w:p w14:paraId="57247261">
                  <w:pPr>
                    <w:widowControl/>
                    <w:spacing w:line="240" w:lineRule="auto"/>
                    <w:ind w:firstLine="0" w:firstLineChars="0"/>
                    <w:jc w:val="center"/>
                    <w:textAlignment w:val="center"/>
                    <w:rPr>
                      <w:rFonts w:hint="default" w:ascii="Times New Roman" w:hAnsi="Times New Roman" w:cs="Times New Roman"/>
                      <w:sz w:val="21"/>
                      <w:szCs w:val="21"/>
                    </w:rPr>
                  </w:pPr>
                </w:p>
              </w:tc>
              <w:tc>
                <w:tcPr>
                  <w:tcW w:w="250" w:type="pct"/>
                  <w:tcBorders>
                    <w:tl2br w:val="nil"/>
                    <w:tr2bl w:val="nil"/>
                  </w:tcBorders>
                  <w:vAlign w:val="center"/>
                </w:tcPr>
                <w:p w14:paraId="0BC35DEE">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492" w:type="pct"/>
                  <w:tcBorders>
                    <w:tl2br w:val="nil"/>
                    <w:tr2bl w:val="nil"/>
                  </w:tcBorders>
                  <w:vAlign w:val="center"/>
                </w:tcPr>
                <w:p w14:paraId="1E634680">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-59.2</w:t>
                  </w:r>
                </w:p>
              </w:tc>
              <w:tc>
                <w:tcPr>
                  <w:tcW w:w="515" w:type="pct"/>
                  <w:tcBorders>
                    <w:tl2br w:val="nil"/>
                    <w:tr2bl w:val="nil"/>
                  </w:tcBorders>
                  <w:vAlign w:val="center"/>
                </w:tcPr>
                <w:p w14:paraId="38BFB1F6">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-681.23</w:t>
                  </w:r>
                </w:p>
              </w:tc>
              <w:tc>
                <w:tcPr>
                  <w:tcW w:w="375" w:type="pct"/>
                  <w:tcBorders>
                    <w:tl2br w:val="nil"/>
                    <w:tr2bl w:val="nil"/>
                  </w:tcBorders>
                  <w:vAlign w:val="center"/>
                </w:tcPr>
                <w:p w14:paraId="3D5D8BF6">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633" w:type="pct"/>
                  <w:vMerge w:val="continue"/>
                  <w:tcBorders>
                    <w:tl2br w:val="nil"/>
                    <w:tr2bl w:val="nil"/>
                  </w:tcBorders>
                  <w:vAlign w:val="center"/>
                </w:tcPr>
                <w:p w14:paraId="5DBAEA10">
                  <w:pPr>
                    <w:adjustRightInd w:val="0"/>
                    <w:spacing w:line="240" w:lineRule="auto"/>
                    <w:ind w:firstLine="0" w:firstLineChars="0"/>
                    <w:jc w:val="center"/>
                    <w:rPr>
                      <w:rFonts w:hint="default" w:ascii="Times New Roman" w:hAnsi="Times New Roman" w:cs="Times New Roman"/>
                      <w:bCs/>
                      <w:sz w:val="21"/>
                      <w:szCs w:val="21"/>
                    </w:rPr>
                  </w:pPr>
                </w:p>
              </w:tc>
              <w:tc>
                <w:tcPr>
                  <w:tcW w:w="494" w:type="pct"/>
                  <w:vMerge w:val="continue"/>
                  <w:tcBorders>
                    <w:tl2br w:val="nil"/>
                    <w:tr2bl w:val="nil"/>
                  </w:tcBorders>
                  <w:vAlign w:val="center"/>
                </w:tcPr>
                <w:p w14:paraId="7EE4C839">
                  <w:pPr>
                    <w:adjustRightInd w:val="0"/>
                    <w:spacing w:line="240" w:lineRule="auto"/>
                    <w:ind w:firstLine="0" w:firstLineChars="0"/>
                    <w:jc w:val="center"/>
                    <w:rPr>
                      <w:rFonts w:hint="default" w:ascii="Times New Roman" w:hAnsi="Times New Roman" w:cs="Times New Roman"/>
                      <w:bCs/>
                      <w:sz w:val="21"/>
                      <w:szCs w:val="21"/>
                    </w:rPr>
                  </w:pPr>
                </w:p>
              </w:tc>
              <w:tc>
                <w:tcPr>
                  <w:tcW w:w="674" w:type="pct"/>
                  <w:vMerge w:val="continue"/>
                  <w:tcBorders>
                    <w:tl2br w:val="nil"/>
                    <w:tr2bl w:val="nil"/>
                  </w:tcBorders>
                  <w:vAlign w:val="center"/>
                </w:tcPr>
                <w:p w14:paraId="7CCCE034">
                  <w:pPr>
                    <w:widowControl/>
                    <w:adjustRightInd w:val="0"/>
                    <w:spacing w:line="240" w:lineRule="auto"/>
                    <w:ind w:firstLine="0" w:firstLineChars="0"/>
                    <w:jc w:val="center"/>
                    <w:rPr>
                      <w:rFonts w:hint="default" w:ascii="Times New Roman" w:hAnsi="Times New Roman" w:cs="Times New Roman"/>
                      <w:bCs/>
                      <w:sz w:val="21"/>
                      <w:szCs w:val="21"/>
                    </w:rPr>
                  </w:pPr>
                </w:p>
              </w:tc>
            </w:tr>
            <w:tr w14:paraId="5BE955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vMerge w:val="restart"/>
                  <w:tcBorders>
                    <w:tl2br w:val="nil"/>
                    <w:tr2bl w:val="nil"/>
                  </w:tcBorders>
                  <w:vAlign w:val="center"/>
                </w:tcPr>
                <w:p w14:paraId="60696F9D">
                  <w:pPr>
                    <w:pStyle w:val="38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w:t>
                  </w:r>
                </w:p>
              </w:tc>
              <w:tc>
                <w:tcPr>
                  <w:tcW w:w="835" w:type="pct"/>
                  <w:vMerge w:val="restart"/>
                  <w:tcBorders>
                    <w:tl2br w:val="nil"/>
                    <w:tr2bl w:val="nil"/>
                  </w:tcBorders>
                  <w:vAlign w:val="center"/>
                </w:tcPr>
                <w:p w14:paraId="147C18DB">
                  <w:pPr>
                    <w:widowControl/>
                    <w:spacing w:line="240" w:lineRule="auto"/>
                    <w:ind w:firstLine="0" w:firstLineChars="0"/>
                    <w:jc w:val="center"/>
                    <w:textAlignment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侧抽模块化布袋除尘器</w:t>
                  </w:r>
                </w:p>
              </w:tc>
              <w:tc>
                <w:tcPr>
                  <w:tcW w:w="397" w:type="pct"/>
                  <w:vMerge w:val="restart"/>
                  <w:tcBorders>
                    <w:tl2br w:val="nil"/>
                    <w:tr2bl w:val="nil"/>
                  </w:tcBorders>
                  <w:vAlign w:val="center"/>
                </w:tcPr>
                <w:p w14:paraId="3831F192">
                  <w:pPr>
                    <w:widowControl/>
                    <w:spacing w:line="240" w:lineRule="auto"/>
                    <w:ind w:firstLine="0" w:firstLineChars="0"/>
                    <w:jc w:val="center"/>
                    <w:textAlignment w:val="center"/>
                    <w:rPr>
                      <w:rFonts w:hint="eastAsia"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3</w:t>
                  </w:r>
                </w:p>
              </w:tc>
              <w:tc>
                <w:tcPr>
                  <w:tcW w:w="250" w:type="pct"/>
                  <w:tcBorders>
                    <w:tl2br w:val="nil"/>
                    <w:tr2bl w:val="nil"/>
                  </w:tcBorders>
                  <w:vAlign w:val="center"/>
                </w:tcPr>
                <w:p w14:paraId="05F8CEA6">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492" w:type="pct"/>
                  <w:tcBorders>
                    <w:tl2br w:val="nil"/>
                    <w:tr2bl w:val="nil"/>
                  </w:tcBorders>
                  <w:vAlign w:val="center"/>
                </w:tcPr>
                <w:p w14:paraId="340C8036">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202.06</w:t>
                  </w:r>
                </w:p>
              </w:tc>
              <w:tc>
                <w:tcPr>
                  <w:tcW w:w="515" w:type="pct"/>
                  <w:tcBorders>
                    <w:tl2br w:val="nil"/>
                    <w:tr2bl w:val="nil"/>
                  </w:tcBorders>
                  <w:vAlign w:val="center"/>
                </w:tcPr>
                <w:p w14:paraId="1AF001C2">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289.63</w:t>
                  </w:r>
                </w:p>
              </w:tc>
              <w:tc>
                <w:tcPr>
                  <w:tcW w:w="375" w:type="pct"/>
                  <w:tcBorders>
                    <w:tl2br w:val="nil"/>
                    <w:tr2bl w:val="nil"/>
                  </w:tcBorders>
                  <w:vAlign w:val="center"/>
                </w:tcPr>
                <w:p w14:paraId="10800EEE">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24</w:t>
                  </w:r>
                </w:p>
              </w:tc>
              <w:tc>
                <w:tcPr>
                  <w:tcW w:w="633" w:type="pct"/>
                  <w:vMerge w:val="restart"/>
                  <w:tcBorders>
                    <w:tl2br w:val="nil"/>
                    <w:tr2bl w:val="nil"/>
                  </w:tcBorders>
                  <w:vAlign w:val="center"/>
                </w:tcPr>
                <w:p w14:paraId="3C3D0D16">
                  <w:pPr>
                    <w:adjustRightInd w:val="0"/>
                    <w:spacing w:line="240" w:lineRule="auto"/>
                    <w:ind w:firstLine="0" w:firstLineChars="0"/>
                    <w:jc w:val="center"/>
                    <w:rPr>
                      <w:rFonts w:hint="default" w:ascii="Times New Roman" w:hAnsi="Times New Roman" w:cs="Times New Roman"/>
                      <w:bCs/>
                      <w:sz w:val="21"/>
                      <w:szCs w:val="21"/>
                    </w:rPr>
                  </w:pPr>
                  <w:r>
                    <w:rPr>
                      <w:rFonts w:hint="eastAsia" w:ascii="Times New Roman" w:hAnsi="Times New Roman" w:cs="Times New Roman"/>
                      <w:bCs/>
                      <w:sz w:val="21"/>
                      <w:szCs w:val="21"/>
                      <w:lang w:val="en-US" w:eastAsia="zh-CN"/>
                    </w:rPr>
                    <w:t>85~90</w:t>
                  </w:r>
                </w:p>
              </w:tc>
              <w:tc>
                <w:tcPr>
                  <w:tcW w:w="494" w:type="pct"/>
                  <w:vMerge w:val="continue"/>
                  <w:tcBorders>
                    <w:tl2br w:val="nil"/>
                    <w:tr2bl w:val="nil"/>
                  </w:tcBorders>
                  <w:vAlign w:val="center"/>
                </w:tcPr>
                <w:p w14:paraId="587731D9">
                  <w:pPr>
                    <w:adjustRightInd w:val="0"/>
                    <w:spacing w:line="240" w:lineRule="auto"/>
                    <w:ind w:firstLine="0" w:firstLineChars="0"/>
                    <w:jc w:val="center"/>
                    <w:rPr>
                      <w:rFonts w:hint="default" w:ascii="Times New Roman" w:hAnsi="Times New Roman" w:cs="Times New Roman"/>
                      <w:bCs/>
                      <w:sz w:val="21"/>
                      <w:szCs w:val="21"/>
                    </w:rPr>
                  </w:pPr>
                </w:p>
              </w:tc>
              <w:tc>
                <w:tcPr>
                  <w:tcW w:w="674" w:type="pct"/>
                  <w:vMerge w:val="continue"/>
                  <w:tcBorders>
                    <w:tl2br w:val="nil"/>
                    <w:tr2bl w:val="nil"/>
                  </w:tcBorders>
                  <w:vAlign w:val="center"/>
                </w:tcPr>
                <w:p w14:paraId="18D153B7">
                  <w:pPr>
                    <w:widowControl/>
                    <w:adjustRightInd w:val="0"/>
                    <w:spacing w:line="240" w:lineRule="auto"/>
                    <w:ind w:firstLine="0" w:firstLineChars="0"/>
                    <w:jc w:val="center"/>
                    <w:rPr>
                      <w:rFonts w:hint="default" w:ascii="Times New Roman" w:hAnsi="Times New Roman" w:cs="Times New Roman"/>
                      <w:bCs/>
                      <w:sz w:val="21"/>
                      <w:szCs w:val="21"/>
                    </w:rPr>
                  </w:pPr>
                </w:p>
              </w:tc>
            </w:tr>
            <w:tr w14:paraId="7CAB4B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vMerge w:val="continue"/>
                  <w:tcBorders>
                    <w:tl2br w:val="nil"/>
                    <w:tr2bl w:val="nil"/>
                  </w:tcBorders>
                  <w:vAlign w:val="center"/>
                </w:tcPr>
                <w:p w14:paraId="19319246">
                  <w:pPr>
                    <w:pStyle w:val="380"/>
                    <w:spacing w:line="240" w:lineRule="auto"/>
                    <w:ind w:firstLine="0" w:firstLineChars="0"/>
                    <w:jc w:val="center"/>
                    <w:rPr>
                      <w:rFonts w:hint="default" w:ascii="Times New Roman" w:hAnsi="Times New Roman" w:cs="Times New Roman"/>
                      <w:sz w:val="21"/>
                      <w:szCs w:val="21"/>
                    </w:rPr>
                  </w:pPr>
                </w:p>
              </w:tc>
              <w:tc>
                <w:tcPr>
                  <w:tcW w:w="835" w:type="pct"/>
                  <w:vMerge w:val="continue"/>
                  <w:tcBorders>
                    <w:tl2br w:val="nil"/>
                    <w:tr2bl w:val="nil"/>
                  </w:tcBorders>
                  <w:vAlign w:val="center"/>
                </w:tcPr>
                <w:p w14:paraId="47B314E4">
                  <w:pPr>
                    <w:widowControl/>
                    <w:spacing w:line="240" w:lineRule="auto"/>
                    <w:ind w:firstLine="0" w:firstLineChars="0"/>
                    <w:jc w:val="center"/>
                    <w:textAlignment w:val="center"/>
                    <w:rPr>
                      <w:rFonts w:hint="eastAsia" w:ascii="Times New Roman" w:hAnsi="Times New Roman" w:cs="Times New Roman"/>
                      <w:sz w:val="21"/>
                      <w:szCs w:val="21"/>
                      <w:lang w:val="en-US" w:eastAsia="zh-CN"/>
                    </w:rPr>
                  </w:pPr>
                </w:p>
              </w:tc>
              <w:tc>
                <w:tcPr>
                  <w:tcW w:w="397" w:type="pct"/>
                  <w:vMerge w:val="continue"/>
                  <w:tcBorders>
                    <w:tl2br w:val="nil"/>
                    <w:tr2bl w:val="nil"/>
                  </w:tcBorders>
                  <w:vAlign w:val="center"/>
                </w:tcPr>
                <w:p w14:paraId="254A761D">
                  <w:pPr>
                    <w:widowControl/>
                    <w:spacing w:line="240" w:lineRule="auto"/>
                    <w:ind w:firstLine="0" w:firstLineChars="0"/>
                    <w:jc w:val="center"/>
                    <w:textAlignment w:val="center"/>
                    <w:rPr>
                      <w:rFonts w:hint="default" w:ascii="Times New Roman" w:hAnsi="Times New Roman" w:cs="Times New Roman"/>
                      <w:sz w:val="21"/>
                      <w:szCs w:val="21"/>
                    </w:rPr>
                  </w:pPr>
                </w:p>
              </w:tc>
              <w:tc>
                <w:tcPr>
                  <w:tcW w:w="250" w:type="pct"/>
                  <w:tcBorders>
                    <w:tl2br w:val="nil"/>
                    <w:tr2bl w:val="nil"/>
                  </w:tcBorders>
                  <w:vAlign w:val="center"/>
                </w:tcPr>
                <w:p w14:paraId="64A5E2E7">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492" w:type="pct"/>
                  <w:tcBorders>
                    <w:tl2br w:val="nil"/>
                    <w:tr2bl w:val="nil"/>
                  </w:tcBorders>
                  <w:vAlign w:val="center"/>
                </w:tcPr>
                <w:p w14:paraId="7D57E0AE">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190.88</w:t>
                  </w:r>
                </w:p>
              </w:tc>
              <w:tc>
                <w:tcPr>
                  <w:tcW w:w="515" w:type="pct"/>
                  <w:tcBorders>
                    <w:tl2br w:val="nil"/>
                    <w:tr2bl w:val="nil"/>
                  </w:tcBorders>
                  <w:vAlign w:val="center"/>
                </w:tcPr>
                <w:p w14:paraId="4A718418">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165.2</w:t>
                  </w:r>
                </w:p>
              </w:tc>
              <w:tc>
                <w:tcPr>
                  <w:tcW w:w="375" w:type="pct"/>
                  <w:tcBorders>
                    <w:tl2br w:val="nil"/>
                    <w:tr2bl w:val="nil"/>
                  </w:tcBorders>
                  <w:vAlign w:val="center"/>
                </w:tcPr>
                <w:p w14:paraId="0C8279FC">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24</w:t>
                  </w:r>
                </w:p>
              </w:tc>
              <w:tc>
                <w:tcPr>
                  <w:tcW w:w="633" w:type="pct"/>
                  <w:vMerge w:val="continue"/>
                  <w:tcBorders>
                    <w:tl2br w:val="nil"/>
                    <w:tr2bl w:val="nil"/>
                  </w:tcBorders>
                  <w:vAlign w:val="center"/>
                </w:tcPr>
                <w:p w14:paraId="0BFD5510">
                  <w:pPr>
                    <w:adjustRightInd w:val="0"/>
                    <w:spacing w:line="240" w:lineRule="auto"/>
                    <w:ind w:firstLine="0" w:firstLineChars="0"/>
                    <w:jc w:val="center"/>
                    <w:rPr>
                      <w:rFonts w:hint="default" w:ascii="Times New Roman" w:hAnsi="Times New Roman" w:cs="Times New Roman"/>
                      <w:bCs/>
                      <w:sz w:val="21"/>
                      <w:szCs w:val="21"/>
                    </w:rPr>
                  </w:pPr>
                </w:p>
              </w:tc>
              <w:tc>
                <w:tcPr>
                  <w:tcW w:w="494" w:type="pct"/>
                  <w:vMerge w:val="continue"/>
                  <w:tcBorders>
                    <w:tl2br w:val="nil"/>
                    <w:tr2bl w:val="nil"/>
                  </w:tcBorders>
                  <w:vAlign w:val="center"/>
                </w:tcPr>
                <w:p w14:paraId="06CF8E59">
                  <w:pPr>
                    <w:adjustRightInd w:val="0"/>
                    <w:spacing w:line="240" w:lineRule="auto"/>
                    <w:ind w:firstLine="0" w:firstLineChars="0"/>
                    <w:jc w:val="center"/>
                    <w:rPr>
                      <w:rFonts w:hint="default" w:ascii="Times New Roman" w:hAnsi="Times New Roman" w:cs="Times New Roman"/>
                      <w:bCs/>
                      <w:sz w:val="21"/>
                      <w:szCs w:val="21"/>
                    </w:rPr>
                  </w:pPr>
                </w:p>
              </w:tc>
              <w:tc>
                <w:tcPr>
                  <w:tcW w:w="674" w:type="pct"/>
                  <w:vMerge w:val="continue"/>
                  <w:tcBorders>
                    <w:tl2br w:val="nil"/>
                    <w:tr2bl w:val="nil"/>
                  </w:tcBorders>
                  <w:vAlign w:val="center"/>
                </w:tcPr>
                <w:p w14:paraId="31C22BD6">
                  <w:pPr>
                    <w:widowControl/>
                    <w:adjustRightInd w:val="0"/>
                    <w:spacing w:line="240" w:lineRule="auto"/>
                    <w:ind w:firstLine="0" w:firstLineChars="0"/>
                    <w:jc w:val="center"/>
                    <w:rPr>
                      <w:rFonts w:hint="default" w:ascii="Times New Roman" w:hAnsi="Times New Roman" w:cs="Times New Roman"/>
                      <w:bCs/>
                      <w:sz w:val="21"/>
                      <w:szCs w:val="21"/>
                    </w:rPr>
                  </w:pPr>
                </w:p>
              </w:tc>
            </w:tr>
            <w:tr w14:paraId="37C592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vMerge w:val="continue"/>
                  <w:tcBorders>
                    <w:tl2br w:val="nil"/>
                    <w:tr2bl w:val="nil"/>
                  </w:tcBorders>
                  <w:vAlign w:val="center"/>
                </w:tcPr>
                <w:p w14:paraId="519A7A0E">
                  <w:pPr>
                    <w:pStyle w:val="380"/>
                    <w:spacing w:line="240" w:lineRule="auto"/>
                    <w:ind w:firstLine="0" w:firstLineChars="0"/>
                    <w:jc w:val="center"/>
                    <w:rPr>
                      <w:rFonts w:hint="default" w:ascii="Times New Roman" w:hAnsi="Times New Roman" w:cs="Times New Roman"/>
                      <w:sz w:val="21"/>
                      <w:szCs w:val="21"/>
                    </w:rPr>
                  </w:pPr>
                </w:p>
              </w:tc>
              <w:tc>
                <w:tcPr>
                  <w:tcW w:w="835" w:type="pct"/>
                  <w:vMerge w:val="continue"/>
                  <w:tcBorders>
                    <w:tl2br w:val="nil"/>
                    <w:tr2bl w:val="nil"/>
                  </w:tcBorders>
                  <w:vAlign w:val="center"/>
                </w:tcPr>
                <w:p w14:paraId="545DBBE1">
                  <w:pPr>
                    <w:widowControl/>
                    <w:spacing w:line="240" w:lineRule="auto"/>
                    <w:ind w:firstLine="0" w:firstLineChars="0"/>
                    <w:jc w:val="center"/>
                    <w:textAlignment w:val="center"/>
                    <w:rPr>
                      <w:rFonts w:hint="eastAsia" w:ascii="Times New Roman" w:hAnsi="Times New Roman" w:cs="Times New Roman"/>
                      <w:sz w:val="21"/>
                      <w:szCs w:val="21"/>
                      <w:lang w:val="en-US" w:eastAsia="zh-CN"/>
                    </w:rPr>
                  </w:pPr>
                </w:p>
              </w:tc>
              <w:tc>
                <w:tcPr>
                  <w:tcW w:w="397" w:type="pct"/>
                  <w:vMerge w:val="continue"/>
                  <w:tcBorders>
                    <w:tl2br w:val="nil"/>
                    <w:tr2bl w:val="nil"/>
                  </w:tcBorders>
                  <w:vAlign w:val="center"/>
                </w:tcPr>
                <w:p w14:paraId="7480CA1F">
                  <w:pPr>
                    <w:widowControl/>
                    <w:spacing w:line="240" w:lineRule="auto"/>
                    <w:ind w:firstLine="0" w:firstLineChars="0"/>
                    <w:jc w:val="center"/>
                    <w:textAlignment w:val="center"/>
                    <w:rPr>
                      <w:rFonts w:hint="default" w:ascii="Times New Roman" w:hAnsi="Times New Roman" w:cs="Times New Roman"/>
                      <w:sz w:val="21"/>
                      <w:szCs w:val="21"/>
                    </w:rPr>
                  </w:pPr>
                </w:p>
              </w:tc>
              <w:tc>
                <w:tcPr>
                  <w:tcW w:w="250" w:type="pct"/>
                  <w:tcBorders>
                    <w:tl2br w:val="nil"/>
                    <w:tr2bl w:val="nil"/>
                  </w:tcBorders>
                  <w:vAlign w:val="center"/>
                </w:tcPr>
                <w:p w14:paraId="12718D94">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492" w:type="pct"/>
                  <w:tcBorders>
                    <w:tl2br w:val="nil"/>
                    <w:tr2bl w:val="nil"/>
                  </w:tcBorders>
                  <w:vAlign w:val="center"/>
                </w:tcPr>
                <w:p w14:paraId="5AB36CFE">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193.1</w:t>
                  </w:r>
                </w:p>
              </w:tc>
              <w:tc>
                <w:tcPr>
                  <w:tcW w:w="515" w:type="pct"/>
                  <w:tcBorders>
                    <w:tl2br w:val="nil"/>
                    <w:tr2bl w:val="nil"/>
                  </w:tcBorders>
                  <w:vAlign w:val="center"/>
                </w:tcPr>
                <w:p w14:paraId="680F6E00">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163.49</w:t>
                  </w:r>
                </w:p>
              </w:tc>
              <w:tc>
                <w:tcPr>
                  <w:tcW w:w="375" w:type="pct"/>
                  <w:tcBorders>
                    <w:tl2br w:val="nil"/>
                    <w:tr2bl w:val="nil"/>
                  </w:tcBorders>
                  <w:vAlign w:val="center"/>
                </w:tcPr>
                <w:p w14:paraId="7086CF76">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633" w:type="pct"/>
                  <w:vMerge w:val="continue"/>
                  <w:tcBorders>
                    <w:tl2br w:val="nil"/>
                    <w:tr2bl w:val="nil"/>
                  </w:tcBorders>
                  <w:vAlign w:val="center"/>
                </w:tcPr>
                <w:p w14:paraId="39F76247">
                  <w:pPr>
                    <w:adjustRightInd w:val="0"/>
                    <w:spacing w:line="240" w:lineRule="auto"/>
                    <w:ind w:firstLine="0" w:firstLineChars="0"/>
                    <w:jc w:val="center"/>
                    <w:rPr>
                      <w:rFonts w:hint="default" w:ascii="Times New Roman" w:hAnsi="Times New Roman" w:cs="Times New Roman"/>
                      <w:bCs/>
                      <w:sz w:val="21"/>
                      <w:szCs w:val="21"/>
                    </w:rPr>
                  </w:pPr>
                </w:p>
              </w:tc>
              <w:tc>
                <w:tcPr>
                  <w:tcW w:w="494" w:type="pct"/>
                  <w:vMerge w:val="continue"/>
                  <w:tcBorders>
                    <w:tl2br w:val="nil"/>
                    <w:tr2bl w:val="nil"/>
                  </w:tcBorders>
                  <w:vAlign w:val="center"/>
                </w:tcPr>
                <w:p w14:paraId="7C521874">
                  <w:pPr>
                    <w:adjustRightInd w:val="0"/>
                    <w:spacing w:line="240" w:lineRule="auto"/>
                    <w:ind w:firstLine="0" w:firstLineChars="0"/>
                    <w:jc w:val="center"/>
                    <w:rPr>
                      <w:rFonts w:hint="default" w:ascii="Times New Roman" w:hAnsi="Times New Roman" w:cs="Times New Roman"/>
                      <w:bCs/>
                      <w:sz w:val="21"/>
                      <w:szCs w:val="21"/>
                    </w:rPr>
                  </w:pPr>
                </w:p>
              </w:tc>
              <w:tc>
                <w:tcPr>
                  <w:tcW w:w="674" w:type="pct"/>
                  <w:vMerge w:val="continue"/>
                  <w:tcBorders>
                    <w:tl2br w:val="nil"/>
                    <w:tr2bl w:val="nil"/>
                  </w:tcBorders>
                  <w:vAlign w:val="center"/>
                </w:tcPr>
                <w:p w14:paraId="68D65302">
                  <w:pPr>
                    <w:widowControl/>
                    <w:adjustRightInd w:val="0"/>
                    <w:spacing w:line="240" w:lineRule="auto"/>
                    <w:ind w:firstLine="0" w:firstLineChars="0"/>
                    <w:jc w:val="center"/>
                    <w:rPr>
                      <w:rFonts w:hint="default" w:ascii="Times New Roman" w:hAnsi="Times New Roman" w:cs="Times New Roman"/>
                      <w:bCs/>
                      <w:sz w:val="21"/>
                      <w:szCs w:val="21"/>
                    </w:rPr>
                  </w:pPr>
                </w:p>
              </w:tc>
            </w:tr>
            <w:tr w14:paraId="121F8E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vMerge w:val="restart"/>
                  <w:tcBorders>
                    <w:tl2br w:val="nil"/>
                    <w:tr2bl w:val="nil"/>
                  </w:tcBorders>
                  <w:vAlign w:val="center"/>
                </w:tcPr>
                <w:p w14:paraId="426C0C77">
                  <w:pPr>
                    <w:pStyle w:val="380"/>
                    <w:spacing w:line="240" w:lineRule="auto"/>
                    <w:ind w:firstLine="0" w:firstLineChars="0"/>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5</w:t>
                  </w:r>
                </w:p>
              </w:tc>
              <w:tc>
                <w:tcPr>
                  <w:tcW w:w="835" w:type="pct"/>
                  <w:vMerge w:val="restart"/>
                  <w:tcBorders>
                    <w:tl2br w:val="nil"/>
                    <w:tr2bl w:val="nil"/>
                  </w:tcBorders>
                  <w:vAlign w:val="center"/>
                </w:tcPr>
                <w:p w14:paraId="46270886">
                  <w:pPr>
                    <w:spacing w:line="240" w:lineRule="auto"/>
                    <w:ind w:firstLine="0" w:firstLineChars="0"/>
                    <w:jc w:val="center"/>
                    <w:textAlignment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风机</w:t>
                  </w:r>
                </w:p>
              </w:tc>
              <w:tc>
                <w:tcPr>
                  <w:tcW w:w="397" w:type="pct"/>
                  <w:vMerge w:val="restart"/>
                  <w:tcBorders>
                    <w:tl2br w:val="nil"/>
                    <w:tr2bl w:val="nil"/>
                  </w:tcBorders>
                  <w:vAlign w:val="center"/>
                </w:tcPr>
                <w:p w14:paraId="627EC79B">
                  <w:pPr>
                    <w:spacing w:line="240" w:lineRule="auto"/>
                    <w:ind w:firstLine="0" w:firstLineChars="0"/>
                    <w:jc w:val="center"/>
                    <w:textAlignment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w:t>
                  </w:r>
                </w:p>
              </w:tc>
              <w:tc>
                <w:tcPr>
                  <w:tcW w:w="250" w:type="pct"/>
                  <w:tcBorders>
                    <w:tl2br w:val="nil"/>
                    <w:tr2bl w:val="nil"/>
                  </w:tcBorders>
                  <w:vAlign w:val="center"/>
                </w:tcPr>
                <w:p w14:paraId="34BC77BA">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default" w:ascii="Times New Roman" w:hAnsi="Times New Roman" w:cs="Times New Roman"/>
                      <w:sz w:val="21"/>
                      <w:szCs w:val="21"/>
                    </w:rPr>
                    <w:t>/</w:t>
                  </w:r>
                </w:p>
              </w:tc>
              <w:tc>
                <w:tcPr>
                  <w:tcW w:w="492" w:type="pct"/>
                  <w:tcBorders>
                    <w:tl2br w:val="nil"/>
                    <w:tr2bl w:val="nil"/>
                  </w:tcBorders>
                  <w:vAlign w:val="center"/>
                </w:tcPr>
                <w:p w14:paraId="3D49DC0F">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196.86</w:t>
                  </w:r>
                </w:p>
              </w:tc>
              <w:tc>
                <w:tcPr>
                  <w:tcW w:w="515" w:type="pct"/>
                  <w:tcBorders>
                    <w:tl2br w:val="nil"/>
                    <w:tr2bl w:val="nil"/>
                  </w:tcBorders>
                  <w:vAlign w:val="center"/>
                </w:tcPr>
                <w:p w14:paraId="558BFBD9">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286.61</w:t>
                  </w:r>
                </w:p>
              </w:tc>
              <w:tc>
                <w:tcPr>
                  <w:tcW w:w="375" w:type="pct"/>
                  <w:tcBorders>
                    <w:tl2br w:val="nil"/>
                    <w:tr2bl w:val="nil"/>
                  </w:tcBorders>
                  <w:vAlign w:val="center"/>
                </w:tcPr>
                <w:p w14:paraId="764989D9">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633" w:type="pct"/>
                  <w:vMerge w:val="restart"/>
                  <w:tcBorders>
                    <w:tl2br w:val="nil"/>
                    <w:tr2bl w:val="nil"/>
                  </w:tcBorders>
                  <w:vAlign w:val="center"/>
                </w:tcPr>
                <w:p w14:paraId="7E3A37C0">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85~90</w:t>
                  </w:r>
                </w:p>
              </w:tc>
              <w:tc>
                <w:tcPr>
                  <w:tcW w:w="494" w:type="pct"/>
                  <w:vMerge w:val="continue"/>
                  <w:tcBorders>
                    <w:tl2br w:val="nil"/>
                    <w:tr2bl w:val="nil"/>
                  </w:tcBorders>
                  <w:vAlign w:val="center"/>
                </w:tcPr>
                <w:p w14:paraId="1A79AC93">
                  <w:pPr>
                    <w:adjustRightInd w:val="0"/>
                    <w:spacing w:line="240" w:lineRule="auto"/>
                    <w:ind w:firstLine="0" w:firstLineChars="0"/>
                    <w:jc w:val="center"/>
                    <w:rPr>
                      <w:rFonts w:hint="default" w:ascii="Times New Roman" w:hAnsi="Times New Roman" w:cs="Times New Roman"/>
                      <w:bCs/>
                      <w:sz w:val="21"/>
                      <w:szCs w:val="21"/>
                    </w:rPr>
                  </w:pPr>
                </w:p>
              </w:tc>
              <w:tc>
                <w:tcPr>
                  <w:tcW w:w="674" w:type="pct"/>
                  <w:vMerge w:val="continue"/>
                  <w:tcBorders>
                    <w:tl2br w:val="nil"/>
                    <w:tr2bl w:val="nil"/>
                  </w:tcBorders>
                  <w:vAlign w:val="center"/>
                </w:tcPr>
                <w:p w14:paraId="48DE4590">
                  <w:pPr>
                    <w:widowControl/>
                    <w:adjustRightInd w:val="0"/>
                    <w:spacing w:line="240" w:lineRule="auto"/>
                    <w:ind w:firstLine="0" w:firstLineChars="0"/>
                    <w:jc w:val="center"/>
                    <w:rPr>
                      <w:rFonts w:hint="default" w:ascii="Times New Roman" w:hAnsi="Times New Roman" w:cs="Times New Roman"/>
                      <w:bCs/>
                      <w:sz w:val="21"/>
                      <w:szCs w:val="21"/>
                    </w:rPr>
                  </w:pPr>
                </w:p>
              </w:tc>
            </w:tr>
            <w:tr w14:paraId="52507F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vMerge w:val="continue"/>
                  <w:tcBorders>
                    <w:tl2br w:val="nil"/>
                    <w:tr2bl w:val="nil"/>
                  </w:tcBorders>
                  <w:vAlign w:val="center"/>
                </w:tcPr>
                <w:p w14:paraId="31BAE528">
                  <w:pPr>
                    <w:pStyle w:val="380"/>
                    <w:spacing w:line="240" w:lineRule="auto"/>
                    <w:ind w:firstLine="0" w:firstLineChars="0"/>
                    <w:jc w:val="center"/>
                    <w:rPr>
                      <w:rFonts w:hint="default" w:ascii="Times New Roman" w:hAnsi="Times New Roman" w:cs="Times New Roman"/>
                      <w:sz w:val="21"/>
                      <w:szCs w:val="21"/>
                    </w:rPr>
                  </w:pPr>
                </w:p>
              </w:tc>
              <w:tc>
                <w:tcPr>
                  <w:tcW w:w="835" w:type="pct"/>
                  <w:vMerge w:val="continue"/>
                  <w:tcBorders>
                    <w:tl2br w:val="nil"/>
                    <w:tr2bl w:val="nil"/>
                  </w:tcBorders>
                  <w:vAlign w:val="center"/>
                </w:tcPr>
                <w:p w14:paraId="5CAA42B8">
                  <w:pPr>
                    <w:spacing w:line="240" w:lineRule="auto"/>
                    <w:ind w:firstLine="0" w:firstLineChars="0"/>
                    <w:jc w:val="center"/>
                    <w:textAlignment w:val="center"/>
                    <w:rPr>
                      <w:rFonts w:hint="default" w:ascii="Times New Roman" w:hAnsi="Times New Roman" w:cs="Times New Roman"/>
                      <w:sz w:val="21"/>
                      <w:szCs w:val="21"/>
                    </w:rPr>
                  </w:pPr>
                </w:p>
              </w:tc>
              <w:tc>
                <w:tcPr>
                  <w:tcW w:w="397" w:type="pct"/>
                  <w:vMerge w:val="continue"/>
                  <w:tcBorders>
                    <w:tl2br w:val="nil"/>
                    <w:tr2bl w:val="nil"/>
                  </w:tcBorders>
                  <w:vAlign w:val="center"/>
                </w:tcPr>
                <w:p w14:paraId="4AD76824">
                  <w:pPr>
                    <w:spacing w:line="240" w:lineRule="auto"/>
                    <w:ind w:firstLine="0" w:firstLineChars="0"/>
                    <w:jc w:val="center"/>
                    <w:textAlignment w:val="center"/>
                    <w:rPr>
                      <w:rFonts w:hint="default" w:ascii="Times New Roman" w:hAnsi="Times New Roman" w:cs="Times New Roman"/>
                      <w:sz w:val="21"/>
                      <w:szCs w:val="21"/>
                    </w:rPr>
                  </w:pPr>
                </w:p>
              </w:tc>
              <w:tc>
                <w:tcPr>
                  <w:tcW w:w="250" w:type="pct"/>
                  <w:tcBorders>
                    <w:tl2br w:val="nil"/>
                    <w:tr2bl w:val="nil"/>
                  </w:tcBorders>
                  <w:vAlign w:val="center"/>
                </w:tcPr>
                <w:p w14:paraId="5F422BB1">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492" w:type="pct"/>
                  <w:tcBorders>
                    <w:tl2br w:val="nil"/>
                    <w:tr2bl w:val="nil"/>
                  </w:tcBorders>
                  <w:vAlign w:val="center"/>
                </w:tcPr>
                <w:p w14:paraId="494BD316">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181.06</w:t>
                  </w:r>
                </w:p>
              </w:tc>
              <w:tc>
                <w:tcPr>
                  <w:tcW w:w="515" w:type="pct"/>
                  <w:tcBorders>
                    <w:tl2br w:val="nil"/>
                    <w:tr2bl w:val="nil"/>
                  </w:tcBorders>
                  <w:vAlign w:val="center"/>
                </w:tcPr>
                <w:p w14:paraId="66A69F57">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181.13</w:t>
                  </w:r>
                </w:p>
              </w:tc>
              <w:tc>
                <w:tcPr>
                  <w:tcW w:w="375" w:type="pct"/>
                  <w:tcBorders>
                    <w:tl2br w:val="nil"/>
                    <w:tr2bl w:val="nil"/>
                  </w:tcBorders>
                  <w:vAlign w:val="center"/>
                </w:tcPr>
                <w:p w14:paraId="1AEB1E4F">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633" w:type="pct"/>
                  <w:vMerge w:val="continue"/>
                  <w:tcBorders>
                    <w:tl2br w:val="nil"/>
                    <w:tr2bl w:val="nil"/>
                  </w:tcBorders>
                  <w:vAlign w:val="center"/>
                </w:tcPr>
                <w:p w14:paraId="44E592BA">
                  <w:pPr>
                    <w:adjustRightInd w:val="0"/>
                    <w:spacing w:line="240" w:lineRule="auto"/>
                    <w:ind w:firstLine="0" w:firstLineChars="0"/>
                    <w:jc w:val="center"/>
                    <w:rPr>
                      <w:rFonts w:hint="default" w:ascii="Times New Roman" w:hAnsi="Times New Roman" w:cs="Times New Roman"/>
                      <w:bCs/>
                      <w:sz w:val="21"/>
                      <w:szCs w:val="21"/>
                    </w:rPr>
                  </w:pPr>
                </w:p>
              </w:tc>
              <w:tc>
                <w:tcPr>
                  <w:tcW w:w="494" w:type="pct"/>
                  <w:vMerge w:val="continue"/>
                  <w:tcBorders>
                    <w:tl2br w:val="nil"/>
                    <w:tr2bl w:val="nil"/>
                  </w:tcBorders>
                  <w:vAlign w:val="center"/>
                </w:tcPr>
                <w:p w14:paraId="697CBF66">
                  <w:pPr>
                    <w:adjustRightInd w:val="0"/>
                    <w:spacing w:line="240" w:lineRule="auto"/>
                    <w:ind w:firstLine="0" w:firstLineChars="0"/>
                    <w:jc w:val="center"/>
                    <w:rPr>
                      <w:rFonts w:hint="default" w:ascii="Times New Roman" w:hAnsi="Times New Roman" w:cs="Times New Roman"/>
                      <w:bCs/>
                      <w:sz w:val="21"/>
                      <w:szCs w:val="21"/>
                    </w:rPr>
                  </w:pPr>
                </w:p>
              </w:tc>
              <w:tc>
                <w:tcPr>
                  <w:tcW w:w="674" w:type="pct"/>
                  <w:vMerge w:val="continue"/>
                  <w:tcBorders>
                    <w:tl2br w:val="nil"/>
                    <w:tr2bl w:val="nil"/>
                  </w:tcBorders>
                  <w:vAlign w:val="center"/>
                </w:tcPr>
                <w:p w14:paraId="0F0C0F6A">
                  <w:pPr>
                    <w:widowControl/>
                    <w:adjustRightInd w:val="0"/>
                    <w:spacing w:line="240" w:lineRule="auto"/>
                    <w:ind w:firstLine="0" w:firstLineChars="0"/>
                    <w:jc w:val="center"/>
                    <w:rPr>
                      <w:rFonts w:hint="default" w:ascii="Times New Roman" w:hAnsi="Times New Roman" w:cs="Times New Roman"/>
                      <w:bCs/>
                      <w:sz w:val="21"/>
                      <w:szCs w:val="21"/>
                    </w:rPr>
                  </w:pPr>
                </w:p>
              </w:tc>
            </w:tr>
            <w:tr w14:paraId="23F1F1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vMerge w:val="continue"/>
                  <w:tcBorders>
                    <w:tl2br w:val="nil"/>
                    <w:tr2bl w:val="nil"/>
                  </w:tcBorders>
                  <w:vAlign w:val="center"/>
                </w:tcPr>
                <w:p w14:paraId="0EA79C51">
                  <w:pPr>
                    <w:pStyle w:val="380"/>
                    <w:spacing w:line="240" w:lineRule="auto"/>
                    <w:ind w:firstLine="0" w:firstLineChars="0"/>
                    <w:jc w:val="center"/>
                    <w:rPr>
                      <w:rFonts w:hint="default" w:ascii="Times New Roman" w:hAnsi="Times New Roman" w:cs="Times New Roman"/>
                      <w:sz w:val="21"/>
                      <w:szCs w:val="21"/>
                    </w:rPr>
                  </w:pPr>
                </w:p>
              </w:tc>
              <w:tc>
                <w:tcPr>
                  <w:tcW w:w="835" w:type="pct"/>
                  <w:vMerge w:val="continue"/>
                  <w:tcBorders>
                    <w:tl2br w:val="nil"/>
                    <w:tr2bl w:val="nil"/>
                  </w:tcBorders>
                  <w:vAlign w:val="center"/>
                </w:tcPr>
                <w:p w14:paraId="7AE77452">
                  <w:pPr>
                    <w:spacing w:line="240" w:lineRule="auto"/>
                    <w:ind w:firstLine="0" w:firstLineChars="0"/>
                    <w:jc w:val="center"/>
                    <w:textAlignment w:val="center"/>
                    <w:rPr>
                      <w:rFonts w:hint="default" w:ascii="Times New Roman" w:hAnsi="Times New Roman" w:cs="Times New Roman"/>
                      <w:sz w:val="21"/>
                      <w:szCs w:val="21"/>
                    </w:rPr>
                  </w:pPr>
                </w:p>
              </w:tc>
              <w:tc>
                <w:tcPr>
                  <w:tcW w:w="397" w:type="pct"/>
                  <w:vMerge w:val="continue"/>
                  <w:tcBorders>
                    <w:tl2br w:val="nil"/>
                    <w:tr2bl w:val="nil"/>
                  </w:tcBorders>
                  <w:vAlign w:val="center"/>
                </w:tcPr>
                <w:p w14:paraId="0CB97CF9">
                  <w:pPr>
                    <w:spacing w:line="240" w:lineRule="auto"/>
                    <w:ind w:firstLine="0" w:firstLineChars="0"/>
                    <w:jc w:val="center"/>
                    <w:textAlignment w:val="center"/>
                    <w:rPr>
                      <w:rFonts w:hint="default" w:ascii="Times New Roman" w:hAnsi="Times New Roman" w:cs="Times New Roman"/>
                      <w:sz w:val="21"/>
                      <w:szCs w:val="21"/>
                    </w:rPr>
                  </w:pPr>
                </w:p>
              </w:tc>
              <w:tc>
                <w:tcPr>
                  <w:tcW w:w="250" w:type="pct"/>
                  <w:tcBorders>
                    <w:tl2br w:val="nil"/>
                    <w:tr2bl w:val="nil"/>
                  </w:tcBorders>
                  <w:vAlign w:val="center"/>
                </w:tcPr>
                <w:p w14:paraId="4174E6DF">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492" w:type="pct"/>
                  <w:tcBorders>
                    <w:tl2br w:val="nil"/>
                    <w:tr2bl w:val="nil"/>
                  </w:tcBorders>
                  <w:vAlign w:val="center"/>
                </w:tcPr>
                <w:p w14:paraId="04BA418D">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-54.36</w:t>
                  </w:r>
                </w:p>
              </w:tc>
              <w:tc>
                <w:tcPr>
                  <w:tcW w:w="515" w:type="pct"/>
                  <w:tcBorders>
                    <w:tl2br w:val="nil"/>
                    <w:tr2bl w:val="nil"/>
                  </w:tcBorders>
                  <w:vAlign w:val="center"/>
                </w:tcPr>
                <w:p w14:paraId="53386E26">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-681.51</w:t>
                  </w:r>
                </w:p>
              </w:tc>
              <w:tc>
                <w:tcPr>
                  <w:tcW w:w="375" w:type="pct"/>
                  <w:tcBorders>
                    <w:tl2br w:val="nil"/>
                    <w:tr2bl w:val="nil"/>
                  </w:tcBorders>
                  <w:vAlign w:val="center"/>
                </w:tcPr>
                <w:p w14:paraId="4D49A243">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633" w:type="pct"/>
                  <w:vMerge w:val="continue"/>
                  <w:tcBorders>
                    <w:tl2br w:val="nil"/>
                    <w:tr2bl w:val="nil"/>
                  </w:tcBorders>
                  <w:vAlign w:val="center"/>
                </w:tcPr>
                <w:p w14:paraId="3B4E4A93">
                  <w:pPr>
                    <w:adjustRightInd w:val="0"/>
                    <w:spacing w:line="240" w:lineRule="auto"/>
                    <w:ind w:firstLine="0" w:firstLineChars="0"/>
                    <w:jc w:val="center"/>
                    <w:rPr>
                      <w:rFonts w:hint="default" w:ascii="Times New Roman" w:hAnsi="Times New Roman" w:cs="Times New Roman"/>
                      <w:bCs/>
                      <w:sz w:val="21"/>
                      <w:szCs w:val="21"/>
                    </w:rPr>
                  </w:pPr>
                </w:p>
              </w:tc>
              <w:tc>
                <w:tcPr>
                  <w:tcW w:w="494" w:type="pct"/>
                  <w:vMerge w:val="continue"/>
                  <w:tcBorders>
                    <w:tl2br w:val="nil"/>
                    <w:tr2bl w:val="nil"/>
                  </w:tcBorders>
                  <w:vAlign w:val="center"/>
                </w:tcPr>
                <w:p w14:paraId="4F46C78D">
                  <w:pPr>
                    <w:adjustRightInd w:val="0"/>
                    <w:spacing w:line="240" w:lineRule="auto"/>
                    <w:ind w:firstLine="0" w:firstLineChars="0"/>
                    <w:jc w:val="center"/>
                    <w:rPr>
                      <w:rFonts w:hint="default" w:ascii="Times New Roman" w:hAnsi="Times New Roman" w:cs="Times New Roman"/>
                      <w:bCs/>
                      <w:sz w:val="21"/>
                      <w:szCs w:val="21"/>
                    </w:rPr>
                  </w:pPr>
                </w:p>
              </w:tc>
              <w:tc>
                <w:tcPr>
                  <w:tcW w:w="674" w:type="pct"/>
                  <w:vMerge w:val="continue"/>
                  <w:tcBorders>
                    <w:tl2br w:val="nil"/>
                    <w:tr2bl w:val="nil"/>
                  </w:tcBorders>
                  <w:vAlign w:val="center"/>
                </w:tcPr>
                <w:p w14:paraId="7813A087">
                  <w:pPr>
                    <w:widowControl/>
                    <w:adjustRightInd w:val="0"/>
                    <w:spacing w:line="240" w:lineRule="auto"/>
                    <w:ind w:firstLine="0" w:firstLineChars="0"/>
                    <w:jc w:val="center"/>
                    <w:rPr>
                      <w:rFonts w:hint="default" w:ascii="Times New Roman" w:hAnsi="Times New Roman" w:cs="Times New Roman"/>
                      <w:bCs/>
                      <w:sz w:val="21"/>
                      <w:szCs w:val="21"/>
                    </w:rPr>
                  </w:pPr>
                </w:p>
              </w:tc>
            </w:tr>
            <w:tr w14:paraId="3BBAC6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vMerge w:val="continue"/>
                  <w:tcBorders>
                    <w:tl2br w:val="nil"/>
                    <w:tr2bl w:val="nil"/>
                  </w:tcBorders>
                  <w:vAlign w:val="center"/>
                </w:tcPr>
                <w:p w14:paraId="168115EB">
                  <w:pPr>
                    <w:pStyle w:val="380"/>
                    <w:spacing w:line="240" w:lineRule="auto"/>
                    <w:ind w:firstLine="0" w:firstLineChars="0"/>
                    <w:jc w:val="center"/>
                    <w:rPr>
                      <w:rFonts w:hint="default" w:ascii="Times New Roman" w:hAnsi="Times New Roman" w:cs="Times New Roman"/>
                      <w:sz w:val="21"/>
                      <w:szCs w:val="21"/>
                    </w:rPr>
                  </w:pPr>
                </w:p>
              </w:tc>
              <w:tc>
                <w:tcPr>
                  <w:tcW w:w="835" w:type="pct"/>
                  <w:vMerge w:val="continue"/>
                  <w:tcBorders>
                    <w:tl2br w:val="nil"/>
                    <w:tr2bl w:val="nil"/>
                  </w:tcBorders>
                  <w:vAlign w:val="center"/>
                </w:tcPr>
                <w:p w14:paraId="68297F3B">
                  <w:pPr>
                    <w:spacing w:line="240" w:lineRule="auto"/>
                    <w:ind w:firstLine="0" w:firstLineChars="0"/>
                    <w:jc w:val="center"/>
                    <w:textAlignment w:val="center"/>
                    <w:rPr>
                      <w:rFonts w:hint="default" w:ascii="Times New Roman" w:hAnsi="Times New Roman" w:cs="Times New Roman"/>
                      <w:sz w:val="21"/>
                      <w:szCs w:val="21"/>
                    </w:rPr>
                  </w:pPr>
                </w:p>
              </w:tc>
              <w:tc>
                <w:tcPr>
                  <w:tcW w:w="397" w:type="pct"/>
                  <w:vMerge w:val="continue"/>
                  <w:tcBorders>
                    <w:tl2br w:val="nil"/>
                    <w:tr2bl w:val="nil"/>
                  </w:tcBorders>
                  <w:vAlign w:val="center"/>
                </w:tcPr>
                <w:p w14:paraId="51519DF1">
                  <w:pPr>
                    <w:spacing w:line="240" w:lineRule="auto"/>
                    <w:ind w:firstLine="0" w:firstLineChars="0"/>
                    <w:jc w:val="center"/>
                    <w:textAlignment w:val="center"/>
                    <w:rPr>
                      <w:rFonts w:hint="default" w:ascii="Times New Roman" w:hAnsi="Times New Roman" w:cs="Times New Roman"/>
                      <w:sz w:val="21"/>
                      <w:szCs w:val="21"/>
                    </w:rPr>
                  </w:pPr>
                </w:p>
              </w:tc>
              <w:tc>
                <w:tcPr>
                  <w:tcW w:w="250" w:type="pct"/>
                  <w:tcBorders>
                    <w:tl2br w:val="nil"/>
                    <w:tr2bl w:val="nil"/>
                  </w:tcBorders>
                  <w:vAlign w:val="center"/>
                </w:tcPr>
                <w:p w14:paraId="074B6A68">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492" w:type="pct"/>
                  <w:tcBorders>
                    <w:tl2br w:val="nil"/>
                    <w:tr2bl w:val="nil"/>
                  </w:tcBorders>
                  <w:vAlign w:val="center"/>
                </w:tcPr>
                <w:p w14:paraId="77138AD5">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-40.1</w:t>
                  </w:r>
                </w:p>
              </w:tc>
              <w:tc>
                <w:tcPr>
                  <w:tcW w:w="515" w:type="pct"/>
                  <w:tcBorders>
                    <w:tl2br w:val="nil"/>
                    <w:tr2bl w:val="nil"/>
                  </w:tcBorders>
                  <w:vAlign w:val="center"/>
                </w:tcPr>
                <w:p w14:paraId="5F458652">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-649.86</w:t>
                  </w:r>
                </w:p>
              </w:tc>
              <w:tc>
                <w:tcPr>
                  <w:tcW w:w="375" w:type="pct"/>
                  <w:tcBorders>
                    <w:tl2br w:val="nil"/>
                    <w:tr2bl w:val="nil"/>
                  </w:tcBorders>
                  <w:vAlign w:val="center"/>
                </w:tcPr>
                <w:p w14:paraId="07132D1D">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633" w:type="pct"/>
                  <w:vMerge w:val="continue"/>
                  <w:tcBorders>
                    <w:tl2br w:val="nil"/>
                    <w:tr2bl w:val="nil"/>
                  </w:tcBorders>
                  <w:vAlign w:val="center"/>
                </w:tcPr>
                <w:p w14:paraId="6E9458F6">
                  <w:pPr>
                    <w:adjustRightInd w:val="0"/>
                    <w:spacing w:line="240" w:lineRule="auto"/>
                    <w:ind w:firstLine="0" w:firstLineChars="0"/>
                    <w:jc w:val="center"/>
                    <w:rPr>
                      <w:rFonts w:hint="default" w:ascii="Times New Roman" w:hAnsi="Times New Roman" w:cs="Times New Roman"/>
                      <w:bCs/>
                      <w:sz w:val="21"/>
                      <w:szCs w:val="21"/>
                    </w:rPr>
                  </w:pPr>
                </w:p>
              </w:tc>
              <w:tc>
                <w:tcPr>
                  <w:tcW w:w="494" w:type="pct"/>
                  <w:vMerge w:val="continue"/>
                  <w:tcBorders>
                    <w:tl2br w:val="nil"/>
                    <w:tr2bl w:val="nil"/>
                  </w:tcBorders>
                  <w:vAlign w:val="center"/>
                </w:tcPr>
                <w:p w14:paraId="11A5BAC6">
                  <w:pPr>
                    <w:adjustRightInd w:val="0"/>
                    <w:spacing w:line="240" w:lineRule="auto"/>
                    <w:ind w:firstLine="0" w:firstLineChars="0"/>
                    <w:jc w:val="center"/>
                    <w:rPr>
                      <w:rFonts w:hint="default" w:ascii="Times New Roman" w:hAnsi="Times New Roman" w:cs="Times New Roman"/>
                      <w:bCs/>
                      <w:sz w:val="21"/>
                      <w:szCs w:val="21"/>
                    </w:rPr>
                  </w:pPr>
                </w:p>
              </w:tc>
              <w:tc>
                <w:tcPr>
                  <w:tcW w:w="674" w:type="pct"/>
                  <w:vMerge w:val="continue"/>
                  <w:tcBorders>
                    <w:tl2br w:val="nil"/>
                    <w:tr2bl w:val="nil"/>
                  </w:tcBorders>
                  <w:vAlign w:val="center"/>
                </w:tcPr>
                <w:p w14:paraId="0714541F">
                  <w:pPr>
                    <w:widowControl/>
                    <w:adjustRightInd w:val="0"/>
                    <w:spacing w:line="240" w:lineRule="auto"/>
                    <w:ind w:firstLine="0" w:firstLineChars="0"/>
                    <w:jc w:val="center"/>
                    <w:rPr>
                      <w:rFonts w:hint="default" w:ascii="Times New Roman" w:hAnsi="Times New Roman" w:cs="Times New Roman"/>
                      <w:bCs/>
                      <w:sz w:val="21"/>
                      <w:szCs w:val="21"/>
                    </w:rPr>
                  </w:pPr>
                </w:p>
              </w:tc>
            </w:tr>
            <w:tr w14:paraId="41BBA2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vMerge w:val="restart"/>
                  <w:tcBorders>
                    <w:tl2br w:val="nil"/>
                    <w:tr2bl w:val="nil"/>
                  </w:tcBorders>
                  <w:vAlign w:val="center"/>
                </w:tcPr>
                <w:p w14:paraId="40A6325A">
                  <w:pPr>
                    <w:pStyle w:val="380"/>
                    <w:spacing w:line="240" w:lineRule="auto"/>
                    <w:ind w:firstLine="0" w:firstLineChars="0"/>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eastAsia="zh-CN"/>
                    </w:rPr>
                    <w:t>6</w:t>
                  </w:r>
                </w:p>
              </w:tc>
              <w:tc>
                <w:tcPr>
                  <w:tcW w:w="835" w:type="pct"/>
                  <w:vMerge w:val="restart"/>
                  <w:tcBorders>
                    <w:tl2br w:val="nil"/>
                    <w:tr2bl w:val="nil"/>
                  </w:tcBorders>
                  <w:vAlign w:val="center"/>
                </w:tcPr>
                <w:p w14:paraId="317C81C6">
                  <w:pPr>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散装机布袋除尘器</w:t>
                  </w:r>
                </w:p>
              </w:tc>
              <w:tc>
                <w:tcPr>
                  <w:tcW w:w="397" w:type="pct"/>
                  <w:vMerge w:val="restart"/>
                  <w:tcBorders>
                    <w:tl2br w:val="nil"/>
                    <w:tr2bl w:val="nil"/>
                  </w:tcBorders>
                  <w:vAlign w:val="center"/>
                </w:tcPr>
                <w:p w14:paraId="7B1AB37E">
                  <w:pPr>
                    <w:spacing w:line="240" w:lineRule="auto"/>
                    <w:ind w:firstLine="0" w:firstLineChars="0"/>
                    <w:jc w:val="center"/>
                    <w:textAlignment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w:t>
                  </w:r>
                </w:p>
              </w:tc>
              <w:tc>
                <w:tcPr>
                  <w:tcW w:w="250" w:type="pct"/>
                  <w:tcBorders>
                    <w:tl2br w:val="nil"/>
                    <w:tr2bl w:val="nil"/>
                  </w:tcBorders>
                  <w:vAlign w:val="center"/>
                </w:tcPr>
                <w:p w14:paraId="5BF2891A">
                  <w:pPr>
                    <w:adjustRightInd w:val="0"/>
                    <w:spacing w:line="240" w:lineRule="auto"/>
                    <w:ind w:firstLine="0" w:firstLineChars="0"/>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492" w:type="pct"/>
                  <w:tcBorders>
                    <w:tl2br w:val="nil"/>
                    <w:tr2bl w:val="nil"/>
                  </w:tcBorders>
                  <w:vAlign w:val="center"/>
                </w:tcPr>
                <w:p w14:paraId="5D26E532">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205.21</w:t>
                  </w:r>
                </w:p>
              </w:tc>
              <w:tc>
                <w:tcPr>
                  <w:tcW w:w="515" w:type="pct"/>
                  <w:tcBorders>
                    <w:tl2br w:val="nil"/>
                    <w:tr2bl w:val="nil"/>
                  </w:tcBorders>
                  <w:vAlign w:val="center"/>
                </w:tcPr>
                <w:p w14:paraId="0EC0BBD4">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291.37</w:t>
                  </w:r>
                </w:p>
              </w:tc>
              <w:tc>
                <w:tcPr>
                  <w:tcW w:w="375" w:type="pct"/>
                  <w:tcBorders>
                    <w:tl2br w:val="nil"/>
                    <w:tr2bl w:val="nil"/>
                  </w:tcBorders>
                  <w:vAlign w:val="center"/>
                </w:tcPr>
                <w:p w14:paraId="3C8C0EC0">
                  <w:pPr>
                    <w:adjustRightInd w:val="0"/>
                    <w:spacing w:line="240" w:lineRule="auto"/>
                    <w:ind w:firstLine="0" w:firstLineChars="0"/>
                    <w:jc w:val="center"/>
                    <w:rPr>
                      <w:rFonts w:hint="default" w:ascii="Times New Roman" w:hAnsi="Times New Roman" w:cs="Times New Roman"/>
                      <w:bCs/>
                      <w:sz w:val="21"/>
                      <w:szCs w:val="21"/>
                      <w:lang w:val="en-US" w:eastAsia="zh-CN"/>
                    </w:rPr>
                  </w:pPr>
                  <w:r>
                    <w:rPr>
                      <w:rFonts w:hint="eastAsia" w:ascii="Times New Roman" w:hAnsi="Times New Roman" w:cs="Times New Roman"/>
                      <w:bCs/>
                      <w:sz w:val="21"/>
                      <w:szCs w:val="21"/>
                      <w:lang w:val="en-US" w:eastAsia="zh-CN"/>
                    </w:rPr>
                    <w:t>1</w:t>
                  </w:r>
                </w:p>
              </w:tc>
              <w:tc>
                <w:tcPr>
                  <w:tcW w:w="633" w:type="pct"/>
                  <w:vMerge w:val="restart"/>
                  <w:tcBorders>
                    <w:tl2br w:val="nil"/>
                    <w:tr2bl w:val="nil"/>
                  </w:tcBorders>
                  <w:shd w:val="clear" w:color="auto" w:fill="auto"/>
                  <w:vAlign w:val="center"/>
                </w:tcPr>
                <w:p w14:paraId="4C6BEFA1">
                  <w:pPr>
                    <w:adjustRightInd w:val="0"/>
                    <w:spacing w:line="240" w:lineRule="auto"/>
                    <w:ind w:firstLine="0" w:firstLineChars="0"/>
                    <w:jc w:val="center"/>
                    <w:rPr>
                      <w:rFonts w:hint="default" w:ascii="Times New Roman" w:hAnsi="Times New Roman" w:eastAsia="宋体" w:cs="Times New Roman"/>
                      <w:bCs/>
                      <w:sz w:val="21"/>
                      <w:szCs w:val="21"/>
                      <w:lang w:val="en-US" w:eastAsia="zh-CN" w:bidi="ar-SA"/>
                    </w:rPr>
                  </w:pPr>
                  <w:r>
                    <w:rPr>
                      <w:rFonts w:hint="eastAsia" w:ascii="Times New Roman" w:hAnsi="Times New Roman" w:cs="Times New Roman"/>
                      <w:bCs/>
                      <w:sz w:val="21"/>
                      <w:szCs w:val="21"/>
                      <w:lang w:val="en-US" w:eastAsia="zh-CN"/>
                    </w:rPr>
                    <w:t>85~90</w:t>
                  </w:r>
                </w:p>
              </w:tc>
              <w:tc>
                <w:tcPr>
                  <w:tcW w:w="494" w:type="pct"/>
                  <w:vMerge w:val="continue"/>
                  <w:tcBorders>
                    <w:tl2br w:val="nil"/>
                    <w:tr2bl w:val="nil"/>
                  </w:tcBorders>
                  <w:vAlign w:val="center"/>
                </w:tcPr>
                <w:p w14:paraId="03CB981A">
                  <w:pPr>
                    <w:adjustRightInd w:val="0"/>
                    <w:spacing w:line="240" w:lineRule="auto"/>
                    <w:ind w:firstLine="0" w:firstLineChars="0"/>
                    <w:jc w:val="center"/>
                    <w:rPr>
                      <w:rFonts w:hint="default" w:ascii="Times New Roman" w:hAnsi="Times New Roman" w:cs="Times New Roman"/>
                      <w:bCs/>
                      <w:sz w:val="21"/>
                      <w:szCs w:val="21"/>
                    </w:rPr>
                  </w:pPr>
                </w:p>
              </w:tc>
              <w:tc>
                <w:tcPr>
                  <w:tcW w:w="674" w:type="pct"/>
                  <w:vMerge w:val="continue"/>
                  <w:tcBorders>
                    <w:tl2br w:val="nil"/>
                    <w:tr2bl w:val="nil"/>
                  </w:tcBorders>
                  <w:vAlign w:val="center"/>
                </w:tcPr>
                <w:p w14:paraId="4FAFE320">
                  <w:pPr>
                    <w:widowControl/>
                    <w:adjustRightInd w:val="0"/>
                    <w:spacing w:line="240" w:lineRule="auto"/>
                    <w:ind w:firstLine="0" w:firstLineChars="0"/>
                    <w:jc w:val="center"/>
                    <w:rPr>
                      <w:rFonts w:hint="default" w:ascii="Times New Roman" w:hAnsi="Times New Roman" w:cs="Times New Roman"/>
                      <w:bCs/>
                      <w:sz w:val="21"/>
                      <w:szCs w:val="21"/>
                    </w:rPr>
                  </w:pPr>
                </w:p>
              </w:tc>
            </w:tr>
            <w:tr w14:paraId="69ABDD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vMerge w:val="continue"/>
                  <w:tcBorders>
                    <w:tl2br w:val="nil"/>
                    <w:tr2bl w:val="nil"/>
                  </w:tcBorders>
                  <w:vAlign w:val="center"/>
                </w:tcPr>
                <w:p w14:paraId="2E56C996">
                  <w:pPr>
                    <w:pStyle w:val="380"/>
                    <w:spacing w:line="240" w:lineRule="auto"/>
                    <w:ind w:firstLine="0" w:firstLineChars="0"/>
                    <w:jc w:val="center"/>
                    <w:rPr>
                      <w:rFonts w:hint="default" w:ascii="Times New Roman" w:hAnsi="Times New Roman" w:cs="Times New Roman"/>
                      <w:sz w:val="21"/>
                      <w:szCs w:val="21"/>
                    </w:rPr>
                  </w:pPr>
                </w:p>
              </w:tc>
              <w:tc>
                <w:tcPr>
                  <w:tcW w:w="835" w:type="pct"/>
                  <w:vMerge w:val="continue"/>
                  <w:tcBorders>
                    <w:tl2br w:val="nil"/>
                    <w:tr2bl w:val="nil"/>
                  </w:tcBorders>
                  <w:vAlign w:val="center"/>
                </w:tcPr>
                <w:p w14:paraId="729A5156">
                  <w:pPr>
                    <w:spacing w:line="240" w:lineRule="auto"/>
                    <w:ind w:firstLine="0" w:firstLineChars="0"/>
                    <w:jc w:val="center"/>
                    <w:textAlignment w:val="center"/>
                    <w:rPr>
                      <w:rFonts w:hint="default" w:ascii="Times New Roman" w:hAnsi="Times New Roman" w:cs="Times New Roman"/>
                      <w:sz w:val="21"/>
                      <w:szCs w:val="21"/>
                    </w:rPr>
                  </w:pPr>
                </w:p>
              </w:tc>
              <w:tc>
                <w:tcPr>
                  <w:tcW w:w="397" w:type="pct"/>
                  <w:vMerge w:val="continue"/>
                  <w:tcBorders>
                    <w:tl2br w:val="nil"/>
                    <w:tr2bl w:val="nil"/>
                  </w:tcBorders>
                  <w:vAlign w:val="center"/>
                </w:tcPr>
                <w:p w14:paraId="2CF4243A">
                  <w:pPr>
                    <w:spacing w:line="240" w:lineRule="auto"/>
                    <w:ind w:firstLine="0" w:firstLineChars="0"/>
                    <w:jc w:val="center"/>
                    <w:textAlignment w:val="center"/>
                    <w:rPr>
                      <w:rFonts w:hint="default" w:ascii="Times New Roman" w:hAnsi="Times New Roman" w:cs="Times New Roman"/>
                      <w:sz w:val="21"/>
                      <w:szCs w:val="21"/>
                    </w:rPr>
                  </w:pPr>
                </w:p>
              </w:tc>
              <w:tc>
                <w:tcPr>
                  <w:tcW w:w="250" w:type="pct"/>
                  <w:tcBorders>
                    <w:tl2br w:val="nil"/>
                    <w:tr2bl w:val="nil"/>
                  </w:tcBorders>
                  <w:vAlign w:val="center"/>
                </w:tcPr>
                <w:p w14:paraId="394DA7F9">
                  <w:pPr>
                    <w:adjustRightInd w:val="0"/>
                    <w:spacing w:line="240" w:lineRule="auto"/>
                    <w:ind w:firstLine="0" w:firstLineChars="0"/>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492" w:type="pct"/>
                  <w:tcBorders>
                    <w:tl2br w:val="nil"/>
                    <w:tr2bl w:val="nil"/>
                  </w:tcBorders>
                  <w:vAlign w:val="center"/>
                </w:tcPr>
                <w:p w14:paraId="03554E66">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189.74</w:t>
                  </w:r>
                </w:p>
              </w:tc>
              <w:tc>
                <w:tcPr>
                  <w:tcW w:w="515" w:type="pct"/>
                  <w:tcBorders>
                    <w:tl2br w:val="nil"/>
                    <w:tr2bl w:val="nil"/>
                  </w:tcBorders>
                  <w:vAlign w:val="center"/>
                </w:tcPr>
                <w:p w14:paraId="21486F15">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169.19</w:t>
                  </w:r>
                </w:p>
              </w:tc>
              <w:tc>
                <w:tcPr>
                  <w:tcW w:w="375" w:type="pct"/>
                  <w:tcBorders>
                    <w:tl2br w:val="nil"/>
                    <w:tr2bl w:val="nil"/>
                  </w:tcBorders>
                  <w:vAlign w:val="center"/>
                </w:tcPr>
                <w:p w14:paraId="59E758E3">
                  <w:pPr>
                    <w:adjustRightInd w:val="0"/>
                    <w:spacing w:line="240" w:lineRule="auto"/>
                    <w:ind w:firstLine="0" w:firstLineChars="0"/>
                    <w:jc w:val="center"/>
                    <w:rPr>
                      <w:rFonts w:hint="default" w:ascii="Times New Roman" w:hAnsi="Times New Roman" w:cs="Times New Roman"/>
                      <w:bCs/>
                      <w:sz w:val="21"/>
                      <w:szCs w:val="21"/>
                      <w:lang w:val="en-US" w:eastAsia="zh-CN"/>
                    </w:rPr>
                  </w:pPr>
                  <w:r>
                    <w:rPr>
                      <w:rFonts w:hint="eastAsia" w:ascii="Times New Roman" w:hAnsi="Times New Roman" w:cs="Times New Roman"/>
                      <w:bCs/>
                      <w:sz w:val="21"/>
                      <w:szCs w:val="21"/>
                      <w:lang w:val="en-US" w:eastAsia="zh-CN"/>
                    </w:rPr>
                    <w:t>1</w:t>
                  </w:r>
                </w:p>
              </w:tc>
              <w:tc>
                <w:tcPr>
                  <w:tcW w:w="633" w:type="pct"/>
                  <w:vMerge w:val="continue"/>
                  <w:tcBorders>
                    <w:tl2br w:val="nil"/>
                    <w:tr2bl w:val="nil"/>
                  </w:tcBorders>
                  <w:vAlign w:val="center"/>
                </w:tcPr>
                <w:p w14:paraId="628ECF56">
                  <w:pPr>
                    <w:adjustRightInd w:val="0"/>
                    <w:spacing w:line="240" w:lineRule="auto"/>
                    <w:ind w:firstLine="0" w:firstLineChars="0"/>
                    <w:jc w:val="center"/>
                    <w:rPr>
                      <w:rFonts w:hint="default" w:ascii="Times New Roman" w:hAnsi="Times New Roman" w:cs="Times New Roman"/>
                      <w:bCs/>
                      <w:sz w:val="21"/>
                      <w:szCs w:val="21"/>
                    </w:rPr>
                  </w:pPr>
                </w:p>
              </w:tc>
              <w:tc>
                <w:tcPr>
                  <w:tcW w:w="494" w:type="pct"/>
                  <w:vMerge w:val="continue"/>
                  <w:tcBorders>
                    <w:tl2br w:val="nil"/>
                    <w:tr2bl w:val="nil"/>
                  </w:tcBorders>
                  <w:vAlign w:val="center"/>
                </w:tcPr>
                <w:p w14:paraId="389D099A">
                  <w:pPr>
                    <w:adjustRightInd w:val="0"/>
                    <w:spacing w:line="240" w:lineRule="auto"/>
                    <w:ind w:firstLine="0" w:firstLineChars="0"/>
                    <w:jc w:val="center"/>
                    <w:rPr>
                      <w:rFonts w:hint="default" w:ascii="Times New Roman" w:hAnsi="Times New Roman" w:cs="Times New Roman"/>
                      <w:bCs/>
                      <w:sz w:val="21"/>
                      <w:szCs w:val="21"/>
                    </w:rPr>
                  </w:pPr>
                </w:p>
              </w:tc>
              <w:tc>
                <w:tcPr>
                  <w:tcW w:w="674" w:type="pct"/>
                  <w:vMerge w:val="continue"/>
                  <w:tcBorders>
                    <w:tl2br w:val="nil"/>
                    <w:tr2bl w:val="nil"/>
                  </w:tcBorders>
                  <w:vAlign w:val="center"/>
                </w:tcPr>
                <w:p w14:paraId="6DE0D740">
                  <w:pPr>
                    <w:widowControl/>
                    <w:adjustRightInd w:val="0"/>
                    <w:spacing w:line="240" w:lineRule="auto"/>
                    <w:ind w:firstLine="0" w:firstLineChars="0"/>
                    <w:jc w:val="center"/>
                    <w:rPr>
                      <w:rFonts w:hint="default" w:ascii="Times New Roman" w:hAnsi="Times New Roman" w:cs="Times New Roman"/>
                      <w:bCs/>
                      <w:sz w:val="21"/>
                      <w:szCs w:val="21"/>
                    </w:rPr>
                  </w:pPr>
                </w:p>
              </w:tc>
            </w:tr>
            <w:tr w14:paraId="774FD8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vMerge w:val="continue"/>
                  <w:tcBorders>
                    <w:tl2br w:val="nil"/>
                    <w:tr2bl w:val="nil"/>
                  </w:tcBorders>
                  <w:vAlign w:val="center"/>
                </w:tcPr>
                <w:p w14:paraId="7F877076">
                  <w:pPr>
                    <w:pStyle w:val="380"/>
                    <w:spacing w:line="240" w:lineRule="auto"/>
                    <w:ind w:firstLine="0" w:firstLineChars="0"/>
                    <w:jc w:val="center"/>
                    <w:rPr>
                      <w:rFonts w:hint="default" w:ascii="Times New Roman" w:hAnsi="Times New Roman" w:cs="Times New Roman"/>
                      <w:sz w:val="21"/>
                      <w:szCs w:val="21"/>
                      <w:lang w:val="en-US"/>
                    </w:rPr>
                  </w:pPr>
                </w:p>
              </w:tc>
              <w:tc>
                <w:tcPr>
                  <w:tcW w:w="835" w:type="pct"/>
                  <w:vMerge w:val="continue"/>
                  <w:tcBorders>
                    <w:tl2br w:val="nil"/>
                    <w:tr2bl w:val="nil"/>
                  </w:tcBorders>
                  <w:vAlign w:val="center"/>
                </w:tcPr>
                <w:p w14:paraId="731BEA15">
                  <w:pPr>
                    <w:spacing w:line="240" w:lineRule="auto"/>
                    <w:ind w:firstLine="0" w:firstLineChars="0"/>
                    <w:jc w:val="center"/>
                    <w:textAlignment w:val="center"/>
                    <w:rPr>
                      <w:rFonts w:hint="default" w:ascii="Times New Roman" w:hAnsi="Times New Roman" w:cs="Times New Roman"/>
                      <w:sz w:val="21"/>
                      <w:szCs w:val="21"/>
                    </w:rPr>
                  </w:pPr>
                </w:p>
              </w:tc>
              <w:tc>
                <w:tcPr>
                  <w:tcW w:w="397" w:type="pct"/>
                  <w:vMerge w:val="continue"/>
                  <w:tcBorders>
                    <w:tl2br w:val="nil"/>
                    <w:tr2bl w:val="nil"/>
                  </w:tcBorders>
                  <w:vAlign w:val="center"/>
                </w:tcPr>
                <w:p w14:paraId="18145834">
                  <w:pPr>
                    <w:spacing w:line="240" w:lineRule="auto"/>
                    <w:ind w:firstLine="0" w:firstLineChars="0"/>
                    <w:jc w:val="center"/>
                    <w:textAlignment w:val="center"/>
                    <w:rPr>
                      <w:rFonts w:hint="default" w:ascii="Times New Roman" w:hAnsi="Times New Roman" w:cs="Times New Roman"/>
                      <w:sz w:val="21"/>
                      <w:szCs w:val="21"/>
                    </w:rPr>
                  </w:pPr>
                </w:p>
              </w:tc>
              <w:tc>
                <w:tcPr>
                  <w:tcW w:w="250" w:type="pct"/>
                  <w:tcBorders>
                    <w:tl2br w:val="nil"/>
                    <w:tr2bl w:val="nil"/>
                  </w:tcBorders>
                  <w:vAlign w:val="center"/>
                </w:tcPr>
                <w:p w14:paraId="6C4CE00E">
                  <w:pPr>
                    <w:adjustRightInd w:val="0"/>
                    <w:spacing w:line="240" w:lineRule="auto"/>
                    <w:ind w:firstLine="0" w:firstLineChars="0"/>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492" w:type="pct"/>
                  <w:tcBorders>
                    <w:tl2br w:val="nil"/>
                    <w:tr2bl w:val="nil"/>
                  </w:tcBorders>
                  <w:vAlign w:val="center"/>
                </w:tcPr>
                <w:p w14:paraId="0D408E21">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-48.55</w:t>
                  </w:r>
                </w:p>
              </w:tc>
              <w:tc>
                <w:tcPr>
                  <w:tcW w:w="515" w:type="pct"/>
                  <w:tcBorders>
                    <w:tl2br w:val="nil"/>
                    <w:tr2bl w:val="nil"/>
                  </w:tcBorders>
                  <w:vAlign w:val="center"/>
                </w:tcPr>
                <w:p w14:paraId="0ECE9CEA">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-656.43</w:t>
                  </w:r>
                </w:p>
              </w:tc>
              <w:tc>
                <w:tcPr>
                  <w:tcW w:w="375" w:type="pct"/>
                  <w:tcBorders>
                    <w:tl2br w:val="nil"/>
                    <w:tr2bl w:val="nil"/>
                  </w:tcBorders>
                  <w:vAlign w:val="center"/>
                </w:tcPr>
                <w:p w14:paraId="06DC179A">
                  <w:pPr>
                    <w:adjustRightInd w:val="0"/>
                    <w:spacing w:line="240" w:lineRule="auto"/>
                    <w:ind w:firstLine="0" w:firstLineChars="0"/>
                    <w:jc w:val="center"/>
                    <w:rPr>
                      <w:rFonts w:hint="default" w:ascii="Times New Roman" w:hAnsi="Times New Roman" w:cs="Times New Roman"/>
                      <w:bCs/>
                      <w:sz w:val="21"/>
                      <w:szCs w:val="21"/>
                      <w:lang w:val="en-US" w:eastAsia="zh-CN"/>
                    </w:rPr>
                  </w:pPr>
                  <w:r>
                    <w:rPr>
                      <w:rFonts w:hint="eastAsia" w:ascii="Times New Roman" w:hAnsi="Times New Roman" w:cs="Times New Roman"/>
                      <w:bCs/>
                      <w:sz w:val="21"/>
                      <w:szCs w:val="21"/>
                      <w:lang w:val="en-US" w:eastAsia="zh-CN"/>
                    </w:rPr>
                    <w:t>1</w:t>
                  </w:r>
                </w:p>
              </w:tc>
              <w:tc>
                <w:tcPr>
                  <w:tcW w:w="633" w:type="pct"/>
                  <w:vMerge w:val="continue"/>
                  <w:tcBorders>
                    <w:tl2br w:val="nil"/>
                    <w:tr2bl w:val="nil"/>
                  </w:tcBorders>
                  <w:vAlign w:val="center"/>
                </w:tcPr>
                <w:p w14:paraId="182CAF1D">
                  <w:pPr>
                    <w:adjustRightInd w:val="0"/>
                    <w:spacing w:line="240" w:lineRule="auto"/>
                    <w:ind w:firstLine="0" w:firstLineChars="0"/>
                    <w:jc w:val="center"/>
                    <w:rPr>
                      <w:rFonts w:hint="default" w:ascii="Times New Roman" w:hAnsi="Times New Roman" w:cs="Times New Roman"/>
                      <w:bCs/>
                      <w:sz w:val="21"/>
                      <w:szCs w:val="21"/>
                    </w:rPr>
                  </w:pPr>
                </w:p>
              </w:tc>
              <w:tc>
                <w:tcPr>
                  <w:tcW w:w="494" w:type="pct"/>
                  <w:vMerge w:val="continue"/>
                  <w:tcBorders>
                    <w:tl2br w:val="nil"/>
                    <w:tr2bl w:val="nil"/>
                  </w:tcBorders>
                  <w:vAlign w:val="center"/>
                </w:tcPr>
                <w:p w14:paraId="770C5189">
                  <w:pPr>
                    <w:adjustRightInd w:val="0"/>
                    <w:spacing w:line="240" w:lineRule="auto"/>
                    <w:ind w:firstLine="0" w:firstLineChars="0"/>
                    <w:jc w:val="center"/>
                    <w:rPr>
                      <w:rFonts w:hint="default" w:ascii="Times New Roman" w:hAnsi="Times New Roman" w:cs="Times New Roman"/>
                      <w:bCs/>
                      <w:sz w:val="21"/>
                      <w:szCs w:val="21"/>
                    </w:rPr>
                  </w:pPr>
                </w:p>
              </w:tc>
              <w:tc>
                <w:tcPr>
                  <w:tcW w:w="674" w:type="pct"/>
                  <w:vMerge w:val="continue"/>
                  <w:tcBorders>
                    <w:tl2br w:val="nil"/>
                    <w:tr2bl w:val="nil"/>
                  </w:tcBorders>
                  <w:vAlign w:val="center"/>
                </w:tcPr>
                <w:p w14:paraId="78E4B625">
                  <w:pPr>
                    <w:widowControl/>
                    <w:adjustRightInd w:val="0"/>
                    <w:spacing w:line="240" w:lineRule="auto"/>
                    <w:ind w:firstLine="0" w:firstLineChars="0"/>
                    <w:jc w:val="center"/>
                    <w:rPr>
                      <w:rFonts w:hint="default" w:ascii="Times New Roman" w:hAnsi="Times New Roman" w:cs="Times New Roman"/>
                      <w:bCs/>
                      <w:sz w:val="21"/>
                      <w:szCs w:val="21"/>
                    </w:rPr>
                  </w:pPr>
                </w:p>
              </w:tc>
            </w:tr>
          </w:tbl>
          <w:p w14:paraId="34B16FFE">
            <w:pPr>
              <w:spacing w:before="120" w:beforeLines="50"/>
              <w:ind w:firstLine="0" w:firstLineChars="0"/>
              <w:jc w:val="left"/>
              <w:rPr>
                <w:szCs w:val="21"/>
              </w:rPr>
            </w:pPr>
            <w:r>
              <w:rPr>
                <w:rFonts w:hint="eastAsia"/>
                <w:b/>
                <w:bCs/>
                <w:szCs w:val="21"/>
              </w:rPr>
              <w:t>3.2噪声预测分析</w:t>
            </w:r>
          </w:p>
          <w:p w14:paraId="4ED1B752">
            <w:pPr>
              <w:autoSpaceDE w:val="0"/>
              <w:autoSpaceDN w:val="0"/>
              <w:adjustRightInd w:val="0"/>
              <w:snapToGrid w:val="0"/>
              <w:ind w:firstLine="480"/>
              <w:rPr>
                <w:szCs w:val="21"/>
              </w:rPr>
            </w:pPr>
            <w:r>
              <w:rPr>
                <w:rFonts w:hint="eastAsia"/>
                <w:szCs w:val="21"/>
              </w:rPr>
              <w:t>根据《环境影响评价技术导则 声环境》（HJ 2.4-2021）中工业噪声预测模式对项目噪声进行预测。根据项目平面布局，结合各噪声设备的空间布置，通过空间距离衰减后，项目噪声排放对最近的厂界影响预测结果见下表。</w:t>
            </w:r>
          </w:p>
          <w:p w14:paraId="783786AD">
            <w:pPr>
              <w:pStyle w:val="379"/>
              <w:keepNext w:val="0"/>
              <w:keepLines w:val="0"/>
              <w:pageBreakBefore w:val="0"/>
              <w:widowControl w:val="0"/>
              <w:kinsoku/>
              <w:wordWrap/>
              <w:overflowPunct/>
              <w:topLinePunct w:val="0"/>
              <w:autoSpaceDE/>
              <w:autoSpaceDN/>
              <w:bidi w:val="0"/>
              <w:adjustRightInd/>
              <w:snapToGrid/>
              <w:spacing w:line="240" w:lineRule="auto"/>
              <w:textAlignment w:val="auto"/>
            </w:pPr>
            <w:r>
              <w:rPr>
                <w:rFonts w:hint="eastAsia"/>
                <w:b/>
                <w:bCs/>
              </w:rPr>
              <w:t>项目噪声预测结果一览表</w:t>
            </w:r>
          </w:p>
          <w:tbl>
            <w:tblPr>
              <w:tblStyle w:val="31"/>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10"/>
              <w:gridCol w:w="746"/>
              <w:gridCol w:w="748"/>
              <w:gridCol w:w="815"/>
              <w:gridCol w:w="879"/>
              <w:gridCol w:w="819"/>
              <w:gridCol w:w="776"/>
              <w:gridCol w:w="682"/>
              <w:gridCol w:w="559"/>
              <w:gridCol w:w="559"/>
              <w:gridCol w:w="542"/>
              <w:gridCol w:w="584"/>
            </w:tblGrid>
            <w:tr w14:paraId="3294D1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0" w:type="pct"/>
                  <w:vMerge w:val="restart"/>
                  <w:tcBorders>
                    <w:tl2br w:val="nil"/>
                    <w:tr2bl w:val="nil"/>
                  </w:tcBorders>
                  <w:vAlign w:val="center"/>
                </w:tcPr>
                <w:p w14:paraId="16792517">
                  <w:pPr>
                    <w:pStyle w:val="385"/>
                    <w:rPr>
                      <w:b/>
                      <w:bCs/>
                    </w:rPr>
                  </w:pPr>
                  <w:r>
                    <w:rPr>
                      <w:b/>
                      <w:bCs/>
                    </w:rPr>
                    <w:t>序号</w:t>
                  </w:r>
                </w:p>
              </w:tc>
              <w:tc>
                <w:tcPr>
                  <w:tcW w:w="909" w:type="pct"/>
                  <w:gridSpan w:val="2"/>
                  <w:vMerge w:val="restart"/>
                  <w:tcBorders>
                    <w:tl2br w:val="nil"/>
                    <w:tr2bl w:val="nil"/>
                  </w:tcBorders>
                  <w:vAlign w:val="center"/>
                </w:tcPr>
                <w:p w14:paraId="1A552B8E">
                  <w:pPr>
                    <w:pStyle w:val="385"/>
                    <w:rPr>
                      <w:b/>
                      <w:bCs/>
                    </w:rPr>
                  </w:pPr>
                  <w:r>
                    <w:rPr>
                      <w:rFonts w:hint="eastAsia"/>
                      <w:b/>
                      <w:bCs/>
                    </w:rPr>
                    <w:t>厂界方位</w:t>
                  </w:r>
                </w:p>
              </w:tc>
              <w:tc>
                <w:tcPr>
                  <w:tcW w:w="496" w:type="pct"/>
                  <w:vMerge w:val="restart"/>
                  <w:tcBorders>
                    <w:tl2br w:val="nil"/>
                    <w:tr2bl w:val="nil"/>
                  </w:tcBorders>
                  <w:vAlign w:val="center"/>
                </w:tcPr>
                <w:p w14:paraId="15E2B820">
                  <w:pPr>
                    <w:pStyle w:val="385"/>
                    <w:rPr>
                      <w:b/>
                      <w:bCs/>
                    </w:rPr>
                  </w:pPr>
                  <w:r>
                    <w:rPr>
                      <w:b/>
                      <w:bCs/>
                      <w:szCs w:val="21"/>
                    </w:rPr>
                    <w:t>距厂界距离/m</w:t>
                  </w:r>
                </w:p>
              </w:tc>
              <w:tc>
                <w:tcPr>
                  <w:tcW w:w="1033" w:type="pct"/>
                  <w:gridSpan w:val="2"/>
                  <w:tcBorders>
                    <w:tl2br w:val="nil"/>
                    <w:tr2bl w:val="nil"/>
                  </w:tcBorders>
                  <w:vAlign w:val="center"/>
                </w:tcPr>
                <w:p w14:paraId="4B6954E8">
                  <w:pPr>
                    <w:pStyle w:val="385"/>
                    <w:rPr>
                      <w:b/>
                      <w:bCs/>
                    </w:rPr>
                  </w:pPr>
                  <w:r>
                    <w:rPr>
                      <w:rFonts w:hint="eastAsia"/>
                      <w:b/>
                      <w:bCs/>
                      <w:lang w:val="en-US" w:eastAsia="zh-CN"/>
                    </w:rPr>
                    <w:t>噪声背景值</w:t>
                  </w:r>
                  <w:r>
                    <w:rPr>
                      <w:rFonts w:hint="eastAsia"/>
                      <w:b/>
                      <w:bCs/>
                    </w:rPr>
                    <w:t>/</w:t>
                  </w:r>
                  <w:r>
                    <w:rPr>
                      <w:b/>
                      <w:bCs/>
                    </w:rPr>
                    <w:t>dB</w:t>
                  </w:r>
                  <w:r>
                    <w:rPr>
                      <w:rFonts w:hint="eastAsia"/>
                      <w:b/>
                      <w:bCs/>
                    </w:rPr>
                    <w:t>（</w:t>
                  </w:r>
                  <w:r>
                    <w:rPr>
                      <w:b/>
                      <w:bCs/>
                    </w:rPr>
                    <w:t>A</w:t>
                  </w:r>
                  <w:r>
                    <w:rPr>
                      <w:rFonts w:hint="eastAsia"/>
                      <w:b/>
                      <w:bCs/>
                    </w:rPr>
                    <w:t>）</w:t>
                  </w:r>
                </w:p>
              </w:tc>
              <w:tc>
                <w:tcPr>
                  <w:tcW w:w="887" w:type="pct"/>
                  <w:gridSpan w:val="2"/>
                  <w:tcBorders>
                    <w:tl2br w:val="nil"/>
                    <w:tr2bl w:val="nil"/>
                  </w:tcBorders>
                  <w:vAlign w:val="center"/>
                </w:tcPr>
                <w:p w14:paraId="1F9DF5F6">
                  <w:pPr>
                    <w:pStyle w:val="385"/>
                    <w:rPr>
                      <w:b/>
                      <w:bCs/>
                    </w:rPr>
                  </w:pPr>
                  <w:r>
                    <w:rPr>
                      <w:b/>
                      <w:bCs/>
                    </w:rPr>
                    <w:t>噪声贡献值dB</w:t>
                  </w:r>
                  <w:r>
                    <w:rPr>
                      <w:rFonts w:hint="eastAsia"/>
                      <w:b/>
                      <w:bCs/>
                    </w:rPr>
                    <w:t>（</w:t>
                  </w:r>
                  <w:r>
                    <w:rPr>
                      <w:b/>
                      <w:bCs/>
                    </w:rPr>
                    <w:t>A</w:t>
                  </w:r>
                  <w:r>
                    <w:rPr>
                      <w:rFonts w:hint="eastAsia"/>
                      <w:b/>
                      <w:bCs/>
                    </w:rPr>
                    <w:t>）</w:t>
                  </w:r>
                </w:p>
              </w:tc>
              <w:tc>
                <w:tcPr>
                  <w:tcW w:w="680" w:type="pct"/>
                  <w:gridSpan w:val="2"/>
                  <w:tcBorders>
                    <w:tl2br w:val="nil"/>
                    <w:tr2bl w:val="nil"/>
                  </w:tcBorders>
                  <w:vAlign w:val="center"/>
                </w:tcPr>
                <w:p w14:paraId="5EE75298">
                  <w:pPr>
                    <w:pStyle w:val="385"/>
                    <w:rPr>
                      <w:rFonts w:hint="eastAsia"/>
                      <w:b/>
                      <w:bCs/>
                      <w:lang w:val="en-US" w:eastAsia="zh-CN"/>
                    </w:rPr>
                  </w:pPr>
                  <w:r>
                    <w:rPr>
                      <w:rFonts w:hint="eastAsia"/>
                      <w:b/>
                      <w:bCs/>
                      <w:lang w:val="en-US" w:eastAsia="zh-CN"/>
                    </w:rPr>
                    <w:t>噪声预测值dB（A）</w:t>
                  </w:r>
                </w:p>
              </w:tc>
              <w:tc>
                <w:tcPr>
                  <w:tcW w:w="681" w:type="pct"/>
                  <w:gridSpan w:val="2"/>
                  <w:tcBorders>
                    <w:tl2br w:val="nil"/>
                    <w:tr2bl w:val="nil"/>
                  </w:tcBorders>
                  <w:vAlign w:val="center"/>
                </w:tcPr>
                <w:p w14:paraId="31E084DB">
                  <w:pPr>
                    <w:pStyle w:val="385"/>
                    <w:rPr>
                      <w:b/>
                      <w:bCs/>
                    </w:rPr>
                  </w:pPr>
                  <w:r>
                    <w:rPr>
                      <w:b/>
                      <w:bCs/>
                    </w:rPr>
                    <w:t>超标和达标情况</w:t>
                  </w:r>
                </w:p>
              </w:tc>
            </w:tr>
            <w:tr w14:paraId="21644E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310" w:type="pct"/>
                  <w:vMerge w:val="continue"/>
                  <w:tcBorders>
                    <w:tl2br w:val="nil"/>
                    <w:tr2bl w:val="nil"/>
                  </w:tcBorders>
                  <w:vAlign w:val="center"/>
                </w:tcPr>
                <w:p w14:paraId="60D86AD2">
                  <w:pPr>
                    <w:pStyle w:val="385"/>
                    <w:rPr>
                      <w:b/>
                      <w:bCs/>
                    </w:rPr>
                  </w:pPr>
                </w:p>
              </w:tc>
              <w:tc>
                <w:tcPr>
                  <w:tcW w:w="909" w:type="pct"/>
                  <w:gridSpan w:val="2"/>
                  <w:vMerge w:val="continue"/>
                  <w:tcBorders>
                    <w:tl2br w:val="nil"/>
                    <w:tr2bl w:val="nil"/>
                  </w:tcBorders>
                  <w:vAlign w:val="center"/>
                </w:tcPr>
                <w:p w14:paraId="2AF70077">
                  <w:pPr>
                    <w:pStyle w:val="385"/>
                    <w:rPr>
                      <w:b/>
                      <w:bCs/>
                    </w:rPr>
                  </w:pPr>
                </w:p>
              </w:tc>
              <w:tc>
                <w:tcPr>
                  <w:tcW w:w="496" w:type="pct"/>
                  <w:vMerge w:val="continue"/>
                  <w:tcBorders>
                    <w:tl2br w:val="nil"/>
                    <w:tr2bl w:val="nil"/>
                  </w:tcBorders>
                  <w:vAlign w:val="center"/>
                </w:tcPr>
                <w:p w14:paraId="0C7D7AF0">
                  <w:pPr>
                    <w:pStyle w:val="385"/>
                    <w:rPr>
                      <w:b/>
                      <w:bCs/>
                    </w:rPr>
                  </w:pPr>
                </w:p>
              </w:tc>
              <w:tc>
                <w:tcPr>
                  <w:tcW w:w="535" w:type="pct"/>
                  <w:tcBorders>
                    <w:tl2br w:val="nil"/>
                    <w:tr2bl w:val="nil"/>
                  </w:tcBorders>
                  <w:vAlign w:val="center"/>
                </w:tcPr>
                <w:p w14:paraId="660040DC">
                  <w:pPr>
                    <w:pStyle w:val="385"/>
                    <w:rPr>
                      <w:b/>
                      <w:bCs/>
                    </w:rPr>
                  </w:pPr>
                  <w:r>
                    <w:rPr>
                      <w:b/>
                      <w:bCs/>
                    </w:rPr>
                    <w:t>昼间</w:t>
                  </w:r>
                </w:p>
              </w:tc>
              <w:tc>
                <w:tcPr>
                  <w:tcW w:w="498" w:type="pct"/>
                  <w:tcBorders>
                    <w:tl2br w:val="nil"/>
                    <w:tr2bl w:val="nil"/>
                  </w:tcBorders>
                  <w:vAlign w:val="center"/>
                </w:tcPr>
                <w:p w14:paraId="16E3E1A7">
                  <w:pPr>
                    <w:pStyle w:val="385"/>
                    <w:rPr>
                      <w:b/>
                      <w:bCs/>
                    </w:rPr>
                  </w:pPr>
                  <w:r>
                    <w:rPr>
                      <w:rFonts w:hint="eastAsia"/>
                      <w:b/>
                      <w:bCs/>
                    </w:rPr>
                    <w:t>夜间</w:t>
                  </w:r>
                </w:p>
              </w:tc>
              <w:tc>
                <w:tcPr>
                  <w:tcW w:w="472" w:type="pct"/>
                  <w:tcBorders>
                    <w:tl2br w:val="nil"/>
                    <w:tr2bl w:val="nil"/>
                  </w:tcBorders>
                  <w:vAlign w:val="center"/>
                </w:tcPr>
                <w:p w14:paraId="57A78EF2">
                  <w:pPr>
                    <w:pStyle w:val="385"/>
                    <w:rPr>
                      <w:b/>
                      <w:bCs/>
                    </w:rPr>
                  </w:pPr>
                  <w:r>
                    <w:rPr>
                      <w:b/>
                      <w:bCs/>
                    </w:rPr>
                    <w:t>昼间</w:t>
                  </w:r>
                </w:p>
              </w:tc>
              <w:tc>
                <w:tcPr>
                  <w:tcW w:w="414" w:type="pct"/>
                  <w:tcBorders>
                    <w:tl2br w:val="nil"/>
                    <w:tr2bl w:val="nil"/>
                  </w:tcBorders>
                  <w:vAlign w:val="center"/>
                </w:tcPr>
                <w:p w14:paraId="1DAB71E2">
                  <w:pPr>
                    <w:pStyle w:val="385"/>
                    <w:rPr>
                      <w:rFonts w:hint="eastAsia" w:eastAsia="宋体"/>
                      <w:b/>
                      <w:bCs/>
                      <w:lang w:val="en-US" w:eastAsia="zh-CN"/>
                    </w:rPr>
                  </w:pPr>
                  <w:r>
                    <w:rPr>
                      <w:rFonts w:hint="eastAsia"/>
                      <w:b/>
                      <w:bCs/>
                      <w:lang w:val="en-US" w:eastAsia="zh-CN"/>
                    </w:rPr>
                    <w:t>夜间</w:t>
                  </w:r>
                </w:p>
              </w:tc>
              <w:tc>
                <w:tcPr>
                  <w:tcW w:w="340" w:type="pct"/>
                  <w:tcBorders>
                    <w:tl2br w:val="nil"/>
                    <w:tr2bl w:val="nil"/>
                  </w:tcBorders>
                  <w:vAlign w:val="center"/>
                </w:tcPr>
                <w:p w14:paraId="1B7D1197">
                  <w:pPr>
                    <w:pStyle w:val="385"/>
                    <w:rPr>
                      <w:rFonts w:hint="eastAsia" w:eastAsia="宋体"/>
                      <w:b/>
                      <w:bCs/>
                      <w:lang w:val="en-US" w:eastAsia="zh-CN"/>
                    </w:rPr>
                  </w:pPr>
                  <w:r>
                    <w:rPr>
                      <w:rFonts w:hint="eastAsia"/>
                      <w:b/>
                      <w:bCs/>
                      <w:lang w:val="en-US" w:eastAsia="zh-CN"/>
                    </w:rPr>
                    <w:t>昼间</w:t>
                  </w:r>
                </w:p>
              </w:tc>
              <w:tc>
                <w:tcPr>
                  <w:tcW w:w="340" w:type="pct"/>
                  <w:tcBorders>
                    <w:tl2br w:val="nil"/>
                    <w:tr2bl w:val="nil"/>
                  </w:tcBorders>
                  <w:vAlign w:val="center"/>
                </w:tcPr>
                <w:p w14:paraId="3736F268">
                  <w:pPr>
                    <w:pStyle w:val="385"/>
                    <w:rPr>
                      <w:rFonts w:hint="eastAsia" w:eastAsia="宋体"/>
                      <w:b/>
                      <w:bCs/>
                      <w:lang w:val="en-US" w:eastAsia="zh-CN"/>
                    </w:rPr>
                  </w:pPr>
                  <w:r>
                    <w:rPr>
                      <w:rFonts w:hint="eastAsia"/>
                      <w:b/>
                      <w:bCs/>
                      <w:lang w:val="en-US" w:eastAsia="zh-CN"/>
                    </w:rPr>
                    <w:t>夜间</w:t>
                  </w:r>
                </w:p>
              </w:tc>
              <w:tc>
                <w:tcPr>
                  <w:tcW w:w="330" w:type="pct"/>
                  <w:tcBorders>
                    <w:tl2br w:val="nil"/>
                    <w:tr2bl w:val="nil"/>
                  </w:tcBorders>
                  <w:shd w:val="clear" w:color="auto" w:fill="auto"/>
                  <w:vAlign w:val="center"/>
                </w:tcPr>
                <w:p w14:paraId="260D1B7F">
                  <w:pPr>
                    <w:pStyle w:val="385"/>
                    <w:rPr>
                      <w:rFonts w:ascii="Times New Roman" w:hAnsi="Times New Roman" w:eastAsia="宋体" w:cs="Times New Roman"/>
                      <w:b/>
                      <w:bCs/>
                      <w:kern w:val="2"/>
                      <w:sz w:val="21"/>
                      <w:szCs w:val="24"/>
                      <w:lang w:val="en-US" w:eastAsia="zh-CN" w:bidi="ar-SA"/>
                    </w:rPr>
                  </w:pPr>
                  <w:r>
                    <w:rPr>
                      <w:b/>
                      <w:bCs/>
                    </w:rPr>
                    <w:t>昼间</w:t>
                  </w:r>
                </w:p>
              </w:tc>
              <w:tc>
                <w:tcPr>
                  <w:tcW w:w="350" w:type="pct"/>
                  <w:tcBorders>
                    <w:tl2br w:val="nil"/>
                    <w:tr2bl w:val="nil"/>
                  </w:tcBorders>
                  <w:vAlign w:val="center"/>
                </w:tcPr>
                <w:p w14:paraId="0804B22B">
                  <w:pPr>
                    <w:pStyle w:val="385"/>
                    <w:rPr>
                      <w:b/>
                      <w:bCs/>
                    </w:rPr>
                  </w:pPr>
                  <w:r>
                    <w:rPr>
                      <w:rFonts w:hint="eastAsia"/>
                      <w:b/>
                      <w:bCs/>
                    </w:rPr>
                    <w:t>夜间</w:t>
                  </w:r>
                </w:p>
              </w:tc>
            </w:tr>
            <w:tr w14:paraId="295148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310" w:type="pct"/>
                  <w:vMerge w:val="restart"/>
                  <w:tcBorders>
                    <w:tl2br w:val="nil"/>
                    <w:tr2bl w:val="nil"/>
                  </w:tcBorders>
                  <w:vAlign w:val="center"/>
                </w:tcPr>
                <w:p w14:paraId="5A84A338">
                  <w:pPr>
                    <w:pStyle w:val="385"/>
                  </w:pPr>
                  <w:r>
                    <w:t>1</w:t>
                  </w:r>
                </w:p>
              </w:tc>
              <w:tc>
                <w:tcPr>
                  <w:tcW w:w="454" w:type="pct"/>
                  <w:vMerge w:val="restart"/>
                  <w:tcBorders>
                    <w:tl2br w:val="nil"/>
                    <w:tr2bl w:val="nil"/>
                  </w:tcBorders>
                  <w:vAlign w:val="center"/>
                </w:tcPr>
                <w:p w14:paraId="73672DC0">
                  <w:pPr>
                    <w:pStyle w:val="385"/>
                  </w:pPr>
                  <w:r>
                    <w:rPr>
                      <w:rFonts w:hint="eastAsia"/>
                      <w:lang w:val="en-US" w:eastAsia="zh-CN"/>
                    </w:rPr>
                    <w:t>北</w:t>
                  </w:r>
                  <w:r>
                    <w:t>厂界</w:t>
                  </w:r>
                </w:p>
              </w:tc>
              <w:tc>
                <w:tcPr>
                  <w:tcW w:w="455" w:type="pct"/>
                  <w:tcBorders>
                    <w:tl2br w:val="nil"/>
                    <w:tr2bl w:val="nil"/>
                  </w:tcBorders>
                  <w:vAlign w:val="center"/>
                </w:tcPr>
                <w:p w14:paraId="5E3DB232">
                  <w:pPr>
                    <w:pStyle w:val="385"/>
                    <w:rPr>
                      <w:rFonts w:hint="eastAsia" w:eastAsia="宋体"/>
                      <w:lang w:val="en-US" w:eastAsia="zh-CN"/>
                    </w:rPr>
                  </w:pPr>
                  <w:r>
                    <w:rPr>
                      <w:rFonts w:hint="eastAsia"/>
                      <w:lang w:val="en-US" w:eastAsia="zh-CN"/>
                    </w:rPr>
                    <w:t>一期</w:t>
                  </w:r>
                </w:p>
              </w:tc>
              <w:tc>
                <w:tcPr>
                  <w:tcW w:w="496" w:type="pct"/>
                  <w:tcBorders>
                    <w:tl2br w:val="nil"/>
                    <w:tr2bl w:val="nil"/>
                  </w:tcBorders>
                  <w:vAlign w:val="center"/>
                </w:tcPr>
                <w:p w14:paraId="16352949">
                  <w:pPr>
                    <w:pStyle w:val="385"/>
                    <w:rPr>
                      <w:rFonts w:hint="default" w:eastAsia="宋体"/>
                      <w:lang w:val="en-US" w:eastAsia="zh-CN"/>
                    </w:rPr>
                  </w:pPr>
                  <w:r>
                    <w:rPr>
                      <w:rFonts w:hint="eastAsia"/>
                      <w:lang w:val="en-US" w:eastAsia="zh-CN"/>
                    </w:rPr>
                    <w:t>1266</w:t>
                  </w:r>
                </w:p>
              </w:tc>
              <w:tc>
                <w:tcPr>
                  <w:tcW w:w="535" w:type="pct"/>
                  <w:vMerge w:val="restart"/>
                  <w:tcBorders>
                    <w:tl2br w:val="nil"/>
                    <w:tr2bl w:val="nil"/>
                  </w:tcBorders>
                  <w:vAlign w:val="center"/>
                </w:tcPr>
                <w:p w14:paraId="462EDE03">
                  <w:pPr>
                    <w:pStyle w:val="385"/>
                    <w:rPr>
                      <w:rFonts w:hint="default" w:eastAsia="宋体"/>
                      <w:lang w:val="en-US" w:eastAsia="zh-CN"/>
                    </w:rPr>
                  </w:pPr>
                  <w:r>
                    <w:rPr>
                      <w:rFonts w:hint="eastAsia"/>
                      <w:lang w:val="en-US" w:eastAsia="zh-CN"/>
                    </w:rPr>
                    <w:t>56.1</w:t>
                  </w:r>
                </w:p>
              </w:tc>
              <w:tc>
                <w:tcPr>
                  <w:tcW w:w="498" w:type="pct"/>
                  <w:vMerge w:val="restart"/>
                  <w:tcBorders>
                    <w:tl2br w:val="nil"/>
                    <w:tr2bl w:val="nil"/>
                  </w:tcBorders>
                  <w:vAlign w:val="center"/>
                </w:tcPr>
                <w:p w14:paraId="6FB6FD9E">
                  <w:pPr>
                    <w:pStyle w:val="385"/>
                    <w:rPr>
                      <w:rFonts w:hint="default" w:eastAsia="宋体"/>
                      <w:lang w:val="en-US" w:eastAsia="zh-CN"/>
                    </w:rPr>
                  </w:pPr>
                  <w:r>
                    <w:rPr>
                      <w:rFonts w:hint="eastAsia"/>
                      <w:lang w:val="en-US" w:eastAsia="zh-CN"/>
                    </w:rPr>
                    <w:t>47.4</w:t>
                  </w:r>
                </w:p>
              </w:tc>
              <w:tc>
                <w:tcPr>
                  <w:tcW w:w="472" w:type="pct"/>
                  <w:vMerge w:val="restart"/>
                  <w:tcBorders>
                    <w:tl2br w:val="nil"/>
                    <w:tr2bl w:val="nil"/>
                  </w:tcBorders>
                  <w:vAlign w:val="center"/>
                </w:tcPr>
                <w:p w14:paraId="162977C5">
                  <w:pPr>
                    <w:pStyle w:val="385"/>
                    <w:rPr>
                      <w:rFonts w:hint="default" w:eastAsia="宋体"/>
                      <w:lang w:val="en-US" w:eastAsia="zh-CN"/>
                    </w:rPr>
                  </w:pPr>
                  <w:r>
                    <w:rPr>
                      <w:rFonts w:hint="eastAsia"/>
                      <w:lang w:val="en-US" w:eastAsia="zh-CN"/>
                    </w:rPr>
                    <w:t>28.94</w:t>
                  </w:r>
                </w:p>
              </w:tc>
              <w:tc>
                <w:tcPr>
                  <w:tcW w:w="414" w:type="pct"/>
                  <w:vMerge w:val="restart"/>
                  <w:tcBorders>
                    <w:tl2br w:val="nil"/>
                    <w:tr2bl w:val="nil"/>
                  </w:tcBorders>
                  <w:vAlign w:val="center"/>
                </w:tcPr>
                <w:p w14:paraId="1AB53AAE">
                  <w:pPr>
                    <w:pStyle w:val="385"/>
                    <w:rPr>
                      <w:rFonts w:hint="default" w:eastAsia="宋体"/>
                      <w:lang w:val="en-US" w:eastAsia="zh-CN"/>
                    </w:rPr>
                  </w:pPr>
                  <w:r>
                    <w:rPr>
                      <w:rFonts w:hint="eastAsia"/>
                      <w:lang w:val="en-US" w:eastAsia="zh-CN"/>
                    </w:rPr>
                    <w:t>28.94</w:t>
                  </w:r>
                </w:p>
              </w:tc>
              <w:tc>
                <w:tcPr>
                  <w:tcW w:w="340" w:type="pct"/>
                  <w:vMerge w:val="restart"/>
                  <w:tcBorders>
                    <w:tl2br w:val="nil"/>
                    <w:tr2bl w:val="nil"/>
                  </w:tcBorders>
                  <w:shd w:val="clear" w:color="auto" w:fill="auto"/>
                  <w:vAlign w:val="center"/>
                </w:tcPr>
                <w:p w14:paraId="2A8BF28A">
                  <w:pPr>
                    <w:pStyle w:val="386"/>
                    <w:keepNext w:val="0"/>
                    <w:keepLines w:val="0"/>
                    <w:pageBreakBefore w:val="0"/>
                    <w:widowControl/>
                    <w:kinsoku/>
                    <w:wordWrap/>
                    <w:overflowPunct/>
                    <w:topLinePunct w:val="0"/>
                    <w:autoSpaceDE/>
                    <w:autoSpaceDN/>
                    <w:bidi w:val="0"/>
                    <w:adjustRightInd/>
                    <w:snapToGrid/>
                    <w:spacing w:before="0" w:line="240" w:lineRule="auto"/>
                    <w:ind w:left="0" w:leftChars="0" w:right="0" w:rightChars="0" w:firstLine="0" w:firstLineChars="0"/>
                    <w:jc w:val="center"/>
                    <w:textAlignment w:val="auto"/>
                    <w:rPr>
                      <w:rFonts w:hint="default"/>
                      <w:sz w:val="21"/>
                      <w:szCs w:val="21"/>
                      <w:lang w:val="en-US" w:eastAsia="zh-CN"/>
                    </w:rPr>
                  </w:pPr>
                  <w:r>
                    <w:rPr>
                      <w:rFonts w:hint="eastAsia"/>
                      <w:sz w:val="21"/>
                      <w:szCs w:val="21"/>
                      <w:lang w:val="en-US" w:eastAsia="zh-CN"/>
                    </w:rPr>
                    <w:t>56.1</w:t>
                  </w:r>
                </w:p>
              </w:tc>
              <w:tc>
                <w:tcPr>
                  <w:tcW w:w="340" w:type="pct"/>
                  <w:vMerge w:val="restart"/>
                  <w:tcBorders>
                    <w:tl2br w:val="nil"/>
                    <w:tr2bl w:val="nil"/>
                  </w:tcBorders>
                  <w:shd w:val="clear" w:color="auto" w:fill="auto"/>
                  <w:vAlign w:val="center"/>
                </w:tcPr>
                <w:p w14:paraId="3BC3D779">
                  <w:pPr>
                    <w:pStyle w:val="386"/>
                    <w:keepNext w:val="0"/>
                    <w:keepLines w:val="0"/>
                    <w:pageBreakBefore w:val="0"/>
                    <w:widowControl/>
                    <w:kinsoku/>
                    <w:wordWrap/>
                    <w:overflowPunct/>
                    <w:topLinePunct w:val="0"/>
                    <w:autoSpaceDE/>
                    <w:autoSpaceDN/>
                    <w:bidi w:val="0"/>
                    <w:adjustRightInd/>
                    <w:snapToGrid/>
                    <w:spacing w:before="0" w:line="240" w:lineRule="auto"/>
                    <w:ind w:left="0" w:leftChars="0" w:right="0" w:rightChars="0" w:firstLine="0" w:firstLineChars="0"/>
                    <w:jc w:val="center"/>
                    <w:textAlignment w:val="auto"/>
                    <w:rPr>
                      <w:rFonts w:hint="default"/>
                      <w:sz w:val="21"/>
                      <w:szCs w:val="21"/>
                      <w:lang w:val="en-US" w:eastAsia="zh-CN"/>
                    </w:rPr>
                  </w:pPr>
                  <w:r>
                    <w:rPr>
                      <w:rFonts w:hint="eastAsia"/>
                      <w:sz w:val="21"/>
                      <w:szCs w:val="21"/>
                      <w:lang w:val="en-US" w:eastAsia="zh-CN"/>
                    </w:rPr>
                    <w:t>47.4</w:t>
                  </w:r>
                </w:p>
              </w:tc>
              <w:tc>
                <w:tcPr>
                  <w:tcW w:w="330" w:type="pct"/>
                  <w:vMerge w:val="restart"/>
                  <w:tcBorders>
                    <w:tl2br w:val="nil"/>
                    <w:tr2bl w:val="nil"/>
                  </w:tcBorders>
                  <w:vAlign w:val="center"/>
                </w:tcPr>
                <w:p w14:paraId="4CAE8A11">
                  <w:pPr>
                    <w:pStyle w:val="385"/>
                    <w:rPr>
                      <w:rFonts w:hint="eastAsia" w:eastAsia="宋体"/>
                      <w:lang w:val="en-US" w:eastAsia="zh-CN"/>
                    </w:rPr>
                  </w:pPr>
                  <w:r>
                    <w:rPr>
                      <w:rFonts w:hint="eastAsia"/>
                      <w:lang w:val="en-US" w:eastAsia="zh-CN"/>
                    </w:rPr>
                    <w:t>达标</w:t>
                  </w:r>
                </w:p>
              </w:tc>
              <w:tc>
                <w:tcPr>
                  <w:tcW w:w="350" w:type="pct"/>
                  <w:vMerge w:val="restart"/>
                  <w:tcBorders>
                    <w:tl2br w:val="nil"/>
                    <w:tr2bl w:val="nil"/>
                  </w:tcBorders>
                  <w:vAlign w:val="center"/>
                </w:tcPr>
                <w:p w14:paraId="2D7730CF">
                  <w:pPr>
                    <w:pStyle w:val="385"/>
                  </w:pPr>
                  <w:r>
                    <w:t>达标</w:t>
                  </w:r>
                </w:p>
              </w:tc>
            </w:tr>
            <w:tr w14:paraId="29A99A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310" w:type="pct"/>
                  <w:vMerge w:val="continue"/>
                  <w:tcBorders>
                    <w:tl2br w:val="nil"/>
                    <w:tr2bl w:val="nil"/>
                  </w:tcBorders>
                  <w:vAlign w:val="center"/>
                </w:tcPr>
                <w:p w14:paraId="4923A6F9">
                  <w:pPr>
                    <w:pStyle w:val="385"/>
                  </w:pPr>
                </w:p>
              </w:tc>
              <w:tc>
                <w:tcPr>
                  <w:tcW w:w="454" w:type="pct"/>
                  <w:vMerge w:val="continue"/>
                  <w:tcBorders>
                    <w:tl2br w:val="nil"/>
                    <w:tr2bl w:val="nil"/>
                  </w:tcBorders>
                  <w:vAlign w:val="center"/>
                </w:tcPr>
                <w:p w14:paraId="71011D7A">
                  <w:pPr>
                    <w:pStyle w:val="385"/>
                  </w:pPr>
                </w:p>
              </w:tc>
              <w:tc>
                <w:tcPr>
                  <w:tcW w:w="455" w:type="pct"/>
                  <w:tcBorders>
                    <w:tl2br w:val="nil"/>
                    <w:tr2bl w:val="nil"/>
                  </w:tcBorders>
                  <w:vAlign w:val="center"/>
                </w:tcPr>
                <w:p w14:paraId="78AB2596">
                  <w:pPr>
                    <w:pStyle w:val="385"/>
                    <w:rPr>
                      <w:rFonts w:hint="default" w:eastAsia="宋体"/>
                      <w:lang w:val="en-US" w:eastAsia="zh-CN"/>
                    </w:rPr>
                  </w:pPr>
                  <w:r>
                    <w:rPr>
                      <w:rFonts w:hint="eastAsia"/>
                      <w:lang w:val="en-US" w:eastAsia="zh-CN"/>
                    </w:rPr>
                    <w:t>二、三期</w:t>
                  </w:r>
                </w:p>
              </w:tc>
              <w:tc>
                <w:tcPr>
                  <w:tcW w:w="496" w:type="pct"/>
                  <w:tcBorders>
                    <w:tl2br w:val="nil"/>
                    <w:tr2bl w:val="nil"/>
                  </w:tcBorders>
                  <w:vAlign w:val="center"/>
                </w:tcPr>
                <w:p w14:paraId="2D4B259C">
                  <w:pPr>
                    <w:pStyle w:val="385"/>
                    <w:rPr>
                      <w:rFonts w:hint="default" w:eastAsia="宋体"/>
                      <w:lang w:val="en-US" w:eastAsia="zh-CN"/>
                    </w:rPr>
                  </w:pPr>
                  <w:r>
                    <w:rPr>
                      <w:rFonts w:hint="eastAsia"/>
                      <w:lang w:val="en-US" w:eastAsia="zh-CN"/>
                    </w:rPr>
                    <w:t>433</w:t>
                  </w:r>
                </w:p>
              </w:tc>
              <w:tc>
                <w:tcPr>
                  <w:tcW w:w="535" w:type="pct"/>
                  <w:vMerge w:val="continue"/>
                  <w:tcBorders>
                    <w:tl2br w:val="nil"/>
                    <w:tr2bl w:val="nil"/>
                  </w:tcBorders>
                  <w:vAlign w:val="center"/>
                </w:tcPr>
                <w:p w14:paraId="1839EEA2">
                  <w:pPr>
                    <w:pStyle w:val="385"/>
                    <w:rPr>
                      <w:rFonts w:hint="eastAsia"/>
                      <w:lang w:val="en-US" w:eastAsia="zh-CN"/>
                    </w:rPr>
                  </w:pPr>
                </w:p>
              </w:tc>
              <w:tc>
                <w:tcPr>
                  <w:tcW w:w="498" w:type="pct"/>
                  <w:vMerge w:val="continue"/>
                  <w:tcBorders>
                    <w:tl2br w:val="nil"/>
                    <w:tr2bl w:val="nil"/>
                  </w:tcBorders>
                  <w:vAlign w:val="center"/>
                </w:tcPr>
                <w:p w14:paraId="096EBEB3">
                  <w:pPr>
                    <w:pStyle w:val="385"/>
                    <w:rPr>
                      <w:rFonts w:hint="eastAsia"/>
                      <w:lang w:val="en-US" w:eastAsia="zh-CN"/>
                    </w:rPr>
                  </w:pPr>
                </w:p>
              </w:tc>
              <w:tc>
                <w:tcPr>
                  <w:tcW w:w="472" w:type="pct"/>
                  <w:vMerge w:val="continue"/>
                  <w:tcBorders>
                    <w:tl2br w:val="nil"/>
                    <w:tr2bl w:val="nil"/>
                  </w:tcBorders>
                  <w:vAlign w:val="center"/>
                </w:tcPr>
                <w:p w14:paraId="28136B87">
                  <w:pPr>
                    <w:pStyle w:val="385"/>
                  </w:pPr>
                </w:p>
              </w:tc>
              <w:tc>
                <w:tcPr>
                  <w:tcW w:w="414" w:type="pct"/>
                  <w:vMerge w:val="continue"/>
                  <w:tcBorders>
                    <w:tl2br w:val="nil"/>
                    <w:tr2bl w:val="nil"/>
                  </w:tcBorders>
                  <w:vAlign w:val="center"/>
                </w:tcPr>
                <w:p w14:paraId="3CDC44B9">
                  <w:pPr>
                    <w:pStyle w:val="385"/>
                  </w:pPr>
                </w:p>
              </w:tc>
              <w:tc>
                <w:tcPr>
                  <w:tcW w:w="340" w:type="pct"/>
                  <w:vMerge w:val="continue"/>
                  <w:tcBorders>
                    <w:tl2br w:val="nil"/>
                    <w:tr2bl w:val="nil"/>
                  </w:tcBorders>
                  <w:vAlign w:val="center"/>
                </w:tcPr>
                <w:p w14:paraId="3BEDFAA2">
                  <w:pPr>
                    <w:pStyle w:val="385"/>
                    <w:rPr>
                      <w:sz w:val="21"/>
                      <w:szCs w:val="21"/>
                    </w:rPr>
                  </w:pPr>
                </w:p>
              </w:tc>
              <w:tc>
                <w:tcPr>
                  <w:tcW w:w="340" w:type="pct"/>
                  <w:vMerge w:val="continue"/>
                  <w:tcBorders>
                    <w:tl2br w:val="nil"/>
                    <w:tr2bl w:val="nil"/>
                  </w:tcBorders>
                  <w:vAlign w:val="center"/>
                </w:tcPr>
                <w:p w14:paraId="7E22FB96">
                  <w:pPr>
                    <w:pStyle w:val="385"/>
                    <w:rPr>
                      <w:sz w:val="21"/>
                      <w:szCs w:val="21"/>
                    </w:rPr>
                  </w:pPr>
                </w:p>
              </w:tc>
              <w:tc>
                <w:tcPr>
                  <w:tcW w:w="330" w:type="pct"/>
                  <w:vMerge w:val="continue"/>
                  <w:tcBorders>
                    <w:tl2br w:val="nil"/>
                    <w:tr2bl w:val="nil"/>
                  </w:tcBorders>
                  <w:vAlign w:val="center"/>
                </w:tcPr>
                <w:p w14:paraId="7E8BF39B">
                  <w:pPr>
                    <w:pStyle w:val="385"/>
                  </w:pPr>
                </w:p>
              </w:tc>
              <w:tc>
                <w:tcPr>
                  <w:tcW w:w="350" w:type="pct"/>
                  <w:vMerge w:val="continue"/>
                  <w:tcBorders>
                    <w:tl2br w:val="nil"/>
                    <w:tr2bl w:val="nil"/>
                  </w:tcBorders>
                  <w:vAlign w:val="center"/>
                </w:tcPr>
                <w:p w14:paraId="2D63BBD6">
                  <w:pPr>
                    <w:pStyle w:val="385"/>
                  </w:pPr>
                </w:p>
              </w:tc>
            </w:tr>
            <w:tr w14:paraId="061233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310" w:type="pct"/>
                  <w:vMerge w:val="restart"/>
                  <w:tcBorders>
                    <w:tl2br w:val="nil"/>
                    <w:tr2bl w:val="nil"/>
                  </w:tcBorders>
                  <w:vAlign w:val="center"/>
                </w:tcPr>
                <w:p w14:paraId="09073B4A">
                  <w:pPr>
                    <w:pStyle w:val="385"/>
                  </w:pPr>
                  <w:r>
                    <w:t>2</w:t>
                  </w:r>
                </w:p>
              </w:tc>
              <w:tc>
                <w:tcPr>
                  <w:tcW w:w="454" w:type="pct"/>
                  <w:vMerge w:val="restart"/>
                  <w:tcBorders>
                    <w:tl2br w:val="nil"/>
                    <w:tr2bl w:val="nil"/>
                  </w:tcBorders>
                  <w:vAlign w:val="center"/>
                </w:tcPr>
                <w:p w14:paraId="6547B331">
                  <w:pPr>
                    <w:pStyle w:val="385"/>
                  </w:pPr>
                  <w:r>
                    <w:t>南厂界</w:t>
                  </w:r>
                </w:p>
              </w:tc>
              <w:tc>
                <w:tcPr>
                  <w:tcW w:w="455" w:type="pct"/>
                  <w:tcBorders>
                    <w:tl2br w:val="nil"/>
                    <w:tr2bl w:val="nil"/>
                  </w:tcBorders>
                  <w:vAlign w:val="center"/>
                </w:tcPr>
                <w:p w14:paraId="5ECBFFF5">
                  <w:pPr>
                    <w:pStyle w:val="385"/>
                    <w:rPr>
                      <w:rFonts w:hint="eastAsia" w:eastAsia="宋体"/>
                      <w:lang w:val="en-US" w:eastAsia="zh-CN"/>
                    </w:rPr>
                  </w:pPr>
                  <w:r>
                    <w:rPr>
                      <w:rFonts w:hint="eastAsia"/>
                      <w:lang w:val="en-US" w:eastAsia="zh-CN"/>
                    </w:rPr>
                    <w:t>一期</w:t>
                  </w:r>
                </w:p>
              </w:tc>
              <w:tc>
                <w:tcPr>
                  <w:tcW w:w="496" w:type="pct"/>
                  <w:tcBorders>
                    <w:tl2br w:val="nil"/>
                    <w:tr2bl w:val="nil"/>
                  </w:tcBorders>
                  <w:vAlign w:val="center"/>
                </w:tcPr>
                <w:p w14:paraId="0D8FF8BC">
                  <w:pPr>
                    <w:pStyle w:val="385"/>
                    <w:rPr>
                      <w:rFonts w:hint="default" w:eastAsia="宋体"/>
                      <w:lang w:val="en-US" w:eastAsia="zh-CN"/>
                    </w:rPr>
                  </w:pPr>
                  <w:r>
                    <w:rPr>
                      <w:rFonts w:hint="eastAsia"/>
                      <w:lang w:val="en-US" w:eastAsia="zh-CN"/>
                    </w:rPr>
                    <w:t>200</w:t>
                  </w:r>
                </w:p>
              </w:tc>
              <w:tc>
                <w:tcPr>
                  <w:tcW w:w="535" w:type="pct"/>
                  <w:vMerge w:val="restart"/>
                  <w:tcBorders>
                    <w:tl2br w:val="nil"/>
                    <w:tr2bl w:val="nil"/>
                  </w:tcBorders>
                  <w:vAlign w:val="center"/>
                </w:tcPr>
                <w:p w14:paraId="192B0704">
                  <w:pPr>
                    <w:pStyle w:val="385"/>
                    <w:rPr>
                      <w:rFonts w:hint="default" w:eastAsia="宋体"/>
                      <w:lang w:val="en-US" w:eastAsia="zh-CN"/>
                    </w:rPr>
                  </w:pPr>
                  <w:r>
                    <w:rPr>
                      <w:rFonts w:hint="eastAsia"/>
                      <w:lang w:val="en-US" w:eastAsia="zh-CN"/>
                    </w:rPr>
                    <w:t>55.5</w:t>
                  </w:r>
                </w:p>
              </w:tc>
              <w:tc>
                <w:tcPr>
                  <w:tcW w:w="498" w:type="pct"/>
                  <w:vMerge w:val="restart"/>
                  <w:tcBorders>
                    <w:tl2br w:val="nil"/>
                    <w:tr2bl w:val="nil"/>
                  </w:tcBorders>
                  <w:vAlign w:val="center"/>
                </w:tcPr>
                <w:p w14:paraId="662B5DFC">
                  <w:pPr>
                    <w:pStyle w:val="385"/>
                    <w:rPr>
                      <w:rFonts w:hint="default" w:eastAsia="宋体"/>
                      <w:lang w:val="en-US" w:eastAsia="zh-CN"/>
                    </w:rPr>
                  </w:pPr>
                  <w:r>
                    <w:rPr>
                      <w:rFonts w:hint="eastAsia"/>
                      <w:lang w:val="en-US" w:eastAsia="zh-CN"/>
                    </w:rPr>
                    <w:t>47.2</w:t>
                  </w:r>
                </w:p>
              </w:tc>
              <w:tc>
                <w:tcPr>
                  <w:tcW w:w="472" w:type="pct"/>
                  <w:vMerge w:val="restart"/>
                  <w:tcBorders>
                    <w:tl2br w:val="nil"/>
                    <w:tr2bl w:val="nil"/>
                  </w:tcBorders>
                  <w:vAlign w:val="center"/>
                </w:tcPr>
                <w:p w14:paraId="03519168">
                  <w:pPr>
                    <w:pStyle w:val="385"/>
                    <w:rPr>
                      <w:rFonts w:hint="default" w:eastAsia="宋体"/>
                      <w:lang w:val="en-US" w:eastAsia="zh-CN"/>
                    </w:rPr>
                  </w:pPr>
                  <w:r>
                    <w:rPr>
                      <w:rFonts w:hint="eastAsia"/>
                      <w:lang w:val="en-US" w:eastAsia="zh-CN"/>
                    </w:rPr>
                    <w:t>39.13</w:t>
                  </w:r>
                </w:p>
              </w:tc>
              <w:tc>
                <w:tcPr>
                  <w:tcW w:w="414" w:type="pct"/>
                  <w:vMerge w:val="restart"/>
                  <w:tcBorders>
                    <w:tl2br w:val="nil"/>
                    <w:tr2bl w:val="nil"/>
                  </w:tcBorders>
                  <w:vAlign w:val="center"/>
                </w:tcPr>
                <w:p w14:paraId="7C7F880E">
                  <w:pPr>
                    <w:pStyle w:val="385"/>
                    <w:rPr>
                      <w:rFonts w:hint="default" w:eastAsia="宋体"/>
                      <w:lang w:val="en-US" w:eastAsia="zh-CN"/>
                    </w:rPr>
                  </w:pPr>
                  <w:r>
                    <w:rPr>
                      <w:rFonts w:hint="eastAsia"/>
                      <w:lang w:val="en-US" w:eastAsia="zh-CN"/>
                    </w:rPr>
                    <w:t>39.13</w:t>
                  </w:r>
                </w:p>
              </w:tc>
              <w:tc>
                <w:tcPr>
                  <w:tcW w:w="340" w:type="pct"/>
                  <w:vMerge w:val="restart"/>
                  <w:tcBorders>
                    <w:tl2br w:val="nil"/>
                    <w:tr2bl w:val="nil"/>
                  </w:tcBorders>
                  <w:shd w:val="clear" w:color="auto" w:fill="auto"/>
                  <w:vAlign w:val="center"/>
                </w:tcPr>
                <w:p w14:paraId="0156A473">
                  <w:pPr>
                    <w:pStyle w:val="385"/>
                    <w:rPr>
                      <w:rFonts w:hint="default" w:eastAsia="宋体"/>
                      <w:sz w:val="21"/>
                      <w:szCs w:val="21"/>
                      <w:lang w:val="en-US" w:eastAsia="zh-CN"/>
                    </w:rPr>
                  </w:pPr>
                  <w:r>
                    <w:rPr>
                      <w:rFonts w:hint="eastAsia"/>
                      <w:sz w:val="21"/>
                      <w:szCs w:val="21"/>
                      <w:lang w:val="en-US" w:eastAsia="zh-CN"/>
                    </w:rPr>
                    <w:t>55.95</w:t>
                  </w:r>
                </w:p>
              </w:tc>
              <w:tc>
                <w:tcPr>
                  <w:tcW w:w="340" w:type="pct"/>
                  <w:vMerge w:val="restart"/>
                  <w:tcBorders>
                    <w:tl2br w:val="nil"/>
                    <w:tr2bl w:val="nil"/>
                  </w:tcBorders>
                  <w:shd w:val="clear" w:color="auto" w:fill="auto"/>
                  <w:vAlign w:val="center"/>
                </w:tcPr>
                <w:p w14:paraId="1C4BA9A1">
                  <w:pPr>
                    <w:pStyle w:val="385"/>
                    <w:rPr>
                      <w:rFonts w:hint="default" w:eastAsia="宋体"/>
                      <w:sz w:val="21"/>
                      <w:szCs w:val="21"/>
                      <w:lang w:val="en-US" w:eastAsia="zh-CN"/>
                    </w:rPr>
                  </w:pPr>
                  <w:r>
                    <w:rPr>
                      <w:rFonts w:hint="eastAsia"/>
                      <w:sz w:val="21"/>
                      <w:szCs w:val="21"/>
                      <w:lang w:val="en-US" w:eastAsia="zh-CN"/>
                    </w:rPr>
                    <w:t>47.9</w:t>
                  </w:r>
                </w:p>
              </w:tc>
              <w:tc>
                <w:tcPr>
                  <w:tcW w:w="330" w:type="pct"/>
                  <w:vMerge w:val="restart"/>
                  <w:tcBorders>
                    <w:tl2br w:val="nil"/>
                    <w:tr2bl w:val="nil"/>
                  </w:tcBorders>
                  <w:vAlign w:val="center"/>
                </w:tcPr>
                <w:p w14:paraId="116E1BF6">
                  <w:pPr>
                    <w:pStyle w:val="385"/>
                    <w:rPr>
                      <w:rFonts w:hint="eastAsia" w:eastAsia="宋体"/>
                      <w:lang w:val="en-US" w:eastAsia="zh-CN"/>
                    </w:rPr>
                  </w:pPr>
                  <w:r>
                    <w:rPr>
                      <w:rFonts w:hint="eastAsia"/>
                      <w:lang w:val="en-US" w:eastAsia="zh-CN"/>
                    </w:rPr>
                    <w:t>达标</w:t>
                  </w:r>
                </w:p>
              </w:tc>
              <w:tc>
                <w:tcPr>
                  <w:tcW w:w="350" w:type="pct"/>
                  <w:vMerge w:val="restart"/>
                  <w:tcBorders>
                    <w:tl2br w:val="nil"/>
                    <w:tr2bl w:val="nil"/>
                  </w:tcBorders>
                  <w:vAlign w:val="center"/>
                </w:tcPr>
                <w:p w14:paraId="516A16E5">
                  <w:pPr>
                    <w:pStyle w:val="385"/>
                  </w:pPr>
                  <w:r>
                    <w:t>达标</w:t>
                  </w:r>
                </w:p>
              </w:tc>
            </w:tr>
            <w:tr w14:paraId="4FA949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310" w:type="pct"/>
                  <w:vMerge w:val="continue"/>
                  <w:tcBorders>
                    <w:tl2br w:val="nil"/>
                    <w:tr2bl w:val="nil"/>
                  </w:tcBorders>
                  <w:vAlign w:val="center"/>
                </w:tcPr>
                <w:p w14:paraId="067CF81A">
                  <w:pPr>
                    <w:pStyle w:val="385"/>
                  </w:pPr>
                </w:p>
              </w:tc>
              <w:tc>
                <w:tcPr>
                  <w:tcW w:w="454" w:type="pct"/>
                  <w:vMerge w:val="continue"/>
                  <w:tcBorders>
                    <w:tl2br w:val="nil"/>
                    <w:tr2bl w:val="nil"/>
                  </w:tcBorders>
                  <w:vAlign w:val="center"/>
                </w:tcPr>
                <w:p w14:paraId="686EB1D5">
                  <w:pPr>
                    <w:pStyle w:val="385"/>
                  </w:pPr>
                </w:p>
              </w:tc>
              <w:tc>
                <w:tcPr>
                  <w:tcW w:w="455" w:type="pct"/>
                  <w:tcBorders>
                    <w:tl2br w:val="nil"/>
                    <w:tr2bl w:val="nil"/>
                  </w:tcBorders>
                  <w:vAlign w:val="center"/>
                </w:tcPr>
                <w:p w14:paraId="188ABF2B">
                  <w:pPr>
                    <w:pStyle w:val="385"/>
                    <w:rPr>
                      <w:rFonts w:hint="default"/>
                      <w:lang w:val="en-US" w:eastAsia="zh-CN"/>
                    </w:rPr>
                  </w:pPr>
                  <w:r>
                    <w:rPr>
                      <w:rFonts w:hint="eastAsia"/>
                      <w:lang w:val="en-US" w:eastAsia="zh-CN"/>
                    </w:rPr>
                    <w:t>二、三期</w:t>
                  </w:r>
                </w:p>
              </w:tc>
              <w:tc>
                <w:tcPr>
                  <w:tcW w:w="496" w:type="pct"/>
                  <w:tcBorders>
                    <w:tl2br w:val="nil"/>
                    <w:tr2bl w:val="nil"/>
                  </w:tcBorders>
                  <w:vAlign w:val="center"/>
                </w:tcPr>
                <w:p w14:paraId="3A9E45D6">
                  <w:pPr>
                    <w:pStyle w:val="385"/>
                    <w:rPr>
                      <w:rFonts w:hint="default" w:eastAsia="宋体"/>
                      <w:lang w:val="en-US" w:eastAsia="zh-CN"/>
                    </w:rPr>
                  </w:pPr>
                  <w:r>
                    <w:rPr>
                      <w:rFonts w:hint="eastAsia"/>
                      <w:lang w:val="en-US" w:eastAsia="zh-CN"/>
                    </w:rPr>
                    <w:t>1065</w:t>
                  </w:r>
                </w:p>
              </w:tc>
              <w:tc>
                <w:tcPr>
                  <w:tcW w:w="535" w:type="pct"/>
                  <w:vMerge w:val="continue"/>
                  <w:tcBorders>
                    <w:tl2br w:val="nil"/>
                    <w:tr2bl w:val="nil"/>
                  </w:tcBorders>
                  <w:vAlign w:val="center"/>
                </w:tcPr>
                <w:p w14:paraId="05D276BD">
                  <w:pPr>
                    <w:pStyle w:val="385"/>
                    <w:rPr>
                      <w:rFonts w:hint="eastAsia"/>
                      <w:lang w:val="en-US" w:eastAsia="zh-CN"/>
                    </w:rPr>
                  </w:pPr>
                </w:p>
              </w:tc>
              <w:tc>
                <w:tcPr>
                  <w:tcW w:w="498" w:type="pct"/>
                  <w:vMerge w:val="continue"/>
                  <w:tcBorders>
                    <w:tl2br w:val="nil"/>
                    <w:tr2bl w:val="nil"/>
                  </w:tcBorders>
                  <w:vAlign w:val="center"/>
                </w:tcPr>
                <w:p w14:paraId="4688B17E">
                  <w:pPr>
                    <w:pStyle w:val="385"/>
                    <w:rPr>
                      <w:rFonts w:hint="eastAsia"/>
                      <w:lang w:val="en-US" w:eastAsia="zh-CN"/>
                    </w:rPr>
                  </w:pPr>
                </w:p>
              </w:tc>
              <w:tc>
                <w:tcPr>
                  <w:tcW w:w="472" w:type="pct"/>
                  <w:vMerge w:val="continue"/>
                  <w:tcBorders>
                    <w:tl2br w:val="nil"/>
                    <w:tr2bl w:val="nil"/>
                  </w:tcBorders>
                  <w:vAlign w:val="center"/>
                </w:tcPr>
                <w:p w14:paraId="60BF1A67">
                  <w:pPr>
                    <w:pStyle w:val="385"/>
                  </w:pPr>
                </w:p>
              </w:tc>
              <w:tc>
                <w:tcPr>
                  <w:tcW w:w="414" w:type="pct"/>
                  <w:vMerge w:val="continue"/>
                  <w:tcBorders>
                    <w:tl2br w:val="nil"/>
                    <w:tr2bl w:val="nil"/>
                  </w:tcBorders>
                  <w:vAlign w:val="center"/>
                </w:tcPr>
                <w:p w14:paraId="6BC40C9A">
                  <w:pPr>
                    <w:pStyle w:val="385"/>
                  </w:pPr>
                </w:p>
              </w:tc>
              <w:tc>
                <w:tcPr>
                  <w:tcW w:w="340" w:type="pct"/>
                  <w:vMerge w:val="continue"/>
                  <w:tcBorders>
                    <w:tl2br w:val="nil"/>
                    <w:tr2bl w:val="nil"/>
                  </w:tcBorders>
                  <w:vAlign w:val="center"/>
                </w:tcPr>
                <w:p w14:paraId="553D3269">
                  <w:pPr>
                    <w:pStyle w:val="385"/>
                    <w:rPr>
                      <w:sz w:val="21"/>
                      <w:szCs w:val="21"/>
                    </w:rPr>
                  </w:pPr>
                </w:p>
              </w:tc>
              <w:tc>
                <w:tcPr>
                  <w:tcW w:w="340" w:type="pct"/>
                  <w:vMerge w:val="continue"/>
                  <w:tcBorders>
                    <w:tl2br w:val="nil"/>
                    <w:tr2bl w:val="nil"/>
                  </w:tcBorders>
                  <w:vAlign w:val="center"/>
                </w:tcPr>
                <w:p w14:paraId="22F733F8">
                  <w:pPr>
                    <w:pStyle w:val="385"/>
                    <w:rPr>
                      <w:sz w:val="21"/>
                      <w:szCs w:val="21"/>
                    </w:rPr>
                  </w:pPr>
                </w:p>
              </w:tc>
              <w:tc>
                <w:tcPr>
                  <w:tcW w:w="330" w:type="pct"/>
                  <w:vMerge w:val="continue"/>
                  <w:tcBorders>
                    <w:tl2br w:val="nil"/>
                    <w:tr2bl w:val="nil"/>
                  </w:tcBorders>
                  <w:vAlign w:val="center"/>
                </w:tcPr>
                <w:p w14:paraId="1B5CB5BD">
                  <w:pPr>
                    <w:pStyle w:val="385"/>
                  </w:pPr>
                </w:p>
              </w:tc>
              <w:tc>
                <w:tcPr>
                  <w:tcW w:w="350" w:type="pct"/>
                  <w:vMerge w:val="continue"/>
                  <w:tcBorders>
                    <w:tl2br w:val="nil"/>
                    <w:tr2bl w:val="nil"/>
                  </w:tcBorders>
                  <w:vAlign w:val="center"/>
                </w:tcPr>
                <w:p w14:paraId="70511BEB">
                  <w:pPr>
                    <w:pStyle w:val="385"/>
                  </w:pPr>
                </w:p>
              </w:tc>
            </w:tr>
            <w:tr w14:paraId="4D9B5D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310" w:type="pct"/>
                  <w:vMerge w:val="restart"/>
                  <w:tcBorders>
                    <w:tl2br w:val="nil"/>
                    <w:tr2bl w:val="nil"/>
                  </w:tcBorders>
                  <w:vAlign w:val="center"/>
                </w:tcPr>
                <w:p w14:paraId="446A4E02">
                  <w:pPr>
                    <w:pStyle w:val="385"/>
                  </w:pPr>
                  <w:r>
                    <w:t>3</w:t>
                  </w:r>
                </w:p>
              </w:tc>
              <w:tc>
                <w:tcPr>
                  <w:tcW w:w="454" w:type="pct"/>
                  <w:vMerge w:val="restart"/>
                  <w:tcBorders>
                    <w:tl2br w:val="nil"/>
                    <w:tr2bl w:val="nil"/>
                  </w:tcBorders>
                  <w:vAlign w:val="center"/>
                </w:tcPr>
                <w:p w14:paraId="25322B2D">
                  <w:pPr>
                    <w:pStyle w:val="385"/>
                  </w:pPr>
                  <w:r>
                    <w:t>西厂界</w:t>
                  </w:r>
                </w:p>
              </w:tc>
              <w:tc>
                <w:tcPr>
                  <w:tcW w:w="455" w:type="pct"/>
                  <w:tcBorders>
                    <w:tl2br w:val="nil"/>
                    <w:tr2bl w:val="nil"/>
                  </w:tcBorders>
                  <w:vAlign w:val="center"/>
                </w:tcPr>
                <w:p w14:paraId="57D5070C">
                  <w:pPr>
                    <w:pStyle w:val="385"/>
                    <w:rPr>
                      <w:rFonts w:hint="default"/>
                      <w:lang w:val="en-US" w:eastAsia="zh-CN"/>
                    </w:rPr>
                  </w:pPr>
                  <w:r>
                    <w:rPr>
                      <w:rFonts w:hint="eastAsia"/>
                      <w:lang w:val="en-US" w:eastAsia="zh-CN"/>
                    </w:rPr>
                    <w:t>一期</w:t>
                  </w:r>
                </w:p>
              </w:tc>
              <w:tc>
                <w:tcPr>
                  <w:tcW w:w="496" w:type="pct"/>
                  <w:tcBorders>
                    <w:tl2br w:val="nil"/>
                    <w:tr2bl w:val="nil"/>
                  </w:tcBorders>
                  <w:vAlign w:val="center"/>
                </w:tcPr>
                <w:p w14:paraId="58D91A31">
                  <w:pPr>
                    <w:pStyle w:val="385"/>
                    <w:rPr>
                      <w:rFonts w:hint="default" w:eastAsia="宋体"/>
                      <w:lang w:val="en-US" w:eastAsia="zh-CN"/>
                    </w:rPr>
                  </w:pPr>
                  <w:r>
                    <w:rPr>
                      <w:rFonts w:hint="eastAsia"/>
                      <w:lang w:val="en-US" w:eastAsia="zh-CN"/>
                    </w:rPr>
                    <w:t>686</w:t>
                  </w:r>
                </w:p>
              </w:tc>
              <w:tc>
                <w:tcPr>
                  <w:tcW w:w="535" w:type="pct"/>
                  <w:vMerge w:val="restart"/>
                  <w:tcBorders>
                    <w:tl2br w:val="nil"/>
                    <w:tr2bl w:val="nil"/>
                  </w:tcBorders>
                  <w:vAlign w:val="center"/>
                </w:tcPr>
                <w:p w14:paraId="0B8BDC02">
                  <w:pPr>
                    <w:pStyle w:val="385"/>
                    <w:rPr>
                      <w:rFonts w:hint="default" w:eastAsia="宋体"/>
                      <w:lang w:val="en-US" w:eastAsia="zh-CN"/>
                    </w:rPr>
                  </w:pPr>
                  <w:r>
                    <w:rPr>
                      <w:rFonts w:hint="eastAsia"/>
                      <w:lang w:val="en-US" w:eastAsia="zh-CN"/>
                    </w:rPr>
                    <w:t>55.2</w:t>
                  </w:r>
                </w:p>
              </w:tc>
              <w:tc>
                <w:tcPr>
                  <w:tcW w:w="498" w:type="pct"/>
                  <w:vMerge w:val="restart"/>
                  <w:tcBorders>
                    <w:tl2br w:val="nil"/>
                    <w:tr2bl w:val="nil"/>
                  </w:tcBorders>
                  <w:vAlign w:val="center"/>
                </w:tcPr>
                <w:p w14:paraId="24F58887">
                  <w:pPr>
                    <w:pStyle w:val="385"/>
                    <w:rPr>
                      <w:rFonts w:hint="default" w:eastAsia="宋体"/>
                      <w:lang w:val="en-US" w:eastAsia="zh-CN"/>
                    </w:rPr>
                  </w:pPr>
                  <w:r>
                    <w:rPr>
                      <w:rFonts w:hint="eastAsia"/>
                      <w:lang w:val="en-US" w:eastAsia="zh-CN"/>
                    </w:rPr>
                    <w:t>48.2</w:t>
                  </w:r>
                </w:p>
              </w:tc>
              <w:tc>
                <w:tcPr>
                  <w:tcW w:w="472" w:type="pct"/>
                  <w:vMerge w:val="restart"/>
                  <w:tcBorders>
                    <w:tl2br w:val="nil"/>
                    <w:tr2bl w:val="nil"/>
                  </w:tcBorders>
                  <w:vAlign w:val="center"/>
                </w:tcPr>
                <w:p w14:paraId="049B6D52">
                  <w:pPr>
                    <w:pStyle w:val="385"/>
                    <w:rPr>
                      <w:rFonts w:hint="default" w:eastAsia="宋体"/>
                      <w:lang w:val="en-US" w:eastAsia="zh-CN"/>
                    </w:rPr>
                  </w:pPr>
                  <w:r>
                    <w:rPr>
                      <w:rFonts w:hint="eastAsia"/>
                      <w:lang w:val="en-US" w:eastAsia="zh-CN"/>
                    </w:rPr>
                    <w:t>29.82</w:t>
                  </w:r>
                </w:p>
              </w:tc>
              <w:tc>
                <w:tcPr>
                  <w:tcW w:w="414" w:type="pct"/>
                  <w:vMerge w:val="restart"/>
                  <w:tcBorders>
                    <w:tl2br w:val="nil"/>
                    <w:tr2bl w:val="nil"/>
                  </w:tcBorders>
                  <w:vAlign w:val="center"/>
                </w:tcPr>
                <w:p w14:paraId="531EC665">
                  <w:pPr>
                    <w:pStyle w:val="385"/>
                    <w:rPr>
                      <w:rFonts w:hint="default" w:eastAsia="宋体"/>
                      <w:lang w:val="en-US" w:eastAsia="zh-CN"/>
                    </w:rPr>
                  </w:pPr>
                  <w:r>
                    <w:rPr>
                      <w:rFonts w:hint="eastAsia"/>
                      <w:lang w:val="en-US" w:eastAsia="zh-CN"/>
                    </w:rPr>
                    <w:t>29.82</w:t>
                  </w:r>
                </w:p>
              </w:tc>
              <w:tc>
                <w:tcPr>
                  <w:tcW w:w="340" w:type="pct"/>
                  <w:vMerge w:val="restart"/>
                  <w:tcBorders>
                    <w:tl2br w:val="nil"/>
                    <w:tr2bl w:val="nil"/>
                  </w:tcBorders>
                  <w:shd w:val="clear" w:color="auto" w:fill="auto"/>
                  <w:vAlign w:val="center"/>
                </w:tcPr>
                <w:p w14:paraId="776ABDB5">
                  <w:pPr>
                    <w:pStyle w:val="385"/>
                    <w:rPr>
                      <w:rFonts w:hint="default" w:eastAsia="宋体"/>
                      <w:sz w:val="21"/>
                      <w:szCs w:val="21"/>
                      <w:lang w:val="en-US" w:eastAsia="zh-CN"/>
                    </w:rPr>
                  </w:pPr>
                  <w:r>
                    <w:rPr>
                      <w:rFonts w:hint="eastAsia"/>
                      <w:sz w:val="21"/>
                      <w:szCs w:val="21"/>
                      <w:lang w:val="en-US" w:eastAsia="zh-CN"/>
                    </w:rPr>
                    <w:t>55.62</w:t>
                  </w:r>
                </w:p>
              </w:tc>
              <w:tc>
                <w:tcPr>
                  <w:tcW w:w="340" w:type="pct"/>
                  <w:vMerge w:val="restart"/>
                  <w:tcBorders>
                    <w:tl2br w:val="nil"/>
                    <w:tr2bl w:val="nil"/>
                  </w:tcBorders>
                  <w:shd w:val="clear" w:color="auto" w:fill="auto"/>
                  <w:vAlign w:val="center"/>
                </w:tcPr>
                <w:p w14:paraId="2FDA91BB">
                  <w:pPr>
                    <w:pStyle w:val="385"/>
                    <w:rPr>
                      <w:rFonts w:hint="default" w:eastAsia="宋体"/>
                      <w:sz w:val="21"/>
                      <w:szCs w:val="21"/>
                      <w:lang w:val="en-US" w:eastAsia="zh-CN"/>
                    </w:rPr>
                  </w:pPr>
                  <w:r>
                    <w:rPr>
                      <w:rFonts w:hint="eastAsia"/>
                      <w:sz w:val="21"/>
                      <w:szCs w:val="21"/>
                      <w:lang w:val="en-US" w:eastAsia="zh-CN"/>
                    </w:rPr>
                    <w:t>48.2</w:t>
                  </w:r>
                </w:p>
              </w:tc>
              <w:tc>
                <w:tcPr>
                  <w:tcW w:w="330" w:type="pct"/>
                  <w:vMerge w:val="restart"/>
                  <w:tcBorders>
                    <w:tl2br w:val="nil"/>
                    <w:tr2bl w:val="nil"/>
                  </w:tcBorders>
                  <w:vAlign w:val="center"/>
                </w:tcPr>
                <w:p w14:paraId="51FD75B4">
                  <w:pPr>
                    <w:pStyle w:val="385"/>
                    <w:rPr>
                      <w:rFonts w:hint="eastAsia" w:eastAsia="宋体"/>
                      <w:lang w:val="en-US" w:eastAsia="zh-CN"/>
                    </w:rPr>
                  </w:pPr>
                  <w:r>
                    <w:rPr>
                      <w:rFonts w:hint="eastAsia"/>
                      <w:lang w:val="en-US" w:eastAsia="zh-CN"/>
                    </w:rPr>
                    <w:t>达标</w:t>
                  </w:r>
                </w:p>
              </w:tc>
              <w:tc>
                <w:tcPr>
                  <w:tcW w:w="350" w:type="pct"/>
                  <w:vMerge w:val="restart"/>
                  <w:tcBorders>
                    <w:tl2br w:val="nil"/>
                    <w:tr2bl w:val="nil"/>
                  </w:tcBorders>
                  <w:vAlign w:val="center"/>
                </w:tcPr>
                <w:p w14:paraId="17200F48">
                  <w:pPr>
                    <w:pStyle w:val="385"/>
                  </w:pPr>
                  <w:r>
                    <w:t>达标</w:t>
                  </w:r>
                </w:p>
              </w:tc>
            </w:tr>
            <w:tr w14:paraId="513D85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310" w:type="pct"/>
                  <w:vMerge w:val="continue"/>
                  <w:tcBorders>
                    <w:tl2br w:val="nil"/>
                    <w:tr2bl w:val="nil"/>
                  </w:tcBorders>
                  <w:vAlign w:val="center"/>
                </w:tcPr>
                <w:p w14:paraId="125A683B">
                  <w:pPr>
                    <w:pStyle w:val="385"/>
                  </w:pPr>
                </w:p>
              </w:tc>
              <w:tc>
                <w:tcPr>
                  <w:tcW w:w="454" w:type="pct"/>
                  <w:vMerge w:val="continue"/>
                  <w:tcBorders>
                    <w:tl2br w:val="nil"/>
                    <w:tr2bl w:val="nil"/>
                  </w:tcBorders>
                  <w:vAlign w:val="center"/>
                </w:tcPr>
                <w:p w14:paraId="07BA2832">
                  <w:pPr>
                    <w:pStyle w:val="385"/>
                  </w:pPr>
                </w:p>
              </w:tc>
              <w:tc>
                <w:tcPr>
                  <w:tcW w:w="455" w:type="pct"/>
                  <w:tcBorders>
                    <w:tl2br w:val="nil"/>
                    <w:tr2bl w:val="nil"/>
                  </w:tcBorders>
                  <w:vAlign w:val="center"/>
                </w:tcPr>
                <w:p w14:paraId="1DD6A1BC">
                  <w:pPr>
                    <w:pStyle w:val="385"/>
                    <w:rPr>
                      <w:rFonts w:hint="default" w:eastAsia="宋体"/>
                      <w:lang w:val="en-US" w:eastAsia="zh-CN"/>
                    </w:rPr>
                  </w:pPr>
                  <w:r>
                    <w:rPr>
                      <w:rFonts w:hint="eastAsia"/>
                      <w:lang w:val="en-US" w:eastAsia="zh-CN"/>
                    </w:rPr>
                    <w:t>二、三期</w:t>
                  </w:r>
                </w:p>
              </w:tc>
              <w:tc>
                <w:tcPr>
                  <w:tcW w:w="496" w:type="pct"/>
                  <w:tcBorders>
                    <w:tl2br w:val="nil"/>
                    <w:tr2bl w:val="nil"/>
                  </w:tcBorders>
                  <w:vAlign w:val="center"/>
                </w:tcPr>
                <w:p w14:paraId="441A46BC">
                  <w:pPr>
                    <w:pStyle w:val="385"/>
                    <w:rPr>
                      <w:rFonts w:hint="default" w:eastAsia="宋体"/>
                      <w:lang w:val="en-US" w:eastAsia="zh-CN"/>
                    </w:rPr>
                  </w:pPr>
                  <w:r>
                    <w:rPr>
                      <w:rFonts w:hint="eastAsia"/>
                      <w:lang w:val="en-US" w:eastAsia="zh-CN"/>
                    </w:rPr>
                    <w:t>458</w:t>
                  </w:r>
                </w:p>
              </w:tc>
              <w:tc>
                <w:tcPr>
                  <w:tcW w:w="535" w:type="pct"/>
                  <w:vMerge w:val="continue"/>
                  <w:tcBorders>
                    <w:tl2br w:val="nil"/>
                    <w:tr2bl w:val="nil"/>
                  </w:tcBorders>
                  <w:vAlign w:val="center"/>
                </w:tcPr>
                <w:p w14:paraId="7E236D9B">
                  <w:pPr>
                    <w:pStyle w:val="385"/>
                    <w:rPr>
                      <w:rFonts w:hint="default" w:eastAsia="宋体"/>
                      <w:lang w:val="en-US" w:eastAsia="zh-CN"/>
                    </w:rPr>
                  </w:pPr>
                </w:p>
              </w:tc>
              <w:tc>
                <w:tcPr>
                  <w:tcW w:w="498" w:type="pct"/>
                  <w:vMerge w:val="continue"/>
                  <w:tcBorders>
                    <w:tl2br w:val="nil"/>
                    <w:tr2bl w:val="nil"/>
                  </w:tcBorders>
                  <w:vAlign w:val="center"/>
                </w:tcPr>
                <w:p w14:paraId="566F0D88">
                  <w:pPr>
                    <w:pStyle w:val="385"/>
                    <w:rPr>
                      <w:rFonts w:hint="default" w:eastAsia="宋体"/>
                      <w:lang w:val="en-US" w:eastAsia="zh-CN"/>
                    </w:rPr>
                  </w:pPr>
                </w:p>
              </w:tc>
              <w:tc>
                <w:tcPr>
                  <w:tcW w:w="472" w:type="pct"/>
                  <w:vMerge w:val="continue"/>
                  <w:tcBorders>
                    <w:tl2br w:val="nil"/>
                    <w:tr2bl w:val="nil"/>
                  </w:tcBorders>
                  <w:vAlign w:val="center"/>
                </w:tcPr>
                <w:p w14:paraId="7AD5A094">
                  <w:pPr>
                    <w:pStyle w:val="385"/>
                  </w:pPr>
                </w:p>
              </w:tc>
              <w:tc>
                <w:tcPr>
                  <w:tcW w:w="414" w:type="pct"/>
                  <w:vMerge w:val="continue"/>
                  <w:tcBorders>
                    <w:tl2br w:val="nil"/>
                    <w:tr2bl w:val="nil"/>
                  </w:tcBorders>
                  <w:vAlign w:val="center"/>
                </w:tcPr>
                <w:p w14:paraId="3A2300CA">
                  <w:pPr>
                    <w:pStyle w:val="385"/>
                  </w:pPr>
                </w:p>
              </w:tc>
              <w:tc>
                <w:tcPr>
                  <w:tcW w:w="340" w:type="pct"/>
                  <w:vMerge w:val="continue"/>
                  <w:tcBorders>
                    <w:tl2br w:val="nil"/>
                    <w:tr2bl w:val="nil"/>
                  </w:tcBorders>
                  <w:vAlign w:val="center"/>
                </w:tcPr>
                <w:p w14:paraId="0BECFC3C">
                  <w:pPr>
                    <w:pStyle w:val="385"/>
                    <w:rPr>
                      <w:sz w:val="21"/>
                      <w:szCs w:val="21"/>
                    </w:rPr>
                  </w:pPr>
                </w:p>
              </w:tc>
              <w:tc>
                <w:tcPr>
                  <w:tcW w:w="340" w:type="pct"/>
                  <w:vMerge w:val="continue"/>
                  <w:tcBorders>
                    <w:tl2br w:val="nil"/>
                    <w:tr2bl w:val="nil"/>
                  </w:tcBorders>
                  <w:vAlign w:val="center"/>
                </w:tcPr>
                <w:p w14:paraId="601A4844">
                  <w:pPr>
                    <w:pStyle w:val="385"/>
                    <w:rPr>
                      <w:sz w:val="21"/>
                      <w:szCs w:val="21"/>
                    </w:rPr>
                  </w:pPr>
                </w:p>
              </w:tc>
              <w:tc>
                <w:tcPr>
                  <w:tcW w:w="330" w:type="pct"/>
                  <w:vMerge w:val="continue"/>
                  <w:tcBorders>
                    <w:tl2br w:val="nil"/>
                    <w:tr2bl w:val="nil"/>
                  </w:tcBorders>
                  <w:vAlign w:val="center"/>
                </w:tcPr>
                <w:p w14:paraId="2A21BE34">
                  <w:pPr>
                    <w:pStyle w:val="385"/>
                  </w:pPr>
                </w:p>
              </w:tc>
              <w:tc>
                <w:tcPr>
                  <w:tcW w:w="350" w:type="pct"/>
                  <w:vMerge w:val="continue"/>
                  <w:tcBorders>
                    <w:tl2br w:val="nil"/>
                    <w:tr2bl w:val="nil"/>
                  </w:tcBorders>
                  <w:vAlign w:val="center"/>
                </w:tcPr>
                <w:p w14:paraId="4450E35A">
                  <w:pPr>
                    <w:pStyle w:val="385"/>
                  </w:pPr>
                </w:p>
              </w:tc>
            </w:tr>
            <w:tr w14:paraId="4E0651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310" w:type="pct"/>
                  <w:vMerge w:val="restart"/>
                  <w:tcBorders>
                    <w:tl2br w:val="nil"/>
                    <w:tr2bl w:val="nil"/>
                  </w:tcBorders>
                  <w:vAlign w:val="center"/>
                </w:tcPr>
                <w:p w14:paraId="395FBD13">
                  <w:pPr>
                    <w:pStyle w:val="385"/>
                  </w:pPr>
                  <w:r>
                    <w:t>4</w:t>
                  </w:r>
                </w:p>
              </w:tc>
              <w:tc>
                <w:tcPr>
                  <w:tcW w:w="454" w:type="pct"/>
                  <w:vMerge w:val="restart"/>
                  <w:tcBorders>
                    <w:tl2br w:val="nil"/>
                    <w:tr2bl w:val="nil"/>
                  </w:tcBorders>
                  <w:vAlign w:val="center"/>
                </w:tcPr>
                <w:p w14:paraId="78A9BB3E">
                  <w:pPr>
                    <w:pStyle w:val="385"/>
                  </w:pPr>
                  <w:r>
                    <w:rPr>
                      <w:rFonts w:hint="eastAsia"/>
                      <w:lang w:val="en-US" w:eastAsia="zh-CN"/>
                    </w:rPr>
                    <w:t>东</w:t>
                  </w:r>
                  <w:r>
                    <w:t>厂界</w:t>
                  </w:r>
                </w:p>
              </w:tc>
              <w:tc>
                <w:tcPr>
                  <w:tcW w:w="455" w:type="pct"/>
                  <w:tcBorders>
                    <w:tl2br w:val="nil"/>
                    <w:tr2bl w:val="nil"/>
                  </w:tcBorders>
                  <w:vAlign w:val="center"/>
                </w:tcPr>
                <w:p w14:paraId="7F28E7BF">
                  <w:pPr>
                    <w:pStyle w:val="385"/>
                    <w:rPr>
                      <w:rFonts w:hint="eastAsia" w:eastAsia="宋体"/>
                      <w:lang w:val="en-US" w:eastAsia="zh-CN"/>
                    </w:rPr>
                  </w:pPr>
                  <w:r>
                    <w:rPr>
                      <w:rFonts w:hint="eastAsia"/>
                      <w:lang w:val="en-US" w:eastAsia="zh-CN"/>
                    </w:rPr>
                    <w:t>一期</w:t>
                  </w:r>
                </w:p>
              </w:tc>
              <w:tc>
                <w:tcPr>
                  <w:tcW w:w="496" w:type="pct"/>
                  <w:tcBorders>
                    <w:tl2br w:val="nil"/>
                    <w:tr2bl w:val="nil"/>
                  </w:tcBorders>
                  <w:vAlign w:val="center"/>
                </w:tcPr>
                <w:p w14:paraId="52F3D401">
                  <w:pPr>
                    <w:pStyle w:val="385"/>
                    <w:rPr>
                      <w:rFonts w:hint="eastAsia" w:eastAsia="宋体"/>
                      <w:lang w:val="en-US" w:eastAsia="zh-CN"/>
                    </w:rPr>
                  </w:pPr>
                  <w:r>
                    <w:rPr>
                      <w:rFonts w:hint="eastAsia"/>
                      <w:lang w:val="en-US" w:eastAsia="zh-CN"/>
                    </w:rPr>
                    <w:t>1</w:t>
                  </w:r>
                </w:p>
              </w:tc>
              <w:tc>
                <w:tcPr>
                  <w:tcW w:w="535" w:type="pct"/>
                  <w:vMerge w:val="restart"/>
                  <w:tcBorders>
                    <w:tl2br w:val="nil"/>
                    <w:tr2bl w:val="nil"/>
                  </w:tcBorders>
                  <w:vAlign w:val="center"/>
                </w:tcPr>
                <w:p w14:paraId="27A0A036">
                  <w:pPr>
                    <w:pStyle w:val="385"/>
                    <w:rPr>
                      <w:rFonts w:hint="default" w:eastAsia="宋体"/>
                      <w:lang w:val="en-US" w:eastAsia="zh-CN"/>
                    </w:rPr>
                  </w:pPr>
                  <w:r>
                    <w:rPr>
                      <w:rFonts w:hint="eastAsia"/>
                      <w:lang w:val="en-US" w:eastAsia="zh-CN"/>
                    </w:rPr>
                    <w:t>57.8</w:t>
                  </w:r>
                </w:p>
              </w:tc>
              <w:tc>
                <w:tcPr>
                  <w:tcW w:w="498" w:type="pct"/>
                  <w:vMerge w:val="restart"/>
                  <w:tcBorders>
                    <w:tl2br w:val="nil"/>
                    <w:tr2bl w:val="nil"/>
                  </w:tcBorders>
                  <w:vAlign w:val="center"/>
                </w:tcPr>
                <w:p w14:paraId="18B407D9">
                  <w:pPr>
                    <w:pStyle w:val="385"/>
                    <w:rPr>
                      <w:rFonts w:hint="default" w:eastAsia="宋体"/>
                      <w:lang w:val="en-US" w:eastAsia="zh-CN"/>
                    </w:rPr>
                  </w:pPr>
                  <w:r>
                    <w:rPr>
                      <w:rFonts w:hint="eastAsia"/>
                      <w:lang w:val="en-US" w:eastAsia="zh-CN"/>
                    </w:rPr>
                    <w:t>47.4</w:t>
                  </w:r>
                </w:p>
              </w:tc>
              <w:tc>
                <w:tcPr>
                  <w:tcW w:w="472" w:type="pct"/>
                  <w:vMerge w:val="restart"/>
                  <w:tcBorders>
                    <w:tl2br w:val="nil"/>
                    <w:tr2bl w:val="nil"/>
                  </w:tcBorders>
                  <w:vAlign w:val="center"/>
                </w:tcPr>
                <w:p w14:paraId="2ED22468">
                  <w:pPr>
                    <w:pStyle w:val="385"/>
                    <w:rPr>
                      <w:rFonts w:hint="default" w:eastAsia="宋体"/>
                      <w:lang w:val="en-US" w:eastAsia="zh-CN"/>
                    </w:rPr>
                  </w:pPr>
                  <w:r>
                    <w:rPr>
                      <w:rFonts w:hint="eastAsia"/>
                      <w:lang w:val="en-US" w:eastAsia="zh-CN"/>
                    </w:rPr>
                    <w:t>32.66</w:t>
                  </w:r>
                </w:p>
              </w:tc>
              <w:tc>
                <w:tcPr>
                  <w:tcW w:w="414" w:type="pct"/>
                  <w:vMerge w:val="restart"/>
                  <w:tcBorders>
                    <w:tl2br w:val="nil"/>
                    <w:tr2bl w:val="nil"/>
                  </w:tcBorders>
                  <w:vAlign w:val="center"/>
                </w:tcPr>
                <w:p w14:paraId="421A9C00">
                  <w:pPr>
                    <w:pStyle w:val="385"/>
                    <w:rPr>
                      <w:rFonts w:hint="default" w:eastAsia="宋体"/>
                      <w:lang w:val="en-US" w:eastAsia="zh-CN"/>
                    </w:rPr>
                  </w:pPr>
                  <w:r>
                    <w:rPr>
                      <w:rFonts w:hint="eastAsia"/>
                      <w:lang w:val="en-US" w:eastAsia="zh-CN"/>
                    </w:rPr>
                    <w:t>32.66</w:t>
                  </w:r>
                </w:p>
              </w:tc>
              <w:tc>
                <w:tcPr>
                  <w:tcW w:w="340" w:type="pct"/>
                  <w:vMerge w:val="restart"/>
                  <w:tcBorders>
                    <w:tl2br w:val="nil"/>
                    <w:tr2bl w:val="nil"/>
                  </w:tcBorders>
                  <w:shd w:val="clear" w:color="auto" w:fill="auto"/>
                  <w:vAlign w:val="center"/>
                </w:tcPr>
                <w:p w14:paraId="49284D83">
                  <w:pPr>
                    <w:pStyle w:val="385"/>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57.8</w:t>
                  </w:r>
                </w:p>
              </w:tc>
              <w:tc>
                <w:tcPr>
                  <w:tcW w:w="340" w:type="pct"/>
                  <w:vMerge w:val="restart"/>
                  <w:tcBorders>
                    <w:tl2br w:val="nil"/>
                    <w:tr2bl w:val="nil"/>
                  </w:tcBorders>
                  <w:shd w:val="clear" w:color="auto" w:fill="auto"/>
                  <w:vAlign w:val="center"/>
                </w:tcPr>
                <w:p w14:paraId="31A3623E">
                  <w:pPr>
                    <w:pStyle w:val="385"/>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47.4</w:t>
                  </w:r>
                </w:p>
              </w:tc>
              <w:tc>
                <w:tcPr>
                  <w:tcW w:w="330" w:type="pct"/>
                  <w:vMerge w:val="restart"/>
                  <w:tcBorders>
                    <w:tl2br w:val="nil"/>
                    <w:tr2bl w:val="nil"/>
                  </w:tcBorders>
                  <w:vAlign w:val="center"/>
                </w:tcPr>
                <w:p w14:paraId="252C5716">
                  <w:pPr>
                    <w:pStyle w:val="385"/>
                    <w:rPr>
                      <w:rFonts w:hint="eastAsia" w:eastAsia="宋体"/>
                      <w:lang w:val="en-US" w:eastAsia="zh-CN"/>
                    </w:rPr>
                  </w:pPr>
                  <w:r>
                    <w:rPr>
                      <w:rFonts w:hint="eastAsia"/>
                      <w:lang w:val="en-US" w:eastAsia="zh-CN"/>
                    </w:rPr>
                    <w:t>达标</w:t>
                  </w:r>
                </w:p>
              </w:tc>
              <w:tc>
                <w:tcPr>
                  <w:tcW w:w="350" w:type="pct"/>
                  <w:vMerge w:val="restart"/>
                  <w:tcBorders>
                    <w:tl2br w:val="nil"/>
                    <w:tr2bl w:val="nil"/>
                  </w:tcBorders>
                  <w:vAlign w:val="center"/>
                </w:tcPr>
                <w:p w14:paraId="684C17B0">
                  <w:pPr>
                    <w:pStyle w:val="385"/>
                  </w:pPr>
                  <w:r>
                    <w:t>达标</w:t>
                  </w:r>
                </w:p>
              </w:tc>
            </w:tr>
            <w:tr w14:paraId="583419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310" w:type="pct"/>
                  <w:vMerge w:val="continue"/>
                  <w:tcBorders>
                    <w:tl2br w:val="nil"/>
                    <w:tr2bl w:val="nil"/>
                  </w:tcBorders>
                  <w:vAlign w:val="center"/>
                </w:tcPr>
                <w:p w14:paraId="5366B05E">
                  <w:pPr>
                    <w:pStyle w:val="385"/>
                  </w:pPr>
                </w:p>
              </w:tc>
              <w:tc>
                <w:tcPr>
                  <w:tcW w:w="454" w:type="pct"/>
                  <w:vMerge w:val="continue"/>
                  <w:tcBorders>
                    <w:tl2br w:val="nil"/>
                    <w:tr2bl w:val="nil"/>
                  </w:tcBorders>
                  <w:vAlign w:val="center"/>
                </w:tcPr>
                <w:p w14:paraId="37795B05">
                  <w:pPr>
                    <w:pStyle w:val="385"/>
                  </w:pPr>
                </w:p>
              </w:tc>
              <w:tc>
                <w:tcPr>
                  <w:tcW w:w="455" w:type="pct"/>
                  <w:tcBorders>
                    <w:tl2br w:val="nil"/>
                    <w:tr2bl w:val="nil"/>
                  </w:tcBorders>
                  <w:vAlign w:val="center"/>
                </w:tcPr>
                <w:p w14:paraId="7D504900">
                  <w:pPr>
                    <w:pStyle w:val="385"/>
                    <w:rPr>
                      <w:rFonts w:hint="default" w:eastAsia="宋体"/>
                      <w:lang w:val="en-US" w:eastAsia="zh-CN"/>
                    </w:rPr>
                  </w:pPr>
                  <w:r>
                    <w:rPr>
                      <w:rFonts w:hint="eastAsia"/>
                      <w:lang w:val="en-US" w:eastAsia="zh-CN"/>
                    </w:rPr>
                    <w:t>二、三期</w:t>
                  </w:r>
                </w:p>
              </w:tc>
              <w:tc>
                <w:tcPr>
                  <w:tcW w:w="496" w:type="pct"/>
                  <w:tcBorders>
                    <w:tl2br w:val="nil"/>
                    <w:tr2bl w:val="nil"/>
                  </w:tcBorders>
                  <w:vAlign w:val="center"/>
                </w:tcPr>
                <w:p w14:paraId="3BD74FA2">
                  <w:pPr>
                    <w:pStyle w:val="385"/>
                    <w:rPr>
                      <w:rFonts w:hint="default" w:eastAsia="宋体"/>
                      <w:lang w:val="en-US" w:eastAsia="zh-CN"/>
                    </w:rPr>
                  </w:pPr>
                  <w:r>
                    <w:rPr>
                      <w:rFonts w:hint="eastAsia"/>
                      <w:lang w:val="en-US" w:eastAsia="zh-CN"/>
                    </w:rPr>
                    <w:t>217</w:t>
                  </w:r>
                </w:p>
              </w:tc>
              <w:tc>
                <w:tcPr>
                  <w:tcW w:w="535" w:type="pct"/>
                  <w:vMerge w:val="continue"/>
                  <w:tcBorders>
                    <w:tl2br w:val="nil"/>
                    <w:tr2bl w:val="nil"/>
                  </w:tcBorders>
                  <w:vAlign w:val="center"/>
                </w:tcPr>
                <w:p w14:paraId="5B5CA699">
                  <w:pPr>
                    <w:pStyle w:val="385"/>
                    <w:rPr>
                      <w:rFonts w:hint="eastAsia"/>
                      <w:lang w:val="en-US" w:eastAsia="zh-CN"/>
                    </w:rPr>
                  </w:pPr>
                </w:p>
              </w:tc>
              <w:tc>
                <w:tcPr>
                  <w:tcW w:w="498" w:type="pct"/>
                  <w:vMerge w:val="continue"/>
                  <w:tcBorders>
                    <w:tl2br w:val="nil"/>
                    <w:tr2bl w:val="nil"/>
                  </w:tcBorders>
                  <w:vAlign w:val="center"/>
                </w:tcPr>
                <w:p w14:paraId="3AC758AC">
                  <w:pPr>
                    <w:pStyle w:val="385"/>
                    <w:rPr>
                      <w:rFonts w:hint="eastAsia"/>
                      <w:lang w:val="en-US" w:eastAsia="zh-CN"/>
                    </w:rPr>
                  </w:pPr>
                </w:p>
              </w:tc>
              <w:tc>
                <w:tcPr>
                  <w:tcW w:w="472" w:type="pct"/>
                  <w:vMerge w:val="continue"/>
                  <w:tcBorders>
                    <w:tl2br w:val="nil"/>
                    <w:tr2bl w:val="nil"/>
                  </w:tcBorders>
                  <w:vAlign w:val="center"/>
                </w:tcPr>
                <w:p w14:paraId="67F63F19">
                  <w:pPr>
                    <w:pStyle w:val="385"/>
                  </w:pPr>
                </w:p>
              </w:tc>
              <w:tc>
                <w:tcPr>
                  <w:tcW w:w="414" w:type="pct"/>
                  <w:vMerge w:val="continue"/>
                  <w:tcBorders>
                    <w:tl2br w:val="nil"/>
                    <w:tr2bl w:val="nil"/>
                  </w:tcBorders>
                  <w:vAlign w:val="center"/>
                </w:tcPr>
                <w:p w14:paraId="1DA57F30">
                  <w:pPr>
                    <w:pStyle w:val="385"/>
                  </w:pPr>
                </w:p>
              </w:tc>
              <w:tc>
                <w:tcPr>
                  <w:tcW w:w="340" w:type="pct"/>
                  <w:vMerge w:val="continue"/>
                  <w:tcBorders>
                    <w:tl2br w:val="nil"/>
                    <w:tr2bl w:val="nil"/>
                  </w:tcBorders>
                  <w:vAlign w:val="center"/>
                </w:tcPr>
                <w:p w14:paraId="1EAF849D">
                  <w:pPr>
                    <w:pStyle w:val="385"/>
                  </w:pPr>
                </w:p>
              </w:tc>
              <w:tc>
                <w:tcPr>
                  <w:tcW w:w="340" w:type="pct"/>
                  <w:vMerge w:val="continue"/>
                  <w:tcBorders>
                    <w:tl2br w:val="nil"/>
                    <w:tr2bl w:val="nil"/>
                  </w:tcBorders>
                  <w:vAlign w:val="center"/>
                </w:tcPr>
                <w:p w14:paraId="62C0DDF8">
                  <w:pPr>
                    <w:pStyle w:val="385"/>
                  </w:pPr>
                </w:p>
              </w:tc>
              <w:tc>
                <w:tcPr>
                  <w:tcW w:w="330" w:type="pct"/>
                  <w:vMerge w:val="continue"/>
                  <w:tcBorders>
                    <w:tl2br w:val="nil"/>
                    <w:tr2bl w:val="nil"/>
                  </w:tcBorders>
                  <w:vAlign w:val="center"/>
                </w:tcPr>
                <w:p w14:paraId="0FC4B105">
                  <w:pPr>
                    <w:pStyle w:val="385"/>
                  </w:pPr>
                </w:p>
              </w:tc>
              <w:tc>
                <w:tcPr>
                  <w:tcW w:w="350" w:type="pct"/>
                  <w:vMerge w:val="continue"/>
                  <w:tcBorders>
                    <w:tl2br w:val="nil"/>
                    <w:tr2bl w:val="nil"/>
                  </w:tcBorders>
                  <w:vAlign w:val="center"/>
                </w:tcPr>
                <w:p w14:paraId="15F51F69">
                  <w:pPr>
                    <w:pStyle w:val="385"/>
                  </w:pPr>
                </w:p>
              </w:tc>
            </w:tr>
            <w:tr w14:paraId="547FAF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5000" w:type="pct"/>
                  <w:gridSpan w:val="12"/>
                  <w:tcBorders>
                    <w:tl2br w:val="nil"/>
                    <w:tr2bl w:val="nil"/>
                  </w:tcBorders>
                  <w:vAlign w:val="center"/>
                </w:tcPr>
                <w:p w14:paraId="3FE922E1">
                  <w:pPr>
                    <w:pStyle w:val="385"/>
                    <w:rPr>
                      <w:rFonts w:hint="default" w:eastAsia="宋体"/>
                      <w:lang w:val="en-US" w:eastAsia="zh-CN"/>
                    </w:rPr>
                  </w:pPr>
                  <w:r>
                    <w:rPr>
                      <w:rFonts w:hint="eastAsia"/>
                      <w:b/>
                      <w:bCs/>
                      <w:lang w:val="en-US" w:eastAsia="zh-CN"/>
                    </w:rPr>
                    <w:t>噪声标准值：昼间：65dB（A），夜间55dB（A）</w:t>
                  </w:r>
                </w:p>
              </w:tc>
            </w:tr>
          </w:tbl>
          <w:p w14:paraId="26A46074">
            <w:pPr>
              <w:autoSpaceDE w:val="0"/>
              <w:autoSpaceDN w:val="0"/>
              <w:adjustRightInd w:val="0"/>
              <w:snapToGrid w:val="0"/>
              <w:spacing w:before="120" w:beforeLines="50"/>
              <w:ind w:firstLine="480"/>
              <w:rPr>
                <w:szCs w:val="21"/>
              </w:rPr>
            </w:pPr>
            <w:r>
              <w:rPr>
                <w:rFonts w:hint="eastAsia"/>
                <w:szCs w:val="21"/>
              </w:rPr>
              <w:t>项目噪声预测见下图：</w:t>
            </w:r>
          </w:p>
          <w:p w14:paraId="38879201">
            <w:pPr>
              <w:autoSpaceDE w:val="0"/>
              <w:autoSpaceDN w:val="0"/>
              <w:adjustRightInd w:val="0"/>
              <w:snapToGrid w:val="0"/>
              <w:spacing w:before="120" w:beforeLines="50" w:line="240" w:lineRule="auto"/>
              <w:ind w:firstLine="0" w:firstLineChars="0"/>
              <w:jc w:val="center"/>
              <w:rPr>
                <w:szCs w:val="21"/>
              </w:rPr>
            </w:pPr>
            <w:r>
              <w:drawing>
                <wp:inline distT="0" distB="0" distL="114300" distR="114300">
                  <wp:extent cx="5236845" cy="4860290"/>
                  <wp:effectExtent l="0" t="0" r="1905" b="1651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34"/>
                          <a:stretch>
                            <a:fillRect/>
                          </a:stretch>
                        </pic:blipFill>
                        <pic:spPr>
                          <a:xfrm>
                            <a:off x="0" y="0"/>
                            <a:ext cx="5236845" cy="4860290"/>
                          </a:xfrm>
                          <a:prstGeom prst="rect">
                            <a:avLst/>
                          </a:prstGeom>
                          <a:noFill/>
                          <a:ln>
                            <a:noFill/>
                          </a:ln>
                        </pic:spPr>
                      </pic:pic>
                    </a:graphicData>
                  </a:graphic>
                </wp:inline>
              </w:drawing>
            </w:r>
          </w:p>
          <w:p w14:paraId="3CE8A36F">
            <w:pPr>
              <w:autoSpaceDE w:val="0"/>
              <w:autoSpaceDN w:val="0"/>
              <w:adjustRightInd w:val="0"/>
              <w:snapToGrid w:val="0"/>
              <w:ind w:firstLine="0" w:firstLineChars="0"/>
              <w:jc w:val="center"/>
              <w:rPr>
                <w:szCs w:val="21"/>
              </w:rPr>
            </w:pPr>
            <w:r>
              <w:rPr>
                <w:rFonts w:hint="eastAsia"/>
                <w:b/>
                <w:bCs/>
                <w:szCs w:val="21"/>
              </w:rPr>
              <w:t>图4-1 项目噪声预测图</w:t>
            </w:r>
          </w:p>
          <w:p w14:paraId="2E5699A2">
            <w:pPr>
              <w:autoSpaceDE w:val="0"/>
              <w:autoSpaceDN w:val="0"/>
              <w:adjustRightInd w:val="0"/>
              <w:snapToGrid w:val="0"/>
              <w:ind w:firstLine="480"/>
            </w:pPr>
            <w:r>
              <w:rPr>
                <w:rFonts w:hint="eastAsia"/>
                <w:szCs w:val="21"/>
              </w:rPr>
              <w:t>由上表可知，建设项目正常营运时，在采取减振、消声等措施处理后，各厂界噪声贡献值均能满足《工业企业厂界环境噪声排放标准》（GB12348-2008）</w:t>
            </w:r>
            <w:r>
              <w:rPr>
                <w:rFonts w:hint="eastAsia"/>
                <w:szCs w:val="21"/>
                <w:lang w:val="en-US" w:eastAsia="zh-CN"/>
              </w:rPr>
              <w:t>3</w:t>
            </w:r>
            <w:r>
              <w:rPr>
                <w:rFonts w:hint="eastAsia"/>
                <w:szCs w:val="21"/>
              </w:rPr>
              <w:t>类标准要求，项目50m范围内没有声环境保护目标。因此项目建设对声环境影响可接受。</w:t>
            </w:r>
          </w:p>
          <w:p w14:paraId="6168B2F9">
            <w:pPr>
              <w:ind w:firstLine="482"/>
              <w:jc w:val="left"/>
              <w:rPr>
                <w:b/>
                <w:bCs/>
                <w:szCs w:val="21"/>
              </w:rPr>
            </w:pPr>
            <w:r>
              <w:rPr>
                <w:rFonts w:hint="eastAsia"/>
                <w:b/>
                <w:bCs/>
                <w:szCs w:val="21"/>
              </w:rPr>
              <w:t>噪声污染防治措施：</w:t>
            </w:r>
          </w:p>
          <w:p w14:paraId="45F7F9B4">
            <w:pPr>
              <w:adjustRightInd w:val="0"/>
              <w:snapToGrid w:val="0"/>
              <w:ind w:firstLine="480"/>
            </w:pPr>
            <w:r>
              <w:rPr>
                <w:rFonts w:hint="eastAsia"/>
              </w:rPr>
              <w:t>（1）</w:t>
            </w:r>
            <w:r>
              <w:t>采用适当的控制措施如厂房隔声和设备减振等；</w:t>
            </w:r>
          </w:p>
          <w:p w14:paraId="7C831B44">
            <w:pPr>
              <w:adjustRightInd w:val="0"/>
              <w:snapToGrid w:val="0"/>
              <w:ind w:firstLine="480"/>
            </w:pPr>
            <w:r>
              <w:rPr>
                <w:rFonts w:hint="eastAsia"/>
              </w:rPr>
              <w:t>（2）</w:t>
            </w:r>
            <w:r>
              <w:t>加强噪声设备的维护管理，避免因不正常运行所导致的噪声增大；</w:t>
            </w:r>
          </w:p>
          <w:p w14:paraId="769C9420">
            <w:pPr>
              <w:ind w:firstLine="480"/>
            </w:pPr>
            <w:r>
              <w:rPr>
                <w:rFonts w:hint="eastAsia"/>
              </w:rPr>
              <w:t>（3）</w:t>
            </w:r>
            <w:r>
              <w:t>对噪声相对较大的设备应加装隔声、消声措施，还应加强减振降噪措施，如在主要设备基础上加装橡胶减振垫、减振器，在风机出口安装消声器等。</w:t>
            </w:r>
          </w:p>
          <w:p w14:paraId="58F6802D">
            <w:pPr>
              <w:ind w:firstLine="0" w:firstLineChars="0"/>
              <w:jc w:val="left"/>
              <w:rPr>
                <w:b/>
                <w:bCs/>
                <w:szCs w:val="21"/>
              </w:rPr>
            </w:pPr>
            <w:r>
              <w:rPr>
                <w:rFonts w:hint="eastAsia"/>
                <w:b/>
                <w:bCs/>
                <w:szCs w:val="21"/>
              </w:rPr>
              <w:t>3.3噪声监测计划</w:t>
            </w:r>
          </w:p>
          <w:p w14:paraId="77039BA2">
            <w:pPr>
              <w:autoSpaceDE w:val="0"/>
              <w:autoSpaceDN w:val="0"/>
              <w:adjustRightInd w:val="0"/>
              <w:snapToGrid w:val="0"/>
              <w:ind w:firstLine="480"/>
              <w:rPr>
                <w:szCs w:val="21"/>
              </w:rPr>
            </w:pPr>
            <w:r>
              <w:rPr>
                <w:rFonts w:hint="eastAsia"/>
                <w:szCs w:val="21"/>
              </w:rPr>
              <w:t>为了确保噪声控制措施有效运行，项目运行后，对厂界噪声进行定期监测。</w:t>
            </w:r>
            <w:r>
              <w:t>根据《排污单位自行监测技术指南 总则》</w:t>
            </w:r>
            <w:r>
              <w:rPr>
                <w:rFonts w:hint="eastAsia"/>
              </w:rPr>
              <w:t>（</w:t>
            </w:r>
            <w:r>
              <w:t>HJ819-2017</w:t>
            </w:r>
            <w:r>
              <w:rPr>
                <w:rFonts w:hint="eastAsia"/>
              </w:rPr>
              <w:t>）</w:t>
            </w:r>
            <w:r>
              <w:t>、</w:t>
            </w:r>
            <w:r>
              <w:rPr>
                <w:rFonts w:hint="eastAsia"/>
              </w:rPr>
              <w:t>《</w:t>
            </w:r>
            <w:r>
              <w:t xml:space="preserve">排污单位自行监测技术指南 </w:t>
            </w:r>
            <w:r>
              <w:rPr>
                <w:rFonts w:hint="eastAsia"/>
              </w:rPr>
              <w:t>工业固体废物和危险废物治理》（HJ1250-2022）</w:t>
            </w:r>
            <w:r>
              <w:rPr>
                <w:rFonts w:hint="eastAsia"/>
                <w:lang w:val="en-US" w:eastAsia="zh-CN"/>
              </w:rPr>
              <w:t>以及</w:t>
            </w:r>
            <w:r>
              <w:rPr>
                <w:rFonts w:hint="eastAsia"/>
                <w:sz w:val="24"/>
              </w:rPr>
              <w:t>厂区现有项目自行监测计划等相关</w:t>
            </w:r>
            <w:r>
              <w:t>要求</w:t>
            </w:r>
            <w:r>
              <w:rPr>
                <w:rFonts w:hint="eastAsia"/>
                <w:szCs w:val="21"/>
              </w:rPr>
              <w:t>，项目噪声自行监测方案见下表。</w:t>
            </w:r>
          </w:p>
          <w:p w14:paraId="2230ED58">
            <w:pPr>
              <w:pStyle w:val="379"/>
              <w:keepNext w:val="0"/>
              <w:keepLines w:val="0"/>
              <w:pageBreakBefore w:val="0"/>
              <w:widowControl w:val="0"/>
              <w:kinsoku/>
              <w:wordWrap/>
              <w:overflowPunct/>
              <w:topLinePunct w:val="0"/>
              <w:autoSpaceDE/>
              <w:autoSpaceDN/>
              <w:bidi w:val="0"/>
              <w:adjustRightInd/>
              <w:snapToGrid/>
              <w:spacing w:line="240" w:lineRule="auto"/>
              <w:textAlignment w:val="auto"/>
            </w:pPr>
            <w:r>
              <w:rPr>
                <w:rFonts w:hint="eastAsia"/>
                <w:b/>
                <w:bCs/>
              </w:rPr>
              <w:t>噪声自行监测一览表</w:t>
            </w:r>
          </w:p>
          <w:tbl>
            <w:tblPr>
              <w:tblStyle w:val="32"/>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1614"/>
              <w:gridCol w:w="1624"/>
              <w:gridCol w:w="1165"/>
              <w:gridCol w:w="3138"/>
            </w:tblGrid>
            <w:tr w14:paraId="68921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14" w:type="pct"/>
                  <w:tcBorders>
                    <w:tl2br w:val="nil"/>
                    <w:tr2bl w:val="nil"/>
                  </w:tcBorders>
                  <w:vAlign w:val="center"/>
                </w:tcPr>
                <w:p w14:paraId="74589FDC">
                  <w:pPr>
                    <w:pStyle w:val="9"/>
                    <w:widowControl w:val="0"/>
                    <w:rPr>
                      <w:b/>
                      <w:bCs/>
                    </w:rPr>
                  </w:pPr>
                  <w:r>
                    <w:rPr>
                      <w:rFonts w:hint="eastAsia"/>
                      <w:b/>
                      <w:bCs/>
                    </w:rPr>
                    <w:t>项目</w:t>
                  </w:r>
                </w:p>
              </w:tc>
              <w:tc>
                <w:tcPr>
                  <w:tcW w:w="981" w:type="pct"/>
                  <w:tcBorders>
                    <w:tl2br w:val="nil"/>
                    <w:tr2bl w:val="nil"/>
                  </w:tcBorders>
                  <w:vAlign w:val="center"/>
                </w:tcPr>
                <w:p w14:paraId="4A3D6C00">
                  <w:pPr>
                    <w:pStyle w:val="9"/>
                    <w:widowControl w:val="0"/>
                    <w:rPr>
                      <w:b/>
                      <w:bCs/>
                    </w:rPr>
                  </w:pPr>
                  <w:r>
                    <w:rPr>
                      <w:rFonts w:hint="eastAsia"/>
                      <w:b/>
                      <w:bCs/>
                    </w:rPr>
                    <w:t>监测点位</w:t>
                  </w:r>
                </w:p>
              </w:tc>
              <w:tc>
                <w:tcPr>
                  <w:tcW w:w="987" w:type="pct"/>
                  <w:tcBorders>
                    <w:tl2br w:val="nil"/>
                    <w:tr2bl w:val="nil"/>
                  </w:tcBorders>
                  <w:vAlign w:val="center"/>
                </w:tcPr>
                <w:p w14:paraId="2ECDA350">
                  <w:pPr>
                    <w:pStyle w:val="9"/>
                    <w:widowControl w:val="0"/>
                    <w:rPr>
                      <w:b/>
                      <w:bCs/>
                    </w:rPr>
                  </w:pPr>
                  <w:r>
                    <w:rPr>
                      <w:rFonts w:hint="eastAsia"/>
                      <w:b/>
                      <w:bCs/>
                    </w:rPr>
                    <w:t>监测因子</w:t>
                  </w:r>
                </w:p>
              </w:tc>
              <w:tc>
                <w:tcPr>
                  <w:tcW w:w="708" w:type="pct"/>
                  <w:tcBorders>
                    <w:tl2br w:val="nil"/>
                    <w:tr2bl w:val="nil"/>
                  </w:tcBorders>
                  <w:vAlign w:val="center"/>
                </w:tcPr>
                <w:p w14:paraId="6A05AE1B">
                  <w:pPr>
                    <w:pStyle w:val="9"/>
                    <w:widowControl w:val="0"/>
                    <w:rPr>
                      <w:b/>
                      <w:bCs/>
                    </w:rPr>
                  </w:pPr>
                  <w:r>
                    <w:rPr>
                      <w:rFonts w:hint="eastAsia"/>
                      <w:b/>
                      <w:bCs/>
                    </w:rPr>
                    <w:t>监测频次</w:t>
                  </w:r>
                </w:p>
              </w:tc>
              <w:tc>
                <w:tcPr>
                  <w:tcW w:w="1907" w:type="pct"/>
                  <w:tcBorders>
                    <w:tl2br w:val="nil"/>
                    <w:tr2bl w:val="nil"/>
                  </w:tcBorders>
                  <w:vAlign w:val="center"/>
                </w:tcPr>
                <w:p w14:paraId="019DA683">
                  <w:pPr>
                    <w:pStyle w:val="9"/>
                    <w:widowControl w:val="0"/>
                    <w:rPr>
                      <w:b/>
                      <w:bCs/>
                    </w:rPr>
                  </w:pPr>
                  <w:r>
                    <w:rPr>
                      <w:rFonts w:hint="eastAsia"/>
                      <w:b/>
                      <w:bCs/>
                    </w:rPr>
                    <w:t>执行标准</w:t>
                  </w:r>
                </w:p>
              </w:tc>
            </w:tr>
            <w:tr w14:paraId="30A829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14" w:type="pct"/>
                  <w:tcBorders>
                    <w:tl2br w:val="nil"/>
                    <w:tr2bl w:val="nil"/>
                  </w:tcBorders>
                  <w:vAlign w:val="center"/>
                </w:tcPr>
                <w:p w14:paraId="18565D8A">
                  <w:pPr>
                    <w:pStyle w:val="9"/>
                    <w:widowControl w:val="0"/>
                  </w:pPr>
                  <w:r>
                    <w:rPr>
                      <w:rFonts w:hint="eastAsia"/>
                    </w:rPr>
                    <w:t>厂界噪声</w:t>
                  </w:r>
                </w:p>
              </w:tc>
              <w:tc>
                <w:tcPr>
                  <w:tcW w:w="981" w:type="pct"/>
                  <w:tcBorders>
                    <w:tl2br w:val="nil"/>
                    <w:tr2bl w:val="nil"/>
                  </w:tcBorders>
                  <w:vAlign w:val="center"/>
                </w:tcPr>
                <w:p w14:paraId="24C967BB">
                  <w:pPr>
                    <w:pStyle w:val="9"/>
                    <w:widowControl w:val="0"/>
                  </w:pPr>
                  <w:r>
                    <w:rPr>
                      <w:rFonts w:hint="eastAsia"/>
                    </w:rPr>
                    <w:t>项目厂界四周</w:t>
                  </w:r>
                </w:p>
              </w:tc>
              <w:tc>
                <w:tcPr>
                  <w:tcW w:w="987" w:type="pct"/>
                  <w:tcBorders>
                    <w:tl2br w:val="nil"/>
                    <w:tr2bl w:val="nil"/>
                  </w:tcBorders>
                  <w:vAlign w:val="center"/>
                </w:tcPr>
                <w:p w14:paraId="11A0D906">
                  <w:pPr>
                    <w:pStyle w:val="9"/>
                    <w:widowControl w:val="0"/>
                  </w:pPr>
                  <w:r>
                    <w:rPr>
                      <w:rFonts w:hint="eastAsia"/>
                    </w:rPr>
                    <w:t>等效连续A声级（昼、夜）</w:t>
                  </w:r>
                </w:p>
              </w:tc>
              <w:tc>
                <w:tcPr>
                  <w:tcW w:w="708" w:type="pct"/>
                  <w:tcBorders>
                    <w:tl2br w:val="nil"/>
                    <w:tr2bl w:val="nil"/>
                  </w:tcBorders>
                  <w:vAlign w:val="center"/>
                </w:tcPr>
                <w:p w14:paraId="36B9342E">
                  <w:pPr>
                    <w:pStyle w:val="9"/>
                    <w:widowControl w:val="0"/>
                  </w:pPr>
                  <w:r>
                    <w:rPr>
                      <w:rFonts w:hint="eastAsia"/>
                    </w:rPr>
                    <w:t>1次/季度</w:t>
                  </w:r>
                </w:p>
              </w:tc>
              <w:tc>
                <w:tcPr>
                  <w:tcW w:w="1907" w:type="pct"/>
                  <w:tcBorders>
                    <w:tl2br w:val="nil"/>
                    <w:tr2bl w:val="nil"/>
                  </w:tcBorders>
                  <w:vAlign w:val="center"/>
                </w:tcPr>
                <w:p w14:paraId="125B7A96">
                  <w:pPr>
                    <w:pStyle w:val="9"/>
                    <w:widowControl w:val="0"/>
                  </w:pPr>
                  <w:r>
                    <w:rPr>
                      <w:rFonts w:hint="eastAsia"/>
                    </w:rPr>
                    <w:t>《工业企业厂界环境噪声排放标准》（GB12348-2008）</w:t>
                  </w:r>
                  <w:r>
                    <w:rPr>
                      <w:rFonts w:hint="eastAsia"/>
                      <w:lang w:val="en-US" w:eastAsia="zh-CN"/>
                    </w:rPr>
                    <w:t>3</w:t>
                  </w:r>
                  <w:r>
                    <w:rPr>
                      <w:rFonts w:hint="eastAsia"/>
                    </w:rPr>
                    <w:t>类标准</w:t>
                  </w:r>
                </w:p>
              </w:tc>
            </w:tr>
          </w:tbl>
          <w:p w14:paraId="50A85E68">
            <w:pPr>
              <w:numPr>
                <w:ilvl w:val="0"/>
                <w:numId w:val="28"/>
              </w:numPr>
              <w:autoSpaceDE w:val="0"/>
              <w:autoSpaceDN w:val="0"/>
              <w:adjustRightInd w:val="0"/>
              <w:snapToGrid w:val="0"/>
              <w:spacing w:before="120" w:beforeLines="50"/>
              <w:ind w:firstLineChars="0"/>
              <w:rPr>
                <w:bCs/>
                <w:spacing w:val="-10"/>
              </w:rPr>
            </w:pPr>
            <w:r>
              <w:rPr>
                <w:rFonts w:hint="eastAsia"/>
                <w:b/>
                <w:sz w:val="28"/>
                <w:szCs w:val="28"/>
              </w:rPr>
              <w:t>固废</w:t>
            </w:r>
          </w:p>
          <w:p w14:paraId="26A1A2F9">
            <w:pPr>
              <w:ind w:firstLine="480"/>
            </w:pPr>
            <w:r>
              <w:rPr>
                <w:rFonts w:hint="eastAsia"/>
              </w:rPr>
              <w:t>本项目在营运期固体废物主要为除尘器收集粉尘</w:t>
            </w:r>
            <w:r>
              <w:rPr>
                <w:rFonts w:hint="eastAsia"/>
                <w:lang w:val="en-US" w:eastAsia="zh-CN"/>
              </w:rPr>
              <w:t>和危险废物</w:t>
            </w:r>
            <w:r>
              <w:rPr>
                <w:rFonts w:hint="eastAsia"/>
              </w:rPr>
              <w:t>等。</w:t>
            </w:r>
          </w:p>
          <w:p w14:paraId="2C21ACF3">
            <w:pPr>
              <w:ind w:firstLine="480"/>
              <w:rPr>
                <w:rFonts w:hint="default" w:eastAsia="宋体"/>
                <w:lang w:val="en-US" w:eastAsia="zh-CN"/>
              </w:rPr>
            </w:pPr>
            <w:r>
              <w:rPr>
                <w:rFonts w:hint="eastAsia"/>
              </w:rPr>
              <w:t>（1）</w:t>
            </w:r>
            <w:r>
              <w:rPr>
                <w:rFonts w:hint="eastAsia"/>
                <w:lang w:val="en-US" w:eastAsia="zh-CN"/>
              </w:rPr>
              <w:t>一般工业固体废物</w:t>
            </w:r>
          </w:p>
          <w:p w14:paraId="33C1E5EC">
            <w:pPr>
              <w:ind w:firstLine="480"/>
              <w:rPr>
                <w:rFonts w:hint="default" w:eastAsia="宋体"/>
                <w:lang w:val="en-US" w:eastAsia="zh-CN"/>
              </w:rPr>
            </w:pPr>
            <w:r>
              <w:rPr>
                <w:rFonts w:hint="eastAsia"/>
              </w:rPr>
              <w:t>①</w:t>
            </w:r>
            <w:r>
              <w:rPr>
                <w:rFonts w:hint="eastAsia"/>
                <w:lang w:val="en-US" w:eastAsia="zh-CN"/>
              </w:rPr>
              <w:t>仓顶除尘器收集粉尘</w:t>
            </w:r>
          </w:p>
          <w:p w14:paraId="2FDBDDEC">
            <w:pPr>
              <w:ind w:firstLine="480"/>
              <w:rPr>
                <w:rFonts w:hint="eastAsia"/>
                <w:highlight w:val="none"/>
                <w:lang w:val="en-US" w:eastAsia="zh-CN"/>
              </w:rPr>
            </w:pPr>
            <w:r>
              <w:rPr>
                <w:rFonts w:hint="eastAsia"/>
                <w:highlight w:val="none"/>
                <w:lang w:val="en-US" w:eastAsia="zh-CN"/>
              </w:rPr>
              <w:t>仓顶</w:t>
            </w:r>
            <w:r>
              <w:rPr>
                <w:rFonts w:hint="eastAsia"/>
                <w:highlight w:val="none"/>
              </w:rPr>
              <w:t>除尘器收集的粉尘</w:t>
            </w:r>
            <w:r>
              <w:rPr>
                <w:rFonts w:hint="eastAsia"/>
                <w:highlight w:val="none"/>
                <w:lang w:val="en-US" w:eastAsia="zh-CN"/>
              </w:rPr>
              <w:t>主要为筒仓呼吸粉尘</w:t>
            </w:r>
            <w:r>
              <w:rPr>
                <w:rFonts w:hint="eastAsia"/>
                <w:highlight w:val="none"/>
              </w:rPr>
              <w:t>，根据表4-2可知，颗粒物产生量</w:t>
            </w:r>
            <w:r>
              <w:rPr>
                <w:rFonts w:hint="eastAsia"/>
                <w:highlight w:val="none"/>
                <w:lang w:val="en-US" w:eastAsia="zh-CN"/>
              </w:rPr>
              <w:t>177.3</w:t>
            </w:r>
            <w:r>
              <w:rPr>
                <w:rFonts w:hint="eastAsia"/>
                <w:highlight w:val="none"/>
              </w:rPr>
              <w:t>t/a，</w:t>
            </w:r>
            <w:r>
              <w:rPr>
                <w:rFonts w:hint="eastAsia"/>
                <w:highlight w:val="none"/>
                <w:lang w:val="en-US" w:eastAsia="zh-CN"/>
              </w:rPr>
              <w:t>仓顶除尘器</w:t>
            </w:r>
            <w:r>
              <w:rPr>
                <w:rFonts w:hint="eastAsia"/>
                <w:highlight w:val="none"/>
              </w:rPr>
              <w:t>收集效率为</w:t>
            </w:r>
            <w:r>
              <w:rPr>
                <w:rFonts w:hint="eastAsia"/>
                <w:highlight w:val="none"/>
                <w:lang w:val="en-US" w:eastAsia="zh-CN"/>
              </w:rPr>
              <w:t>100</w:t>
            </w:r>
            <w:r>
              <w:rPr>
                <w:rFonts w:hint="eastAsia"/>
                <w:highlight w:val="none"/>
              </w:rPr>
              <w:t>%，处理效率为9</w:t>
            </w:r>
            <w:r>
              <w:rPr>
                <w:rFonts w:hint="eastAsia"/>
                <w:highlight w:val="none"/>
                <w:lang w:val="en-US" w:eastAsia="zh-CN"/>
              </w:rPr>
              <w:t>9</w:t>
            </w:r>
            <w:r>
              <w:rPr>
                <w:rFonts w:hint="eastAsia"/>
                <w:highlight w:val="none"/>
              </w:rPr>
              <w:t>%，根据计算</w:t>
            </w:r>
            <w:r>
              <w:rPr>
                <w:rFonts w:hint="eastAsia"/>
                <w:highlight w:val="none"/>
                <w:lang w:eastAsia="zh-CN"/>
              </w:rPr>
              <w:t>，</w:t>
            </w:r>
            <w:r>
              <w:rPr>
                <w:rFonts w:hint="eastAsia"/>
                <w:highlight w:val="none"/>
              </w:rPr>
              <w:t>除尘器收集颗粒物为</w:t>
            </w:r>
            <w:r>
              <w:rPr>
                <w:rFonts w:hint="eastAsia"/>
                <w:highlight w:val="none"/>
                <w:lang w:val="en-US" w:eastAsia="zh-CN"/>
              </w:rPr>
              <w:t>175.527</w:t>
            </w:r>
            <w:r>
              <w:rPr>
                <w:rFonts w:hint="eastAsia"/>
                <w:highlight w:val="none"/>
              </w:rPr>
              <w:t>t/a</w:t>
            </w:r>
            <w:r>
              <w:rPr>
                <w:rFonts w:hint="eastAsia"/>
                <w:highlight w:val="none"/>
                <w:lang w:eastAsia="zh-CN"/>
              </w:rPr>
              <w:t>，</w:t>
            </w:r>
            <w:r>
              <w:rPr>
                <w:rFonts w:hint="eastAsia"/>
                <w:highlight w:val="none"/>
                <w:lang w:val="en-US" w:eastAsia="zh-CN"/>
              </w:rPr>
              <w:t>回用于生产工序。</w:t>
            </w:r>
          </w:p>
          <w:p w14:paraId="40415FA8">
            <w:pPr>
              <w:ind w:firstLine="480"/>
              <w:rPr>
                <w:rFonts w:hint="eastAsia"/>
                <w:highlight w:val="none"/>
                <w:lang w:val="en-US" w:eastAsia="zh-CN"/>
              </w:rPr>
            </w:pPr>
            <w:r>
              <w:rPr>
                <w:rFonts w:hint="eastAsia"/>
                <w:highlight w:val="none"/>
                <w:lang w:val="en-US" w:eastAsia="zh-CN"/>
              </w:rPr>
              <w:t>②气力输送系统除尘器收集粉尘</w:t>
            </w:r>
          </w:p>
          <w:p w14:paraId="2BE0FE9D">
            <w:pPr>
              <w:ind w:firstLine="480"/>
              <w:rPr>
                <w:rFonts w:hint="eastAsia"/>
                <w:highlight w:val="none"/>
                <w:lang w:val="en-US" w:eastAsia="zh-CN"/>
              </w:rPr>
            </w:pPr>
            <w:r>
              <w:rPr>
                <w:rFonts w:hint="eastAsia"/>
                <w:highlight w:val="none"/>
                <w:lang w:val="en-US" w:eastAsia="zh-CN"/>
              </w:rPr>
              <w:t>项目通过气力输送系统将粉煤灰输送至密闭罐车内，装车过程中气力输送系统粉尘经散装机布袋除尘器收集，根据表4-2可知，颗粒物产生量为108t/a，散装机布袋除尘器收集效率100%，处理效率99%，根据计算，除尘器收集颗粒物为106.92t/a。</w:t>
            </w:r>
          </w:p>
          <w:p w14:paraId="1DA3CB89">
            <w:pPr>
              <w:numPr>
                <w:ilvl w:val="0"/>
                <w:numId w:val="21"/>
              </w:numPr>
              <w:ind w:left="0" w:leftChars="0" w:firstLine="480" w:firstLineChars="200"/>
              <w:rPr>
                <w:rFonts w:hint="eastAsia"/>
                <w:lang w:val="en-US" w:eastAsia="zh-CN"/>
              </w:rPr>
            </w:pPr>
            <w:r>
              <w:rPr>
                <w:rFonts w:hint="eastAsia"/>
                <w:lang w:val="en-US" w:eastAsia="zh-CN"/>
              </w:rPr>
              <w:t>危险废物</w:t>
            </w:r>
          </w:p>
          <w:p w14:paraId="1C9ECAC7">
            <w:pPr>
              <w:numPr>
                <w:ilvl w:val="0"/>
                <w:numId w:val="0"/>
              </w:numPr>
              <w:ind w:leftChars="200"/>
              <w:rPr>
                <w:rFonts w:hint="eastAsia"/>
                <w:lang w:val="en-US" w:eastAsia="zh-CN"/>
              </w:rPr>
            </w:pPr>
            <w:r>
              <w:rPr>
                <w:rFonts w:hint="eastAsia"/>
                <w:lang w:val="en-US" w:eastAsia="zh-CN"/>
              </w:rPr>
              <w:t>①废润滑油</w:t>
            </w:r>
          </w:p>
          <w:p w14:paraId="4735A88A">
            <w:pPr>
              <w:keepNext w:val="0"/>
              <w:keepLines w:val="0"/>
              <w:pageBreakBefore w:val="0"/>
              <w:widowControl/>
              <w:numPr>
                <w:ilvl w:val="0"/>
                <w:numId w:val="0"/>
              </w:numPr>
              <w:kinsoku/>
              <w:wordWrap/>
              <w:overflowPunct/>
              <w:topLinePunct w:val="0"/>
              <w:autoSpaceDE/>
              <w:autoSpaceDN/>
              <w:bidi w:val="0"/>
              <w:adjustRightInd/>
              <w:snapToGrid/>
              <w:ind w:leftChars="0" w:firstLine="480" w:firstLineChars="200"/>
              <w:textAlignment w:val="auto"/>
              <w:rPr>
                <w:rFonts w:hint="eastAsia"/>
                <w:sz w:val="24"/>
              </w:rPr>
            </w:pPr>
            <w:r>
              <w:rPr>
                <w:rFonts w:hint="eastAsia"/>
                <w:sz w:val="24"/>
              </w:rPr>
              <w:t>本项目生产设备使用和维护过程中会使用少量废润滑油等矿物油，产生量约为0.</w:t>
            </w:r>
            <w:r>
              <w:rPr>
                <w:rFonts w:hint="eastAsia"/>
                <w:sz w:val="24"/>
                <w:lang w:val="en-US" w:eastAsia="zh-CN"/>
              </w:rPr>
              <w:t>1</w:t>
            </w:r>
            <w:r>
              <w:rPr>
                <w:rFonts w:hint="eastAsia"/>
                <w:sz w:val="24"/>
              </w:rPr>
              <w:t>t/a，根据《国家危险废物名录》（2025年版），废润滑油固体废物类别为“HW08 900-214-08，车辆、轮船及其它机械维修过程中产生的废发动机油、制动器油、自动变速器油、齿轮油等废润滑油”，收集后暂存于危废间暂存，定期委托具有处理危险废物资质的单位进行处置。</w:t>
            </w:r>
          </w:p>
          <w:p w14:paraId="600A2F1C">
            <w:pPr>
              <w:keepNext w:val="0"/>
              <w:keepLines w:val="0"/>
              <w:pageBreakBefore w:val="0"/>
              <w:widowControl/>
              <w:numPr>
                <w:ilvl w:val="0"/>
                <w:numId w:val="0"/>
              </w:numPr>
              <w:kinsoku/>
              <w:wordWrap/>
              <w:overflowPunct/>
              <w:topLinePunct w:val="0"/>
              <w:autoSpaceDE/>
              <w:autoSpaceDN/>
              <w:bidi w:val="0"/>
              <w:adjustRightInd/>
              <w:snapToGrid/>
              <w:ind w:leftChars="0" w:firstLine="480" w:firstLineChars="200"/>
              <w:textAlignment w:val="auto"/>
              <w:rPr>
                <w:rFonts w:hint="eastAsia"/>
                <w:sz w:val="24"/>
                <w:lang w:val="en-US" w:eastAsia="zh-CN"/>
              </w:rPr>
            </w:pPr>
            <w:r>
              <w:rPr>
                <w:rFonts w:hint="eastAsia"/>
                <w:sz w:val="24"/>
                <w:lang w:val="en-US" w:eastAsia="zh-CN"/>
              </w:rPr>
              <w:t>②废润滑油桶</w:t>
            </w:r>
          </w:p>
          <w:p w14:paraId="7E48D32A">
            <w:pPr>
              <w:keepNext w:val="0"/>
              <w:keepLines w:val="0"/>
              <w:pageBreakBefore w:val="0"/>
              <w:widowControl/>
              <w:numPr>
                <w:ilvl w:val="0"/>
                <w:numId w:val="0"/>
              </w:numPr>
              <w:kinsoku/>
              <w:wordWrap/>
              <w:overflowPunct/>
              <w:topLinePunct w:val="0"/>
              <w:autoSpaceDE/>
              <w:autoSpaceDN/>
              <w:bidi w:val="0"/>
              <w:adjustRightInd/>
              <w:snapToGrid/>
              <w:ind w:leftChars="0" w:firstLine="480" w:firstLineChars="200"/>
              <w:textAlignment w:val="auto"/>
              <w:rPr>
                <w:rFonts w:hint="eastAsia"/>
                <w:sz w:val="24"/>
              </w:rPr>
            </w:pPr>
            <w:r>
              <w:rPr>
                <w:rFonts w:hint="eastAsia"/>
                <w:sz w:val="24"/>
              </w:rPr>
              <w:t>项目正常生产中对生产设备进行维护保养，会使用</w:t>
            </w:r>
            <w:r>
              <w:rPr>
                <w:rFonts w:hint="eastAsia"/>
                <w:sz w:val="24"/>
                <w:lang w:val="en-US" w:eastAsia="zh-CN"/>
              </w:rPr>
              <w:t>润滑油</w:t>
            </w:r>
            <w:r>
              <w:rPr>
                <w:rFonts w:hint="eastAsia"/>
                <w:sz w:val="24"/>
              </w:rPr>
              <w:t>，产生废润滑油桶，产生量约0.0</w:t>
            </w:r>
            <w:r>
              <w:rPr>
                <w:rFonts w:hint="eastAsia"/>
                <w:sz w:val="24"/>
                <w:lang w:val="en-US" w:eastAsia="zh-CN"/>
              </w:rPr>
              <w:t>4</w:t>
            </w:r>
            <w:r>
              <w:rPr>
                <w:rFonts w:hint="eastAsia"/>
                <w:sz w:val="24"/>
              </w:rPr>
              <w:t>t/a。根据《国家危险废物名录》（2025年版），废润滑油桶废物类别为“HW49 900-041-49，含有或沾染毒性、感染性危险废物的废弃包装物、容器、过滤吸附介质”，收集后暂存于危废间暂存，定期委托具有处理危险废物资质的单位进行处置。</w:t>
            </w:r>
          </w:p>
          <w:p w14:paraId="021563EF">
            <w:pPr>
              <w:keepNext w:val="0"/>
              <w:keepLines w:val="0"/>
              <w:pageBreakBefore w:val="0"/>
              <w:widowControl/>
              <w:numPr>
                <w:ilvl w:val="0"/>
                <w:numId w:val="0"/>
              </w:numPr>
              <w:kinsoku/>
              <w:wordWrap/>
              <w:overflowPunct/>
              <w:topLinePunct w:val="0"/>
              <w:autoSpaceDE/>
              <w:autoSpaceDN/>
              <w:bidi w:val="0"/>
              <w:adjustRightInd/>
              <w:snapToGrid/>
              <w:ind w:leftChars="0" w:firstLine="480" w:firstLineChars="200"/>
              <w:textAlignment w:val="auto"/>
              <w:rPr>
                <w:rFonts w:hint="eastAsia"/>
                <w:sz w:val="24"/>
                <w:lang w:val="en-US" w:eastAsia="zh-CN"/>
              </w:rPr>
            </w:pPr>
            <w:r>
              <w:rPr>
                <w:rFonts w:hint="eastAsia"/>
                <w:sz w:val="24"/>
                <w:lang w:val="en-US" w:eastAsia="zh-CN"/>
              </w:rPr>
              <w:t>③废含油抹布、手套</w:t>
            </w:r>
          </w:p>
          <w:p w14:paraId="36CBFE61">
            <w:pPr>
              <w:keepNext w:val="0"/>
              <w:keepLines w:val="0"/>
              <w:pageBreakBefore w:val="0"/>
              <w:widowControl/>
              <w:numPr>
                <w:ilvl w:val="0"/>
                <w:numId w:val="0"/>
              </w:numPr>
              <w:kinsoku/>
              <w:wordWrap/>
              <w:overflowPunct/>
              <w:topLinePunct w:val="0"/>
              <w:autoSpaceDE/>
              <w:autoSpaceDN/>
              <w:bidi w:val="0"/>
              <w:adjustRightInd/>
              <w:snapToGrid/>
              <w:ind w:leftChars="0" w:firstLine="480" w:firstLineChars="200"/>
              <w:textAlignment w:val="auto"/>
              <w:rPr>
                <w:rFonts w:hint="default"/>
                <w:sz w:val="24"/>
                <w:lang w:val="en-US" w:eastAsia="zh-CN"/>
              </w:rPr>
            </w:pPr>
            <w:r>
              <w:rPr>
                <w:rFonts w:hint="eastAsia"/>
              </w:rPr>
              <w:t>项目正常生产中对生产设备进行维护保养，会产生极少量的废含油抹布、手套，产生量约0.005t/a。根据《国家危险废物名录》（2025年版），废含油抹布、手套危险废物类别为“HW49 900-041-49，含有或沾染毒性、感染性危险废物的废弃包装物、容器、过滤吸附介质”，收集后暂存于危废间暂存，定期委托具有处理危险废物资质的单位进行处置。</w:t>
            </w:r>
          </w:p>
          <w:p w14:paraId="1A012A51">
            <w:pPr>
              <w:pStyle w:val="379"/>
              <w:keepNext w:val="0"/>
              <w:keepLines w:val="0"/>
              <w:pageBreakBefore w:val="0"/>
              <w:widowControl w:val="0"/>
              <w:kinsoku/>
              <w:wordWrap/>
              <w:overflowPunct/>
              <w:topLinePunct w:val="0"/>
              <w:autoSpaceDE/>
              <w:autoSpaceDN/>
              <w:bidi w:val="0"/>
              <w:adjustRightInd/>
              <w:snapToGrid/>
              <w:spacing w:line="240" w:lineRule="auto"/>
              <w:textAlignment w:val="auto"/>
            </w:pPr>
            <w:r>
              <w:rPr>
                <w:rFonts w:hint="eastAsia"/>
                <w:b/>
                <w:bCs/>
              </w:rPr>
              <w:t>本项目固废产排污环节一览表</w:t>
            </w:r>
          </w:p>
          <w:tbl>
            <w:tblPr>
              <w:tblStyle w:val="32"/>
              <w:tblW w:w="491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93"/>
              <w:gridCol w:w="1167"/>
              <w:gridCol w:w="1316"/>
              <w:gridCol w:w="764"/>
              <w:gridCol w:w="1364"/>
              <w:gridCol w:w="1117"/>
              <w:gridCol w:w="1855"/>
            </w:tblGrid>
            <w:tr w14:paraId="722648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tcBorders>
                    <w:tl2br w:val="nil"/>
                    <w:tr2bl w:val="nil"/>
                  </w:tcBorders>
                  <w:vAlign w:val="center"/>
                </w:tcPr>
                <w:p w14:paraId="4A213FDE">
                  <w:pPr>
                    <w:widowControl w:val="0"/>
                    <w:spacing w:line="240" w:lineRule="auto"/>
                    <w:ind w:firstLine="0" w:firstLineChars="0"/>
                    <w:jc w:val="center"/>
                    <w:rPr>
                      <w:b/>
                      <w:bCs/>
                      <w:sz w:val="21"/>
                      <w:szCs w:val="21"/>
                    </w:rPr>
                  </w:pPr>
                  <w:r>
                    <w:rPr>
                      <w:b/>
                      <w:bCs/>
                      <w:sz w:val="21"/>
                      <w:szCs w:val="21"/>
                    </w:rPr>
                    <w:t>序号</w:t>
                  </w:r>
                </w:p>
              </w:tc>
              <w:tc>
                <w:tcPr>
                  <w:tcW w:w="722" w:type="pct"/>
                  <w:tcBorders>
                    <w:tl2br w:val="nil"/>
                    <w:tr2bl w:val="nil"/>
                  </w:tcBorders>
                  <w:vAlign w:val="center"/>
                </w:tcPr>
                <w:p w14:paraId="717576C1">
                  <w:pPr>
                    <w:widowControl w:val="0"/>
                    <w:spacing w:line="240" w:lineRule="auto"/>
                    <w:ind w:firstLine="0" w:firstLineChars="0"/>
                    <w:jc w:val="center"/>
                    <w:rPr>
                      <w:b/>
                      <w:bCs/>
                      <w:sz w:val="21"/>
                      <w:szCs w:val="21"/>
                    </w:rPr>
                  </w:pPr>
                  <w:r>
                    <w:rPr>
                      <w:b/>
                      <w:bCs/>
                      <w:sz w:val="21"/>
                      <w:szCs w:val="21"/>
                    </w:rPr>
                    <w:t>固废属性</w:t>
                  </w:r>
                </w:p>
              </w:tc>
              <w:tc>
                <w:tcPr>
                  <w:tcW w:w="814" w:type="pct"/>
                  <w:tcBorders>
                    <w:tl2br w:val="nil"/>
                    <w:tr2bl w:val="nil"/>
                  </w:tcBorders>
                  <w:vAlign w:val="center"/>
                </w:tcPr>
                <w:p w14:paraId="18B4CA8D">
                  <w:pPr>
                    <w:widowControl w:val="0"/>
                    <w:spacing w:line="240" w:lineRule="auto"/>
                    <w:ind w:firstLine="0" w:firstLineChars="0"/>
                    <w:jc w:val="center"/>
                    <w:rPr>
                      <w:b/>
                      <w:bCs/>
                      <w:sz w:val="21"/>
                      <w:szCs w:val="21"/>
                    </w:rPr>
                  </w:pPr>
                  <w:r>
                    <w:rPr>
                      <w:b/>
                      <w:bCs/>
                      <w:sz w:val="21"/>
                      <w:szCs w:val="21"/>
                    </w:rPr>
                    <w:t>固废名称</w:t>
                  </w:r>
                </w:p>
              </w:tc>
              <w:tc>
                <w:tcPr>
                  <w:tcW w:w="473" w:type="pct"/>
                  <w:tcBorders>
                    <w:tl2br w:val="nil"/>
                    <w:tr2bl w:val="nil"/>
                  </w:tcBorders>
                  <w:vAlign w:val="center"/>
                </w:tcPr>
                <w:p w14:paraId="645EFC94">
                  <w:pPr>
                    <w:widowControl w:val="0"/>
                    <w:spacing w:line="240" w:lineRule="auto"/>
                    <w:ind w:firstLine="0" w:firstLineChars="0"/>
                    <w:jc w:val="center"/>
                    <w:rPr>
                      <w:b/>
                      <w:bCs/>
                      <w:sz w:val="21"/>
                      <w:szCs w:val="21"/>
                    </w:rPr>
                  </w:pPr>
                  <w:r>
                    <w:rPr>
                      <w:b/>
                      <w:bCs/>
                      <w:sz w:val="21"/>
                      <w:szCs w:val="21"/>
                    </w:rPr>
                    <w:t>形态</w:t>
                  </w:r>
                </w:p>
              </w:tc>
              <w:tc>
                <w:tcPr>
                  <w:tcW w:w="844" w:type="pct"/>
                  <w:tcBorders>
                    <w:tl2br w:val="nil"/>
                    <w:tr2bl w:val="nil"/>
                  </w:tcBorders>
                  <w:vAlign w:val="center"/>
                </w:tcPr>
                <w:p w14:paraId="495A4F29">
                  <w:pPr>
                    <w:widowControl w:val="0"/>
                    <w:spacing w:line="240" w:lineRule="auto"/>
                    <w:ind w:firstLine="0" w:firstLineChars="0"/>
                    <w:jc w:val="center"/>
                    <w:rPr>
                      <w:b/>
                      <w:bCs/>
                      <w:sz w:val="21"/>
                      <w:szCs w:val="21"/>
                    </w:rPr>
                  </w:pPr>
                  <w:r>
                    <w:rPr>
                      <w:rFonts w:hint="eastAsia"/>
                      <w:b/>
                      <w:bCs/>
                      <w:sz w:val="21"/>
                      <w:szCs w:val="21"/>
                    </w:rPr>
                    <w:t>固废代码</w:t>
                  </w:r>
                </w:p>
              </w:tc>
              <w:tc>
                <w:tcPr>
                  <w:tcW w:w="691" w:type="pct"/>
                  <w:tcBorders>
                    <w:tl2br w:val="nil"/>
                    <w:tr2bl w:val="nil"/>
                  </w:tcBorders>
                  <w:vAlign w:val="center"/>
                </w:tcPr>
                <w:p w14:paraId="1792EEC5">
                  <w:pPr>
                    <w:widowControl w:val="0"/>
                    <w:spacing w:line="240" w:lineRule="auto"/>
                    <w:ind w:firstLine="0" w:firstLineChars="0"/>
                    <w:jc w:val="center"/>
                    <w:rPr>
                      <w:b/>
                      <w:bCs/>
                      <w:sz w:val="21"/>
                      <w:szCs w:val="21"/>
                    </w:rPr>
                  </w:pPr>
                  <w:r>
                    <w:rPr>
                      <w:b/>
                      <w:bCs/>
                      <w:sz w:val="21"/>
                      <w:szCs w:val="21"/>
                    </w:rPr>
                    <w:t>产生量</w:t>
                  </w:r>
                  <w:r>
                    <w:rPr>
                      <w:rFonts w:hint="eastAsia"/>
                      <w:b/>
                      <w:bCs/>
                      <w:sz w:val="21"/>
                      <w:szCs w:val="21"/>
                    </w:rPr>
                    <w:t>（t/a）</w:t>
                  </w:r>
                </w:p>
              </w:tc>
              <w:tc>
                <w:tcPr>
                  <w:tcW w:w="1148" w:type="pct"/>
                  <w:tcBorders>
                    <w:tl2br w:val="nil"/>
                    <w:tr2bl w:val="nil"/>
                  </w:tcBorders>
                  <w:vAlign w:val="center"/>
                </w:tcPr>
                <w:p w14:paraId="35CF6A19">
                  <w:pPr>
                    <w:widowControl w:val="0"/>
                    <w:spacing w:line="240" w:lineRule="auto"/>
                    <w:ind w:firstLine="0" w:firstLineChars="0"/>
                    <w:jc w:val="center"/>
                    <w:rPr>
                      <w:b/>
                      <w:bCs/>
                      <w:sz w:val="21"/>
                      <w:szCs w:val="21"/>
                    </w:rPr>
                  </w:pPr>
                  <w:r>
                    <w:rPr>
                      <w:b/>
                      <w:bCs/>
                      <w:sz w:val="21"/>
                      <w:szCs w:val="21"/>
                    </w:rPr>
                    <w:t>暂存及处理措施</w:t>
                  </w:r>
                </w:p>
              </w:tc>
            </w:tr>
            <w:tr w14:paraId="167C22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tcBorders>
                    <w:tl2br w:val="nil"/>
                    <w:tr2bl w:val="nil"/>
                  </w:tcBorders>
                  <w:vAlign w:val="center"/>
                </w:tcPr>
                <w:p w14:paraId="6808EF23">
                  <w:pPr>
                    <w:widowControl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1</w:t>
                  </w:r>
                </w:p>
              </w:tc>
              <w:tc>
                <w:tcPr>
                  <w:tcW w:w="722" w:type="pct"/>
                  <w:tcBorders>
                    <w:tl2br w:val="nil"/>
                    <w:tr2bl w:val="nil"/>
                  </w:tcBorders>
                  <w:vAlign w:val="center"/>
                </w:tcPr>
                <w:p w14:paraId="1E3C2C3A">
                  <w:pPr>
                    <w:widowControl w:val="0"/>
                    <w:spacing w:line="240" w:lineRule="auto"/>
                    <w:ind w:firstLine="0" w:firstLineChars="0"/>
                    <w:jc w:val="center"/>
                    <w:rPr>
                      <w:sz w:val="21"/>
                      <w:szCs w:val="21"/>
                    </w:rPr>
                  </w:pPr>
                  <w:r>
                    <w:rPr>
                      <w:sz w:val="21"/>
                      <w:szCs w:val="21"/>
                    </w:rPr>
                    <w:t>一般固废</w:t>
                  </w:r>
                </w:p>
              </w:tc>
              <w:tc>
                <w:tcPr>
                  <w:tcW w:w="814" w:type="pct"/>
                  <w:tcBorders>
                    <w:tl2br w:val="nil"/>
                    <w:tr2bl w:val="nil"/>
                  </w:tcBorders>
                  <w:vAlign w:val="center"/>
                </w:tcPr>
                <w:p w14:paraId="1EF89B6C">
                  <w:pPr>
                    <w:widowControl w:val="0"/>
                    <w:spacing w:line="240" w:lineRule="auto"/>
                    <w:ind w:firstLine="0" w:firstLineChars="0"/>
                    <w:jc w:val="center"/>
                    <w:rPr>
                      <w:sz w:val="21"/>
                      <w:szCs w:val="21"/>
                    </w:rPr>
                  </w:pPr>
                  <w:r>
                    <w:rPr>
                      <w:rFonts w:hint="eastAsia"/>
                      <w:sz w:val="21"/>
                      <w:szCs w:val="21"/>
                    </w:rPr>
                    <w:t>布袋除尘器收集粉尘</w:t>
                  </w:r>
                </w:p>
              </w:tc>
              <w:tc>
                <w:tcPr>
                  <w:tcW w:w="473" w:type="pct"/>
                  <w:tcBorders>
                    <w:tl2br w:val="nil"/>
                    <w:tr2bl w:val="nil"/>
                  </w:tcBorders>
                  <w:vAlign w:val="center"/>
                </w:tcPr>
                <w:p w14:paraId="0C93E465">
                  <w:pPr>
                    <w:widowControl w:val="0"/>
                    <w:spacing w:line="240" w:lineRule="auto"/>
                    <w:ind w:firstLine="0" w:firstLineChars="0"/>
                    <w:jc w:val="center"/>
                    <w:rPr>
                      <w:sz w:val="21"/>
                      <w:szCs w:val="21"/>
                    </w:rPr>
                  </w:pPr>
                  <w:r>
                    <w:rPr>
                      <w:rFonts w:hint="eastAsia"/>
                      <w:sz w:val="21"/>
                      <w:szCs w:val="21"/>
                    </w:rPr>
                    <w:t>固态</w:t>
                  </w:r>
                </w:p>
              </w:tc>
              <w:tc>
                <w:tcPr>
                  <w:tcW w:w="844" w:type="pct"/>
                  <w:tcBorders>
                    <w:tl2br w:val="nil"/>
                    <w:tr2bl w:val="nil"/>
                  </w:tcBorders>
                  <w:vAlign w:val="center"/>
                </w:tcPr>
                <w:p w14:paraId="421B98AA">
                  <w:pPr>
                    <w:widowControl w:val="0"/>
                    <w:spacing w:line="240" w:lineRule="auto"/>
                    <w:ind w:firstLine="0" w:firstLineChars="0"/>
                    <w:jc w:val="center"/>
                    <w:rPr>
                      <w:sz w:val="21"/>
                      <w:szCs w:val="21"/>
                    </w:rPr>
                  </w:pPr>
                  <w:r>
                    <w:rPr>
                      <w:rFonts w:hint="eastAsia"/>
                      <w:sz w:val="21"/>
                      <w:szCs w:val="21"/>
                    </w:rPr>
                    <w:t>/</w:t>
                  </w:r>
                </w:p>
              </w:tc>
              <w:tc>
                <w:tcPr>
                  <w:tcW w:w="691" w:type="pct"/>
                  <w:tcBorders>
                    <w:tl2br w:val="nil"/>
                    <w:tr2bl w:val="nil"/>
                  </w:tcBorders>
                  <w:vAlign w:val="center"/>
                </w:tcPr>
                <w:p w14:paraId="2C35F883">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282.447</w:t>
                  </w:r>
                </w:p>
              </w:tc>
              <w:tc>
                <w:tcPr>
                  <w:tcW w:w="1148" w:type="pct"/>
                  <w:tcBorders>
                    <w:tl2br w:val="nil"/>
                    <w:tr2bl w:val="nil"/>
                  </w:tcBorders>
                  <w:vAlign w:val="center"/>
                </w:tcPr>
                <w:p w14:paraId="69E4943F">
                  <w:pPr>
                    <w:widowControl w:val="0"/>
                    <w:spacing w:line="240" w:lineRule="auto"/>
                    <w:ind w:firstLine="0" w:firstLineChars="0"/>
                    <w:jc w:val="center"/>
                    <w:rPr>
                      <w:sz w:val="21"/>
                      <w:szCs w:val="21"/>
                    </w:rPr>
                  </w:pPr>
                  <w:r>
                    <w:rPr>
                      <w:rFonts w:hint="eastAsia"/>
                      <w:sz w:val="21"/>
                      <w:szCs w:val="21"/>
                    </w:rPr>
                    <w:t>回用于生产</w:t>
                  </w:r>
                </w:p>
              </w:tc>
            </w:tr>
            <w:tr w14:paraId="0BBC1D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vMerge w:val="restart"/>
                  <w:tcBorders>
                    <w:tl2br w:val="nil"/>
                    <w:tr2bl w:val="nil"/>
                  </w:tcBorders>
                  <w:vAlign w:val="center"/>
                </w:tcPr>
                <w:p w14:paraId="4D2C66D7">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2</w:t>
                  </w:r>
                </w:p>
              </w:tc>
              <w:tc>
                <w:tcPr>
                  <w:tcW w:w="722" w:type="pct"/>
                  <w:vMerge w:val="restart"/>
                  <w:tcBorders>
                    <w:tl2br w:val="nil"/>
                    <w:tr2bl w:val="nil"/>
                  </w:tcBorders>
                  <w:vAlign w:val="center"/>
                </w:tcPr>
                <w:p w14:paraId="2DB6CB92">
                  <w:pPr>
                    <w:widowControl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危险废物</w:t>
                  </w:r>
                </w:p>
              </w:tc>
              <w:tc>
                <w:tcPr>
                  <w:tcW w:w="814" w:type="pct"/>
                  <w:tcBorders>
                    <w:tl2br w:val="nil"/>
                    <w:tr2bl w:val="nil"/>
                  </w:tcBorders>
                  <w:vAlign w:val="center"/>
                </w:tcPr>
                <w:p w14:paraId="25590C5E">
                  <w:pPr>
                    <w:widowControl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废润滑油</w:t>
                  </w:r>
                </w:p>
              </w:tc>
              <w:tc>
                <w:tcPr>
                  <w:tcW w:w="473" w:type="pct"/>
                  <w:tcBorders>
                    <w:tl2br w:val="nil"/>
                    <w:tr2bl w:val="nil"/>
                  </w:tcBorders>
                  <w:vAlign w:val="center"/>
                </w:tcPr>
                <w:p w14:paraId="00513377">
                  <w:pPr>
                    <w:widowControl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液态</w:t>
                  </w:r>
                </w:p>
              </w:tc>
              <w:tc>
                <w:tcPr>
                  <w:tcW w:w="844" w:type="pct"/>
                  <w:tcBorders>
                    <w:tl2br w:val="nil"/>
                    <w:tr2bl w:val="nil"/>
                  </w:tcBorders>
                  <w:vAlign w:val="center"/>
                </w:tcPr>
                <w:p w14:paraId="71285B6E">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HW08 900-214-08</w:t>
                  </w:r>
                </w:p>
              </w:tc>
              <w:tc>
                <w:tcPr>
                  <w:tcW w:w="691" w:type="pct"/>
                  <w:tcBorders>
                    <w:tl2br w:val="nil"/>
                    <w:tr2bl w:val="nil"/>
                  </w:tcBorders>
                  <w:vAlign w:val="center"/>
                </w:tcPr>
                <w:p w14:paraId="191AD560">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0.1</w:t>
                  </w:r>
                </w:p>
              </w:tc>
              <w:tc>
                <w:tcPr>
                  <w:tcW w:w="1148" w:type="pct"/>
                  <w:vMerge w:val="restart"/>
                  <w:tcBorders>
                    <w:tl2br w:val="nil"/>
                    <w:tr2bl w:val="nil"/>
                  </w:tcBorders>
                  <w:vAlign w:val="center"/>
                </w:tcPr>
                <w:p w14:paraId="36A5C347">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暂存于危废暂存间，定期交由有资质单位处置</w:t>
                  </w:r>
                </w:p>
              </w:tc>
            </w:tr>
            <w:tr w14:paraId="0A6F40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vMerge w:val="continue"/>
                  <w:tcBorders>
                    <w:tl2br w:val="nil"/>
                    <w:tr2bl w:val="nil"/>
                  </w:tcBorders>
                  <w:vAlign w:val="center"/>
                </w:tcPr>
                <w:p w14:paraId="5A7408E4">
                  <w:pPr>
                    <w:widowControl w:val="0"/>
                    <w:spacing w:line="240" w:lineRule="auto"/>
                    <w:ind w:firstLine="0" w:firstLineChars="0"/>
                    <w:jc w:val="center"/>
                    <w:rPr>
                      <w:sz w:val="21"/>
                      <w:szCs w:val="21"/>
                    </w:rPr>
                  </w:pPr>
                </w:p>
              </w:tc>
              <w:tc>
                <w:tcPr>
                  <w:tcW w:w="722" w:type="pct"/>
                  <w:vMerge w:val="continue"/>
                  <w:tcBorders>
                    <w:tl2br w:val="nil"/>
                    <w:tr2bl w:val="nil"/>
                  </w:tcBorders>
                  <w:vAlign w:val="center"/>
                </w:tcPr>
                <w:p w14:paraId="2E7A6BD0">
                  <w:pPr>
                    <w:widowControl w:val="0"/>
                    <w:spacing w:line="240" w:lineRule="auto"/>
                    <w:ind w:firstLine="0" w:firstLineChars="0"/>
                    <w:jc w:val="center"/>
                    <w:rPr>
                      <w:sz w:val="21"/>
                      <w:szCs w:val="21"/>
                    </w:rPr>
                  </w:pPr>
                </w:p>
              </w:tc>
              <w:tc>
                <w:tcPr>
                  <w:tcW w:w="814" w:type="pct"/>
                  <w:tcBorders>
                    <w:tl2br w:val="nil"/>
                    <w:tr2bl w:val="nil"/>
                  </w:tcBorders>
                  <w:vAlign w:val="center"/>
                </w:tcPr>
                <w:p w14:paraId="38C09520">
                  <w:pPr>
                    <w:widowControl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废润滑油桶</w:t>
                  </w:r>
                </w:p>
              </w:tc>
              <w:tc>
                <w:tcPr>
                  <w:tcW w:w="473" w:type="pct"/>
                  <w:tcBorders>
                    <w:tl2br w:val="nil"/>
                    <w:tr2bl w:val="nil"/>
                  </w:tcBorders>
                  <w:vAlign w:val="center"/>
                </w:tcPr>
                <w:p w14:paraId="44F873CB">
                  <w:pPr>
                    <w:widowControl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固态</w:t>
                  </w:r>
                </w:p>
              </w:tc>
              <w:tc>
                <w:tcPr>
                  <w:tcW w:w="844" w:type="pct"/>
                  <w:tcBorders>
                    <w:tl2br w:val="nil"/>
                    <w:tr2bl w:val="nil"/>
                  </w:tcBorders>
                  <w:vAlign w:val="center"/>
                </w:tcPr>
                <w:p w14:paraId="0078578B">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HW49 900-041-49</w:t>
                  </w:r>
                </w:p>
              </w:tc>
              <w:tc>
                <w:tcPr>
                  <w:tcW w:w="691" w:type="pct"/>
                  <w:tcBorders>
                    <w:tl2br w:val="nil"/>
                    <w:tr2bl w:val="nil"/>
                  </w:tcBorders>
                  <w:vAlign w:val="center"/>
                </w:tcPr>
                <w:p w14:paraId="3420B4BC">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0.04</w:t>
                  </w:r>
                </w:p>
              </w:tc>
              <w:tc>
                <w:tcPr>
                  <w:tcW w:w="1148" w:type="pct"/>
                  <w:vMerge w:val="continue"/>
                  <w:tcBorders>
                    <w:tl2br w:val="nil"/>
                    <w:tr2bl w:val="nil"/>
                  </w:tcBorders>
                  <w:vAlign w:val="center"/>
                </w:tcPr>
                <w:p w14:paraId="01CFD5BF">
                  <w:pPr>
                    <w:widowControl w:val="0"/>
                    <w:spacing w:line="240" w:lineRule="auto"/>
                    <w:ind w:firstLine="0" w:firstLineChars="0"/>
                    <w:jc w:val="center"/>
                    <w:rPr>
                      <w:rFonts w:hint="eastAsia"/>
                      <w:sz w:val="21"/>
                      <w:szCs w:val="21"/>
                    </w:rPr>
                  </w:pPr>
                </w:p>
              </w:tc>
            </w:tr>
            <w:tr w14:paraId="0D2F02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vMerge w:val="continue"/>
                  <w:tcBorders>
                    <w:tl2br w:val="nil"/>
                    <w:tr2bl w:val="nil"/>
                  </w:tcBorders>
                  <w:vAlign w:val="center"/>
                </w:tcPr>
                <w:p w14:paraId="72A98A3E">
                  <w:pPr>
                    <w:widowControl w:val="0"/>
                    <w:spacing w:line="240" w:lineRule="auto"/>
                    <w:ind w:firstLine="0" w:firstLineChars="0"/>
                    <w:jc w:val="center"/>
                    <w:rPr>
                      <w:sz w:val="21"/>
                      <w:szCs w:val="21"/>
                    </w:rPr>
                  </w:pPr>
                </w:p>
              </w:tc>
              <w:tc>
                <w:tcPr>
                  <w:tcW w:w="722" w:type="pct"/>
                  <w:vMerge w:val="continue"/>
                  <w:tcBorders>
                    <w:tl2br w:val="nil"/>
                    <w:tr2bl w:val="nil"/>
                  </w:tcBorders>
                  <w:vAlign w:val="center"/>
                </w:tcPr>
                <w:p w14:paraId="356E4478">
                  <w:pPr>
                    <w:widowControl w:val="0"/>
                    <w:spacing w:line="240" w:lineRule="auto"/>
                    <w:ind w:firstLine="0" w:firstLineChars="0"/>
                    <w:jc w:val="center"/>
                    <w:rPr>
                      <w:sz w:val="21"/>
                      <w:szCs w:val="21"/>
                    </w:rPr>
                  </w:pPr>
                </w:p>
              </w:tc>
              <w:tc>
                <w:tcPr>
                  <w:tcW w:w="814" w:type="pct"/>
                  <w:tcBorders>
                    <w:tl2br w:val="nil"/>
                    <w:tr2bl w:val="nil"/>
                  </w:tcBorders>
                  <w:vAlign w:val="center"/>
                </w:tcPr>
                <w:p w14:paraId="7704C7AB">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废含油抹布、手套</w:t>
                  </w:r>
                </w:p>
              </w:tc>
              <w:tc>
                <w:tcPr>
                  <w:tcW w:w="473" w:type="pct"/>
                  <w:tcBorders>
                    <w:tl2br w:val="nil"/>
                    <w:tr2bl w:val="nil"/>
                  </w:tcBorders>
                  <w:vAlign w:val="center"/>
                </w:tcPr>
                <w:p w14:paraId="5ED4B3E4">
                  <w:pPr>
                    <w:widowControl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固态</w:t>
                  </w:r>
                </w:p>
              </w:tc>
              <w:tc>
                <w:tcPr>
                  <w:tcW w:w="844" w:type="pct"/>
                  <w:tcBorders>
                    <w:tl2br w:val="nil"/>
                    <w:tr2bl w:val="nil"/>
                  </w:tcBorders>
                  <w:vAlign w:val="center"/>
                </w:tcPr>
                <w:p w14:paraId="694E0301">
                  <w:pPr>
                    <w:widowControl w:val="0"/>
                    <w:spacing w:line="240" w:lineRule="auto"/>
                    <w:ind w:firstLine="0" w:firstLineChars="0"/>
                    <w:jc w:val="center"/>
                    <w:rPr>
                      <w:rFonts w:hint="eastAsia"/>
                      <w:sz w:val="21"/>
                      <w:szCs w:val="21"/>
                    </w:rPr>
                  </w:pPr>
                  <w:r>
                    <w:rPr>
                      <w:rFonts w:hint="eastAsia"/>
                      <w:sz w:val="21"/>
                      <w:szCs w:val="21"/>
                      <w:lang w:val="en-US" w:eastAsia="zh-CN"/>
                    </w:rPr>
                    <w:t>HW49 900-041-49</w:t>
                  </w:r>
                </w:p>
              </w:tc>
              <w:tc>
                <w:tcPr>
                  <w:tcW w:w="691" w:type="pct"/>
                  <w:tcBorders>
                    <w:tl2br w:val="nil"/>
                    <w:tr2bl w:val="nil"/>
                  </w:tcBorders>
                  <w:vAlign w:val="center"/>
                </w:tcPr>
                <w:p w14:paraId="0E81A6E9">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0.005</w:t>
                  </w:r>
                </w:p>
              </w:tc>
              <w:tc>
                <w:tcPr>
                  <w:tcW w:w="1148" w:type="pct"/>
                  <w:vMerge w:val="continue"/>
                  <w:tcBorders>
                    <w:tl2br w:val="nil"/>
                    <w:tr2bl w:val="nil"/>
                  </w:tcBorders>
                  <w:vAlign w:val="center"/>
                </w:tcPr>
                <w:p w14:paraId="4DBA9734">
                  <w:pPr>
                    <w:widowControl w:val="0"/>
                    <w:spacing w:line="240" w:lineRule="auto"/>
                    <w:ind w:firstLine="0" w:firstLineChars="0"/>
                    <w:jc w:val="center"/>
                    <w:rPr>
                      <w:rFonts w:hint="eastAsia"/>
                      <w:sz w:val="21"/>
                      <w:szCs w:val="21"/>
                    </w:rPr>
                  </w:pPr>
                </w:p>
              </w:tc>
            </w:tr>
          </w:tbl>
          <w:p w14:paraId="2256BDFF">
            <w:pPr>
              <w:pStyle w:val="379"/>
              <w:numPr>
                <w:ilvl w:val="0"/>
                <w:numId w:val="6"/>
              </w:numPr>
              <w:tabs>
                <w:tab w:val="clear" w:pos="1139"/>
              </w:tabs>
              <w:spacing w:before="164" w:beforeLines="50" w:line="240" w:lineRule="auto"/>
              <w:ind w:firstLineChars="0"/>
              <w:jc w:val="center"/>
              <w:rPr>
                <w:b/>
                <w:sz w:val="24"/>
              </w:rPr>
            </w:pPr>
            <w:r>
              <w:rPr>
                <w:b/>
                <w:sz w:val="24"/>
              </w:rPr>
              <w:t>危险废物产生及处置情况表</w:t>
            </w:r>
          </w:p>
          <w:tbl>
            <w:tblPr>
              <w:tblStyle w:val="31"/>
              <w:tblW w:w="49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003"/>
              <w:gridCol w:w="835"/>
              <w:gridCol w:w="1281"/>
              <w:gridCol w:w="947"/>
              <w:gridCol w:w="906"/>
              <w:gridCol w:w="587"/>
              <w:gridCol w:w="663"/>
              <w:gridCol w:w="687"/>
              <w:gridCol w:w="848"/>
            </w:tblGrid>
            <w:tr w14:paraId="255691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278" w:type="pct"/>
                  <w:vAlign w:val="center"/>
                </w:tcPr>
                <w:p w14:paraId="74C39D26">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序号</w:t>
                  </w:r>
                </w:p>
              </w:tc>
              <w:tc>
                <w:tcPr>
                  <w:tcW w:w="610" w:type="pct"/>
                  <w:vAlign w:val="center"/>
                </w:tcPr>
                <w:p w14:paraId="0F70BFE1">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名称</w:t>
                  </w:r>
                </w:p>
              </w:tc>
              <w:tc>
                <w:tcPr>
                  <w:tcW w:w="508" w:type="pct"/>
                  <w:vAlign w:val="center"/>
                </w:tcPr>
                <w:p w14:paraId="737DE4FD">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类别</w:t>
                  </w:r>
                </w:p>
              </w:tc>
              <w:tc>
                <w:tcPr>
                  <w:tcW w:w="779" w:type="pct"/>
                  <w:vAlign w:val="center"/>
                </w:tcPr>
                <w:p w14:paraId="3FC6BE56">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代码</w:t>
                  </w:r>
                </w:p>
              </w:tc>
              <w:tc>
                <w:tcPr>
                  <w:tcW w:w="576" w:type="pct"/>
                  <w:vAlign w:val="center"/>
                </w:tcPr>
                <w:p w14:paraId="4680CFF8">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产生量（t/a）</w:t>
                  </w:r>
                </w:p>
              </w:tc>
              <w:tc>
                <w:tcPr>
                  <w:tcW w:w="551" w:type="pct"/>
                  <w:vAlign w:val="center"/>
                </w:tcPr>
                <w:p w14:paraId="56B7380E">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产生工序及装置</w:t>
                  </w:r>
                </w:p>
              </w:tc>
              <w:tc>
                <w:tcPr>
                  <w:tcW w:w="357" w:type="pct"/>
                  <w:vAlign w:val="center"/>
                </w:tcPr>
                <w:p w14:paraId="4DEE5E8E">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形态</w:t>
                  </w:r>
                </w:p>
              </w:tc>
              <w:tc>
                <w:tcPr>
                  <w:tcW w:w="403" w:type="pct"/>
                  <w:vAlign w:val="center"/>
                </w:tcPr>
                <w:p w14:paraId="4CAE55E3">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主要</w:t>
                  </w:r>
                </w:p>
                <w:p w14:paraId="5721B94F">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成分</w:t>
                  </w:r>
                </w:p>
              </w:tc>
              <w:tc>
                <w:tcPr>
                  <w:tcW w:w="418" w:type="pct"/>
                  <w:vAlign w:val="center"/>
                </w:tcPr>
                <w:p w14:paraId="43CEEF5B">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危险</w:t>
                  </w:r>
                </w:p>
                <w:p w14:paraId="74C13FDC">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特性</w:t>
                  </w:r>
                </w:p>
              </w:tc>
              <w:tc>
                <w:tcPr>
                  <w:tcW w:w="516" w:type="pct"/>
                  <w:vAlign w:val="center"/>
                </w:tcPr>
                <w:p w14:paraId="34BBD7E7">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污染防治措施</w:t>
                  </w:r>
                </w:p>
              </w:tc>
            </w:tr>
            <w:tr w14:paraId="65377F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78" w:type="pct"/>
                  <w:vAlign w:val="center"/>
                </w:tcPr>
                <w:p w14:paraId="05266FB4">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610" w:type="pct"/>
                  <w:vAlign w:val="center"/>
                </w:tcPr>
                <w:p w14:paraId="2E980A82">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废润滑油桶</w:t>
                  </w:r>
                </w:p>
              </w:tc>
              <w:tc>
                <w:tcPr>
                  <w:tcW w:w="508" w:type="pct"/>
                  <w:vAlign w:val="center"/>
                </w:tcPr>
                <w:p w14:paraId="19D7E6F5">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HW49</w:t>
                  </w:r>
                </w:p>
              </w:tc>
              <w:tc>
                <w:tcPr>
                  <w:tcW w:w="779" w:type="pct"/>
                  <w:vAlign w:val="center"/>
                </w:tcPr>
                <w:p w14:paraId="0AC414A8">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900-041-49</w:t>
                  </w:r>
                </w:p>
              </w:tc>
              <w:tc>
                <w:tcPr>
                  <w:tcW w:w="576" w:type="pct"/>
                  <w:vAlign w:val="center"/>
                </w:tcPr>
                <w:p w14:paraId="1F5927BB">
                  <w:pPr>
                    <w:adjustRightInd w:val="0"/>
                    <w:snapToGrid w:val="0"/>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0.04</w:t>
                  </w:r>
                </w:p>
              </w:tc>
              <w:tc>
                <w:tcPr>
                  <w:tcW w:w="551" w:type="pct"/>
                  <w:vAlign w:val="center"/>
                </w:tcPr>
                <w:p w14:paraId="3A55FB57">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维修养护</w:t>
                  </w:r>
                </w:p>
              </w:tc>
              <w:tc>
                <w:tcPr>
                  <w:tcW w:w="357" w:type="pct"/>
                  <w:vAlign w:val="center"/>
                </w:tcPr>
                <w:p w14:paraId="0F97FA3F">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固态</w:t>
                  </w:r>
                </w:p>
              </w:tc>
              <w:tc>
                <w:tcPr>
                  <w:tcW w:w="403" w:type="pct"/>
                  <w:vAlign w:val="center"/>
                </w:tcPr>
                <w:p w14:paraId="5467FADB">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418" w:type="pct"/>
                  <w:vAlign w:val="center"/>
                </w:tcPr>
                <w:p w14:paraId="340F97B3">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T/In</w:t>
                  </w:r>
                </w:p>
              </w:tc>
              <w:tc>
                <w:tcPr>
                  <w:tcW w:w="516" w:type="pct"/>
                  <w:vMerge w:val="restart"/>
                  <w:vAlign w:val="center"/>
                </w:tcPr>
                <w:p w14:paraId="553B7655">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暂存于危废暂存间后交由有资质单位处置</w:t>
                  </w:r>
                </w:p>
              </w:tc>
            </w:tr>
            <w:tr w14:paraId="584C28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78" w:type="pct"/>
                  <w:vAlign w:val="center"/>
                </w:tcPr>
                <w:p w14:paraId="1D2655C4">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610" w:type="pct"/>
                  <w:vAlign w:val="center"/>
                </w:tcPr>
                <w:p w14:paraId="62B5037D">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废润滑油</w:t>
                  </w:r>
                </w:p>
              </w:tc>
              <w:tc>
                <w:tcPr>
                  <w:tcW w:w="508" w:type="pct"/>
                  <w:vAlign w:val="center"/>
                </w:tcPr>
                <w:p w14:paraId="5553B098">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HW08</w:t>
                  </w:r>
                </w:p>
              </w:tc>
              <w:tc>
                <w:tcPr>
                  <w:tcW w:w="779" w:type="pct"/>
                  <w:vAlign w:val="center"/>
                </w:tcPr>
                <w:p w14:paraId="06AA9D6D">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900-</w:t>
                  </w:r>
                  <w:r>
                    <w:rPr>
                      <w:rFonts w:hint="eastAsia" w:cs="Times New Roman"/>
                      <w:sz w:val="21"/>
                      <w:szCs w:val="21"/>
                      <w:lang w:val="en-US" w:eastAsia="zh-CN"/>
                    </w:rPr>
                    <w:t>214</w:t>
                  </w:r>
                  <w:r>
                    <w:rPr>
                      <w:rFonts w:hint="default" w:ascii="Times New Roman" w:hAnsi="Times New Roman" w:eastAsia="宋体" w:cs="Times New Roman"/>
                      <w:sz w:val="21"/>
                      <w:szCs w:val="21"/>
                    </w:rPr>
                    <w:t>-08</w:t>
                  </w:r>
                </w:p>
              </w:tc>
              <w:tc>
                <w:tcPr>
                  <w:tcW w:w="576" w:type="pct"/>
                  <w:vAlign w:val="center"/>
                </w:tcPr>
                <w:p w14:paraId="5A6608C8">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0.1</w:t>
                  </w:r>
                </w:p>
              </w:tc>
              <w:tc>
                <w:tcPr>
                  <w:tcW w:w="551" w:type="pct"/>
                  <w:vAlign w:val="center"/>
                </w:tcPr>
                <w:p w14:paraId="176BC49D">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维修养护</w:t>
                  </w:r>
                </w:p>
              </w:tc>
              <w:tc>
                <w:tcPr>
                  <w:tcW w:w="357" w:type="pct"/>
                  <w:vAlign w:val="center"/>
                </w:tcPr>
                <w:p w14:paraId="1C627A5A">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液态</w:t>
                  </w:r>
                </w:p>
              </w:tc>
              <w:tc>
                <w:tcPr>
                  <w:tcW w:w="403" w:type="pct"/>
                  <w:vAlign w:val="center"/>
                </w:tcPr>
                <w:p w14:paraId="08FC94D5">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418" w:type="pct"/>
                  <w:vAlign w:val="center"/>
                </w:tcPr>
                <w:p w14:paraId="5CE66374">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T/I</w:t>
                  </w:r>
                </w:p>
              </w:tc>
              <w:tc>
                <w:tcPr>
                  <w:tcW w:w="516" w:type="pct"/>
                  <w:vMerge w:val="continue"/>
                  <w:vAlign w:val="center"/>
                </w:tcPr>
                <w:p w14:paraId="0D823C33">
                  <w:pPr>
                    <w:adjustRightInd w:val="0"/>
                    <w:snapToGrid w:val="0"/>
                    <w:spacing w:line="240" w:lineRule="auto"/>
                    <w:ind w:firstLine="0" w:firstLineChars="0"/>
                    <w:jc w:val="center"/>
                    <w:rPr>
                      <w:rFonts w:hint="default" w:ascii="Times New Roman" w:hAnsi="Times New Roman" w:eastAsia="宋体" w:cs="Times New Roman"/>
                      <w:sz w:val="21"/>
                      <w:szCs w:val="21"/>
                    </w:rPr>
                  </w:pPr>
                </w:p>
              </w:tc>
            </w:tr>
            <w:tr w14:paraId="1F166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78" w:type="pct"/>
                  <w:vAlign w:val="center"/>
                </w:tcPr>
                <w:p w14:paraId="7CCBC37F">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610" w:type="pct"/>
                  <w:vAlign w:val="center"/>
                </w:tcPr>
                <w:p w14:paraId="3017DB72">
                  <w:pPr>
                    <w:adjustRightInd w:val="0"/>
                    <w:snapToGri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废含油抹布手套</w:t>
                  </w:r>
                </w:p>
              </w:tc>
              <w:tc>
                <w:tcPr>
                  <w:tcW w:w="508" w:type="pct"/>
                  <w:vAlign w:val="center"/>
                </w:tcPr>
                <w:p w14:paraId="1E4A6514">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HW49</w:t>
                  </w:r>
                </w:p>
              </w:tc>
              <w:tc>
                <w:tcPr>
                  <w:tcW w:w="779" w:type="pct"/>
                  <w:vAlign w:val="center"/>
                </w:tcPr>
                <w:p w14:paraId="271480BE">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900-041-49</w:t>
                  </w:r>
                </w:p>
              </w:tc>
              <w:tc>
                <w:tcPr>
                  <w:tcW w:w="576" w:type="pct"/>
                  <w:vAlign w:val="center"/>
                </w:tcPr>
                <w:p w14:paraId="589BAFA5">
                  <w:pPr>
                    <w:adjustRightInd w:val="0"/>
                    <w:snapToGrid w:val="0"/>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0.005</w:t>
                  </w:r>
                </w:p>
              </w:tc>
              <w:tc>
                <w:tcPr>
                  <w:tcW w:w="551" w:type="pct"/>
                  <w:vAlign w:val="center"/>
                </w:tcPr>
                <w:p w14:paraId="67AE36BD">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废气处理</w:t>
                  </w:r>
                </w:p>
              </w:tc>
              <w:tc>
                <w:tcPr>
                  <w:tcW w:w="357" w:type="pct"/>
                  <w:vAlign w:val="center"/>
                </w:tcPr>
                <w:p w14:paraId="2176DCC9">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固态</w:t>
                  </w:r>
                </w:p>
              </w:tc>
              <w:tc>
                <w:tcPr>
                  <w:tcW w:w="403" w:type="pct"/>
                  <w:vAlign w:val="center"/>
                </w:tcPr>
                <w:p w14:paraId="6800C29D">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418" w:type="pct"/>
                  <w:vAlign w:val="center"/>
                </w:tcPr>
                <w:p w14:paraId="0036F8B3">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T/In</w:t>
                  </w:r>
                </w:p>
              </w:tc>
              <w:tc>
                <w:tcPr>
                  <w:tcW w:w="516" w:type="pct"/>
                  <w:vMerge w:val="continue"/>
                  <w:vAlign w:val="center"/>
                </w:tcPr>
                <w:p w14:paraId="57EFA193">
                  <w:pPr>
                    <w:adjustRightInd w:val="0"/>
                    <w:snapToGrid w:val="0"/>
                    <w:spacing w:line="240" w:lineRule="auto"/>
                    <w:ind w:firstLine="0" w:firstLineChars="0"/>
                    <w:jc w:val="center"/>
                    <w:rPr>
                      <w:rFonts w:hint="default" w:ascii="Times New Roman" w:hAnsi="Times New Roman" w:eastAsia="宋体" w:cs="Times New Roman"/>
                      <w:sz w:val="21"/>
                      <w:szCs w:val="21"/>
                    </w:rPr>
                  </w:pPr>
                </w:p>
              </w:tc>
            </w:tr>
          </w:tbl>
          <w:p w14:paraId="0628D1EC">
            <w:pPr>
              <w:adjustRightInd w:val="0"/>
              <w:snapToGrid w:val="0"/>
              <w:spacing w:before="120" w:beforeLines="50"/>
              <w:ind w:firstLine="522"/>
              <w:rPr>
                <w:b/>
                <w:spacing w:val="-10"/>
                <w:sz w:val="28"/>
                <w:szCs w:val="28"/>
              </w:rPr>
            </w:pPr>
            <w:r>
              <w:rPr>
                <w:b/>
                <w:spacing w:val="-10"/>
                <w:sz w:val="28"/>
                <w:szCs w:val="28"/>
              </w:rPr>
              <w:t>环境管理要求</w:t>
            </w:r>
          </w:p>
          <w:p w14:paraId="460DE2A6">
            <w:pPr>
              <w:adjustRightInd w:val="0"/>
              <w:snapToGrid w:val="0"/>
              <w:ind w:firstLine="480"/>
              <w:rPr>
                <w:szCs w:val="21"/>
              </w:rPr>
            </w:pPr>
            <w:r>
              <w:rPr>
                <w:rFonts w:hint="eastAsia"/>
                <w:u w:val="none"/>
                <w:shd w:val="clear" w:color="auto" w:fill="FFFFFF"/>
                <w:lang w:val="en-US" w:eastAsia="zh-CN"/>
              </w:rPr>
              <w:t>本项目不设置一般固废暂存间，除尘器收集粉尘由布袋除尘器收集后返回筒仓储存</w:t>
            </w:r>
            <w:r>
              <w:rPr>
                <w:rFonts w:hint="eastAsia"/>
                <w:szCs w:val="21"/>
                <w:u w:val="none"/>
              </w:rPr>
              <w:t>；危废暂存间</w:t>
            </w:r>
            <w:r>
              <w:rPr>
                <w:rFonts w:hint="eastAsia"/>
                <w:u w:val="none"/>
                <w:shd w:val="clear" w:color="auto" w:fill="FFFFFF"/>
              </w:rPr>
              <w:t>占地面积</w:t>
            </w:r>
            <w:r>
              <w:rPr>
                <w:rFonts w:hint="eastAsia"/>
                <w:u w:val="none"/>
                <w:shd w:val="clear" w:color="auto" w:fill="FFFFFF"/>
                <w:lang w:val="en-US" w:eastAsia="zh-CN"/>
              </w:rPr>
              <w:t>200</w:t>
            </w:r>
            <w:r>
              <w:rPr>
                <w:rFonts w:hint="eastAsia"/>
                <w:u w:val="none"/>
                <w:shd w:val="clear" w:color="auto" w:fill="FFFFFF"/>
              </w:rPr>
              <w:t>m</w:t>
            </w:r>
            <w:r>
              <w:rPr>
                <w:rFonts w:hint="eastAsia"/>
                <w:u w:val="none"/>
                <w:shd w:val="clear" w:color="auto" w:fill="FFFFFF"/>
                <w:vertAlign w:val="superscript"/>
              </w:rPr>
              <w:t>2</w:t>
            </w:r>
            <w:r>
              <w:rPr>
                <w:rFonts w:hint="eastAsia"/>
                <w:u w:val="none"/>
                <w:shd w:val="clear" w:color="auto" w:fill="FFFFFF"/>
              </w:rPr>
              <w:t>，</w:t>
            </w:r>
            <w:r>
              <w:rPr>
                <w:rFonts w:hint="eastAsia"/>
                <w:u w:val="none"/>
                <w:shd w:val="clear" w:color="auto" w:fill="FFFFFF"/>
                <w:lang w:val="en-US" w:eastAsia="zh-CN"/>
              </w:rPr>
              <w:t>厂区现有</w:t>
            </w:r>
            <w:r>
              <w:rPr>
                <w:rFonts w:hint="eastAsia"/>
                <w:u w:val="none"/>
                <w:shd w:val="clear" w:color="auto" w:fill="FFFFFF"/>
              </w:rPr>
              <w:t>危废暂存间的</w:t>
            </w:r>
            <w:r>
              <w:rPr>
                <w:rFonts w:hint="eastAsia"/>
                <w:szCs w:val="21"/>
                <w:u w:val="none"/>
              </w:rPr>
              <w:t>管理和建设满足《危险废物贮存污染控制标准》（GB18597-2023）的要求，地面</w:t>
            </w:r>
            <w:r>
              <w:rPr>
                <w:rFonts w:hint="eastAsia"/>
                <w:szCs w:val="21"/>
                <w:u w:val="none"/>
                <w:lang w:val="en-US" w:eastAsia="zh-CN"/>
              </w:rPr>
              <w:t>已</w:t>
            </w:r>
            <w:r>
              <w:rPr>
                <w:rFonts w:hint="eastAsia"/>
                <w:szCs w:val="21"/>
                <w:u w:val="none"/>
              </w:rPr>
              <w:t>进行防腐防渗处理，液态危险废物设置围堰，防止液态危险废物泄漏直接泄漏至地面。建设单位还应按照《危险废物收集、贮存、运输技术规范》（HJ 2025-2012）的相关要求进行危险废物收集、贮存和运输，并委托有资质单位进行处置，避免危险废物对环境的二次污染风险。</w:t>
            </w:r>
          </w:p>
          <w:p w14:paraId="5FA4163E">
            <w:pPr>
              <w:numPr>
                <w:ilvl w:val="0"/>
                <w:numId w:val="28"/>
              </w:numPr>
              <w:autoSpaceDE w:val="0"/>
              <w:autoSpaceDN w:val="0"/>
              <w:adjustRightInd w:val="0"/>
              <w:snapToGrid w:val="0"/>
              <w:ind w:firstLineChars="0"/>
              <w:rPr>
                <w:b/>
                <w:sz w:val="28"/>
                <w:szCs w:val="28"/>
              </w:rPr>
            </w:pPr>
            <w:r>
              <w:rPr>
                <w:rFonts w:hint="eastAsia"/>
                <w:b/>
                <w:sz w:val="28"/>
                <w:szCs w:val="28"/>
              </w:rPr>
              <w:t>地下水及土壤影响分析</w:t>
            </w:r>
          </w:p>
          <w:p w14:paraId="1C20B49F">
            <w:pPr>
              <w:autoSpaceDE w:val="0"/>
              <w:autoSpaceDN w:val="0"/>
              <w:adjustRightInd w:val="0"/>
              <w:snapToGrid w:val="0"/>
              <w:ind w:firstLine="480"/>
              <w:rPr>
                <w:szCs w:val="21"/>
              </w:rPr>
            </w:pPr>
            <w:r>
              <w:rPr>
                <w:rFonts w:hint="eastAsia"/>
                <w:szCs w:val="21"/>
              </w:rPr>
              <w:t>根据工程分析，本项目土壤和地下水污染主要风险源为危废暂存间发生危险废物泄漏事故，企业需采取源头控制和分区防治的措施进行土壤和地下水污染防治。</w:t>
            </w:r>
          </w:p>
          <w:p w14:paraId="1012BB97">
            <w:pPr>
              <w:autoSpaceDE w:val="0"/>
              <w:autoSpaceDN w:val="0"/>
              <w:adjustRightInd w:val="0"/>
              <w:snapToGrid w:val="0"/>
              <w:ind w:firstLine="480"/>
              <w:rPr>
                <w:szCs w:val="21"/>
              </w:rPr>
            </w:pPr>
            <w:r>
              <w:rPr>
                <w:rFonts w:hint="eastAsia"/>
                <w:szCs w:val="21"/>
              </w:rPr>
              <w:t>①源头控制措施：危废暂存间设置围堰或防渗漏托盘，防止废</w:t>
            </w:r>
            <w:r>
              <w:rPr>
                <w:rFonts w:hint="eastAsia"/>
                <w:szCs w:val="21"/>
                <w:lang w:val="en-US" w:eastAsia="zh-CN"/>
              </w:rPr>
              <w:t>润滑</w:t>
            </w:r>
            <w:r>
              <w:rPr>
                <w:rFonts w:hint="eastAsia"/>
                <w:szCs w:val="21"/>
              </w:rPr>
              <w:t>油等液体危险废物直接泄漏至地面。</w:t>
            </w:r>
          </w:p>
          <w:p w14:paraId="6C734C4A">
            <w:pPr>
              <w:autoSpaceDE w:val="0"/>
              <w:autoSpaceDN w:val="0"/>
              <w:adjustRightInd w:val="0"/>
              <w:snapToGrid w:val="0"/>
              <w:ind w:firstLine="480"/>
              <w:rPr>
                <w:rFonts w:hint="eastAsia"/>
              </w:rPr>
            </w:pPr>
            <w:r>
              <w:rPr>
                <w:rFonts w:hint="eastAsia"/>
                <w:szCs w:val="21"/>
              </w:rPr>
              <w:t>②防渗控制措施：厂区地面已进行基础防腐防渗处理，能有效防止污染物渗漏污染土壤和地下水。</w:t>
            </w:r>
            <w:r>
              <w:rPr>
                <w:rFonts w:hint="eastAsia"/>
              </w:rPr>
              <w:t>危废暂存区</w:t>
            </w:r>
            <w:r>
              <w:rPr>
                <w:rFonts w:hint="eastAsia"/>
                <w:lang w:val="en-US" w:eastAsia="zh-CN"/>
              </w:rPr>
              <w:t>已</w:t>
            </w:r>
            <w:r>
              <w:rPr>
                <w:rFonts w:hint="eastAsia"/>
              </w:rPr>
              <w:t>进行重点防渗；</w:t>
            </w:r>
          </w:p>
          <w:p w14:paraId="70440445">
            <w:pPr>
              <w:autoSpaceDE w:val="0"/>
              <w:autoSpaceDN w:val="0"/>
              <w:adjustRightInd w:val="0"/>
              <w:snapToGrid w:val="0"/>
              <w:ind w:firstLine="480"/>
              <w:rPr>
                <w:szCs w:val="21"/>
              </w:rPr>
            </w:pPr>
            <w:r>
              <w:rPr>
                <w:rFonts w:hint="eastAsia"/>
                <w:szCs w:val="21"/>
              </w:rPr>
              <w:t>综上，建设单位在营运期间将各项防渗措施按照要求落实，并在后续生产中通过加强维护和厂区环境管理，项目对地下水、土壤环境影响可接受。</w:t>
            </w:r>
          </w:p>
          <w:p w14:paraId="6D98356F">
            <w:pPr>
              <w:numPr>
                <w:ilvl w:val="0"/>
                <w:numId w:val="28"/>
              </w:numPr>
              <w:autoSpaceDE w:val="0"/>
              <w:autoSpaceDN w:val="0"/>
              <w:adjustRightInd w:val="0"/>
              <w:snapToGrid w:val="0"/>
              <w:ind w:firstLineChars="0"/>
              <w:rPr>
                <w:b/>
                <w:sz w:val="28"/>
                <w:szCs w:val="28"/>
              </w:rPr>
            </w:pPr>
            <w:r>
              <w:rPr>
                <w:rFonts w:hint="eastAsia"/>
                <w:b/>
                <w:sz w:val="28"/>
                <w:szCs w:val="28"/>
              </w:rPr>
              <w:t>环境风险</w:t>
            </w:r>
          </w:p>
          <w:p w14:paraId="71950AE3">
            <w:pPr>
              <w:ind w:firstLine="0" w:firstLineChars="0"/>
            </w:pPr>
            <w:r>
              <w:rPr>
                <w:rFonts w:hint="eastAsia"/>
                <w:b/>
                <w:bCs/>
              </w:rPr>
              <w:t>6.1环境风险识别</w:t>
            </w:r>
          </w:p>
          <w:p w14:paraId="13F92E69">
            <w:pPr>
              <w:ind w:firstLine="480"/>
            </w:pPr>
            <w:r>
              <w:rPr>
                <w:rFonts w:hint="eastAsia"/>
              </w:rPr>
              <w:t>根据项目工程分析，本项目涉及的环境风险物质为危废暂存间的废润滑油、废油桶等，根据《建设项目环境风险评价技术导则》（HJ169-2018）附录B中风险物质及临界量，项目风险物质储存情况及风险临界量比值情况如下表所示：</w:t>
            </w:r>
          </w:p>
          <w:p w14:paraId="7AE86914">
            <w:pPr>
              <w:pStyle w:val="379"/>
              <w:keepNext w:val="0"/>
              <w:keepLines w:val="0"/>
              <w:pageBreakBefore w:val="0"/>
              <w:widowControl w:val="0"/>
              <w:kinsoku/>
              <w:wordWrap/>
              <w:overflowPunct/>
              <w:topLinePunct w:val="0"/>
              <w:autoSpaceDE/>
              <w:autoSpaceDN/>
              <w:bidi w:val="0"/>
              <w:adjustRightInd/>
              <w:snapToGrid/>
              <w:spacing w:line="240" w:lineRule="auto"/>
              <w:textAlignment w:val="auto"/>
              <w:rPr>
                <w:rFonts w:eastAsia="黑体"/>
              </w:rPr>
            </w:pPr>
            <w:r>
              <w:rPr>
                <w:rFonts w:hint="eastAsia"/>
                <w:b/>
                <w:bCs/>
              </w:rPr>
              <w:t>项目风险物质数量及分布情况一览表</w:t>
            </w:r>
          </w:p>
          <w:tbl>
            <w:tblPr>
              <w:tblStyle w:val="31"/>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08"/>
              <w:gridCol w:w="941"/>
              <w:gridCol w:w="1273"/>
              <w:gridCol w:w="762"/>
              <w:gridCol w:w="1495"/>
              <w:gridCol w:w="1042"/>
              <w:gridCol w:w="1250"/>
              <w:gridCol w:w="841"/>
            </w:tblGrid>
            <w:tr w14:paraId="239B12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70" w:type="pct"/>
                  <w:vAlign w:val="center"/>
                </w:tcPr>
                <w:p w14:paraId="0BC07FF5">
                  <w:pPr>
                    <w:spacing w:line="240" w:lineRule="auto"/>
                    <w:ind w:firstLine="0" w:firstLineChars="0"/>
                    <w:jc w:val="center"/>
                    <w:rPr>
                      <w:b/>
                      <w:bCs/>
                      <w:sz w:val="21"/>
                      <w:szCs w:val="21"/>
                    </w:rPr>
                  </w:pPr>
                  <w:r>
                    <w:rPr>
                      <w:b/>
                      <w:bCs/>
                      <w:sz w:val="21"/>
                      <w:szCs w:val="21"/>
                    </w:rPr>
                    <w:t>序号</w:t>
                  </w:r>
                </w:p>
              </w:tc>
              <w:tc>
                <w:tcPr>
                  <w:tcW w:w="573" w:type="pct"/>
                  <w:vAlign w:val="center"/>
                </w:tcPr>
                <w:p w14:paraId="37860114">
                  <w:pPr>
                    <w:spacing w:line="240" w:lineRule="auto"/>
                    <w:ind w:firstLine="0" w:firstLineChars="0"/>
                    <w:jc w:val="center"/>
                    <w:rPr>
                      <w:b/>
                      <w:bCs/>
                      <w:sz w:val="21"/>
                      <w:szCs w:val="21"/>
                    </w:rPr>
                  </w:pPr>
                  <w:r>
                    <w:rPr>
                      <w:b/>
                      <w:bCs/>
                      <w:sz w:val="21"/>
                      <w:szCs w:val="21"/>
                    </w:rPr>
                    <w:t>风险源</w:t>
                  </w:r>
                </w:p>
              </w:tc>
              <w:tc>
                <w:tcPr>
                  <w:tcW w:w="775" w:type="pct"/>
                  <w:vAlign w:val="center"/>
                </w:tcPr>
                <w:p w14:paraId="519DE545">
                  <w:pPr>
                    <w:spacing w:line="240" w:lineRule="auto"/>
                    <w:ind w:firstLine="0" w:firstLineChars="0"/>
                    <w:jc w:val="center"/>
                    <w:rPr>
                      <w:b/>
                      <w:bCs/>
                      <w:sz w:val="21"/>
                      <w:szCs w:val="21"/>
                    </w:rPr>
                  </w:pPr>
                  <w:r>
                    <w:rPr>
                      <w:b/>
                      <w:bCs/>
                      <w:sz w:val="21"/>
                      <w:szCs w:val="21"/>
                    </w:rPr>
                    <w:t>风险物质</w:t>
                  </w:r>
                </w:p>
              </w:tc>
              <w:tc>
                <w:tcPr>
                  <w:tcW w:w="464" w:type="pct"/>
                  <w:vAlign w:val="center"/>
                </w:tcPr>
                <w:p w14:paraId="4177A62E">
                  <w:pPr>
                    <w:spacing w:line="240" w:lineRule="auto"/>
                    <w:ind w:firstLine="0" w:firstLineChars="0"/>
                    <w:jc w:val="center"/>
                    <w:rPr>
                      <w:b/>
                      <w:bCs/>
                      <w:sz w:val="21"/>
                      <w:szCs w:val="21"/>
                    </w:rPr>
                  </w:pPr>
                  <w:r>
                    <w:rPr>
                      <w:b/>
                      <w:bCs/>
                      <w:sz w:val="21"/>
                      <w:szCs w:val="21"/>
                    </w:rPr>
                    <w:t>形态</w:t>
                  </w:r>
                </w:p>
              </w:tc>
              <w:tc>
                <w:tcPr>
                  <w:tcW w:w="910" w:type="pct"/>
                  <w:vAlign w:val="center"/>
                </w:tcPr>
                <w:p w14:paraId="787BB97F">
                  <w:pPr>
                    <w:spacing w:line="240" w:lineRule="auto"/>
                    <w:ind w:firstLine="0" w:firstLineChars="0"/>
                    <w:jc w:val="center"/>
                    <w:rPr>
                      <w:b/>
                      <w:bCs/>
                      <w:sz w:val="21"/>
                      <w:szCs w:val="21"/>
                    </w:rPr>
                  </w:pPr>
                  <w:r>
                    <w:rPr>
                      <w:b/>
                      <w:bCs/>
                      <w:sz w:val="21"/>
                      <w:szCs w:val="21"/>
                    </w:rPr>
                    <w:t>最大储存量</w:t>
                  </w:r>
                </w:p>
                <w:p w14:paraId="3AE607F7">
                  <w:pPr>
                    <w:spacing w:line="240" w:lineRule="auto"/>
                    <w:ind w:firstLine="0" w:firstLineChars="0"/>
                    <w:jc w:val="center"/>
                    <w:rPr>
                      <w:b/>
                      <w:bCs/>
                      <w:sz w:val="21"/>
                      <w:szCs w:val="21"/>
                    </w:rPr>
                  </w:pPr>
                  <w:r>
                    <w:rPr>
                      <w:b/>
                      <w:bCs/>
                      <w:sz w:val="21"/>
                      <w:szCs w:val="21"/>
                    </w:rPr>
                    <w:t>qn/t</w:t>
                  </w:r>
                </w:p>
              </w:tc>
              <w:tc>
                <w:tcPr>
                  <w:tcW w:w="632" w:type="pct"/>
                  <w:vAlign w:val="center"/>
                </w:tcPr>
                <w:p w14:paraId="4BF89602">
                  <w:pPr>
                    <w:spacing w:line="240" w:lineRule="auto"/>
                    <w:ind w:firstLine="0" w:firstLineChars="0"/>
                    <w:jc w:val="center"/>
                    <w:rPr>
                      <w:b/>
                      <w:bCs/>
                      <w:sz w:val="21"/>
                      <w:szCs w:val="21"/>
                    </w:rPr>
                  </w:pPr>
                  <w:r>
                    <w:rPr>
                      <w:b/>
                      <w:bCs/>
                      <w:sz w:val="21"/>
                      <w:szCs w:val="21"/>
                    </w:rPr>
                    <w:t>临界量qn/t</w:t>
                  </w:r>
                </w:p>
              </w:tc>
              <w:tc>
                <w:tcPr>
                  <w:tcW w:w="761" w:type="pct"/>
                  <w:vAlign w:val="center"/>
                </w:tcPr>
                <w:p w14:paraId="4CA31AAF">
                  <w:pPr>
                    <w:spacing w:line="240" w:lineRule="auto"/>
                    <w:ind w:firstLine="0" w:firstLineChars="0"/>
                    <w:jc w:val="center"/>
                    <w:rPr>
                      <w:b/>
                      <w:bCs/>
                      <w:sz w:val="21"/>
                      <w:szCs w:val="21"/>
                    </w:rPr>
                  </w:pPr>
                  <w:r>
                    <w:rPr>
                      <w:b/>
                      <w:bCs/>
                      <w:sz w:val="21"/>
                      <w:szCs w:val="21"/>
                    </w:rPr>
                    <w:t>Q值</w:t>
                  </w:r>
                </w:p>
              </w:tc>
              <w:tc>
                <w:tcPr>
                  <w:tcW w:w="512" w:type="pct"/>
                  <w:vAlign w:val="center"/>
                </w:tcPr>
                <w:p w14:paraId="50A8AE10">
                  <w:pPr>
                    <w:spacing w:line="240" w:lineRule="auto"/>
                    <w:ind w:firstLine="0" w:firstLineChars="0"/>
                    <w:jc w:val="center"/>
                    <w:rPr>
                      <w:b/>
                      <w:bCs/>
                      <w:sz w:val="21"/>
                      <w:szCs w:val="21"/>
                    </w:rPr>
                  </w:pPr>
                  <w:r>
                    <w:rPr>
                      <w:b/>
                      <w:bCs/>
                      <w:sz w:val="21"/>
                      <w:szCs w:val="21"/>
                    </w:rPr>
                    <w:t>备注</w:t>
                  </w:r>
                </w:p>
              </w:tc>
            </w:tr>
            <w:tr w14:paraId="2E5C0C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70" w:type="pct"/>
                  <w:vAlign w:val="center"/>
                </w:tcPr>
                <w:p w14:paraId="4974E497">
                  <w:pPr>
                    <w:spacing w:line="240" w:lineRule="auto"/>
                    <w:ind w:firstLine="0" w:firstLineChars="0"/>
                    <w:jc w:val="center"/>
                    <w:rPr>
                      <w:sz w:val="21"/>
                      <w:szCs w:val="21"/>
                    </w:rPr>
                  </w:pPr>
                  <w:r>
                    <w:rPr>
                      <w:rFonts w:hint="eastAsia"/>
                      <w:sz w:val="21"/>
                      <w:szCs w:val="21"/>
                    </w:rPr>
                    <w:t>1</w:t>
                  </w:r>
                </w:p>
              </w:tc>
              <w:tc>
                <w:tcPr>
                  <w:tcW w:w="573" w:type="pct"/>
                  <w:vMerge w:val="restart"/>
                  <w:vAlign w:val="center"/>
                </w:tcPr>
                <w:p w14:paraId="01959212">
                  <w:pPr>
                    <w:spacing w:line="240" w:lineRule="auto"/>
                    <w:ind w:firstLine="0" w:firstLineChars="0"/>
                    <w:jc w:val="center"/>
                    <w:rPr>
                      <w:sz w:val="21"/>
                      <w:szCs w:val="21"/>
                    </w:rPr>
                  </w:pPr>
                  <w:r>
                    <w:rPr>
                      <w:sz w:val="21"/>
                      <w:szCs w:val="21"/>
                    </w:rPr>
                    <w:t>危废暂存间</w:t>
                  </w:r>
                </w:p>
              </w:tc>
              <w:tc>
                <w:tcPr>
                  <w:tcW w:w="775" w:type="pct"/>
                  <w:vAlign w:val="center"/>
                </w:tcPr>
                <w:p w14:paraId="4249B4A6">
                  <w:pPr>
                    <w:spacing w:line="240" w:lineRule="auto"/>
                    <w:ind w:firstLine="0" w:firstLineChars="0"/>
                    <w:jc w:val="center"/>
                    <w:rPr>
                      <w:sz w:val="21"/>
                      <w:szCs w:val="21"/>
                    </w:rPr>
                  </w:pPr>
                  <w:r>
                    <w:rPr>
                      <w:sz w:val="21"/>
                      <w:szCs w:val="21"/>
                    </w:rPr>
                    <w:t>废润滑油</w:t>
                  </w:r>
                </w:p>
              </w:tc>
              <w:tc>
                <w:tcPr>
                  <w:tcW w:w="464" w:type="pct"/>
                  <w:vAlign w:val="center"/>
                </w:tcPr>
                <w:p w14:paraId="3BC76A98">
                  <w:pPr>
                    <w:spacing w:line="240" w:lineRule="auto"/>
                    <w:ind w:firstLine="0" w:firstLineChars="0"/>
                    <w:jc w:val="center"/>
                    <w:rPr>
                      <w:sz w:val="21"/>
                      <w:szCs w:val="21"/>
                    </w:rPr>
                  </w:pPr>
                  <w:r>
                    <w:rPr>
                      <w:sz w:val="21"/>
                      <w:szCs w:val="21"/>
                    </w:rPr>
                    <w:t>液态</w:t>
                  </w:r>
                </w:p>
              </w:tc>
              <w:tc>
                <w:tcPr>
                  <w:tcW w:w="910" w:type="pct"/>
                  <w:vAlign w:val="center"/>
                </w:tcPr>
                <w:p w14:paraId="15EDA79D">
                  <w:pPr>
                    <w:spacing w:line="240" w:lineRule="auto"/>
                    <w:ind w:firstLine="0" w:firstLineChars="0"/>
                    <w:jc w:val="center"/>
                    <w:rPr>
                      <w:rFonts w:hint="default" w:eastAsia="宋体"/>
                      <w:sz w:val="21"/>
                      <w:szCs w:val="21"/>
                      <w:lang w:val="en-US" w:eastAsia="zh-CN"/>
                    </w:rPr>
                  </w:pPr>
                  <w:r>
                    <w:rPr>
                      <w:rFonts w:hint="eastAsia"/>
                      <w:sz w:val="21"/>
                      <w:szCs w:val="21"/>
                      <w:lang w:val="en-US" w:eastAsia="zh-CN"/>
                    </w:rPr>
                    <w:t>0.1</w:t>
                  </w:r>
                </w:p>
              </w:tc>
              <w:tc>
                <w:tcPr>
                  <w:tcW w:w="632" w:type="pct"/>
                  <w:vAlign w:val="center"/>
                </w:tcPr>
                <w:p w14:paraId="32FF41E0">
                  <w:pPr>
                    <w:spacing w:line="240" w:lineRule="auto"/>
                    <w:ind w:firstLine="0" w:firstLineChars="0"/>
                    <w:jc w:val="center"/>
                    <w:rPr>
                      <w:sz w:val="21"/>
                      <w:szCs w:val="21"/>
                    </w:rPr>
                  </w:pPr>
                  <w:r>
                    <w:rPr>
                      <w:rFonts w:hint="eastAsia"/>
                      <w:sz w:val="21"/>
                      <w:szCs w:val="21"/>
                    </w:rPr>
                    <w:t>50</w:t>
                  </w:r>
                </w:p>
              </w:tc>
              <w:tc>
                <w:tcPr>
                  <w:tcW w:w="761" w:type="pct"/>
                  <w:vAlign w:val="center"/>
                </w:tcPr>
                <w:p w14:paraId="60149360">
                  <w:pPr>
                    <w:spacing w:line="240" w:lineRule="auto"/>
                    <w:ind w:firstLine="0" w:firstLineChars="0"/>
                    <w:jc w:val="center"/>
                    <w:rPr>
                      <w:rFonts w:hint="eastAsia" w:eastAsia="宋体"/>
                      <w:sz w:val="21"/>
                      <w:szCs w:val="21"/>
                      <w:lang w:eastAsia="zh-CN"/>
                    </w:rPr>
                  </w:pPr>
                  <w:r>
                    <w:rPr>
                      <w:rFonts w:hint="eastAsia"/>
                      <w:sz w:val="21"/>
                      <w:szCs w:val="21"/>
                    </w:rPr>
                    <w:t>0.00</w:t>
                  </w:r>
                  <w:r>
                    <w:rPr>
                      <w:rFonts w:hint="eastAsia"/>
                      <w:sz w:val="21"/>
                      <w:szCs w:val="21"/>
                      <w:lang w:val="en-US" w:eastAsia="zh-CN"/>
                    </w:rPr>
                    <w:t>2</w:t>
                  </w:r>
                </w:p>
              </w:tc>
              <w:tc>
                <w:tcPr>
                  <w:tcW w:w="512" w:type="pct"/>
                  <w:vAlign w:val="center"/>
                </w:tcPr>
                <w:p w14:paraId="76112632">
                  <w:pPr>
                    <w:spacing w:line="240" w:lineRule="auto"/>
                    <w:ind w:firstLine="0" w:firstLineChars="0"/>
                    <w:jc w:val="center"/>
                    <w:rPr>
                      <w:sz w:val="21"/>
                      <w:szCs w:val="21"/>
                    </w:rPr>
                  </w:pPr>
                  <w:r>
                    <w:rPr>
                      <w:sz w:val="21"/>
                      <w:szCs w:val="21"/>
                    </w:rPr>
                    <w:t>桶装</w:t>
                  </w:r>
                </w:p>
              </w:tc>
            </w:tr>
            <w:tr w14:paraId="6C4E93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70" w:type="pct"/>
                  <w:vAlign w:val="center"/>
                </w:tcPr>
                <w:p w14:paraId="4B050EE0">
                  <w:pPr>
                    <w:spacing w:line="240" w:lineRule="auto"/>
                    <w:ind w:firstLine="0" w:firstLineChars="0"/>
                    <w:jc w:val="center"/>
                    <w:rPr>
                      <w:sz w:val="21"/>
                      <w:szCs w:val="21"/>
                    </w:rPr>
                  </w:pPr>
                  <w:r>
                    <w:rPr>
                      <w:rFonts w:hint="eastAsia"/>
                      <w:sz w:val="21"/>
                      <w:szCs w:val="21"/>
                    </w:rPr>
                    <w:t>2</w:t>
                  </w:r>
                </w:p>
              </w:tc>
              <w:tc>
                <w:tcPr>
                  <w:tcW w:w="573" w:type="pct"/>
                  <w:vMerge w:val="continue"/>
                  <w:vAlign w:val="center"/>
                </w:tcPr>
                <w:p w14:paraId="2E2D72BF">
                  <w:pPr>
                    <w:spacing w:line="240" w:lineRule="auto"/>
                    <w:ind w:firstLine="0" w:firstLineChars="0"/>
                    <w:jc w:val="center"/>
                    <w:rPr>
                      <w:sz w:val="21"/>
                      <w:szCs w:val="21"/>
                    </w:rPr>
                  </w:pPr>
                </w:p>
              </w:tc>
              <w:tc>
                <w:tcPr>
                  <w:tcW w:w="775" w:type="pct"/>
                  <w:vAlign w:val="center"/>
                </w:tcPr>
                <w:p w14:paraId="1B1DD701">
                  <w:pPr>
                    <w:spacing w:line="240" w:lineRule="auto"/>
                    <w:ind w:firstLine="0" w:firstLineChars="0"/>
                    <w:jc w:val="center"/>
                    <w:rPr>
                      <w:sz w:val="21"/>
                      <w:szCs w:val="21"/>
                    </w:rPr>
                  </w:pPr>
                  <w:r>
                    <w:rPr>
                      <w:sz w:val="21"/>
                      <w:szCs w:val="21"/>
                    </w:rPr>
                    <w:t>废油桶</w:t>
                  </w:r>
                </w:p>
              </w:tc>
              <w:tc>
                <w:tcPr>
                  <w:tcW w:w="464" w:type="pct"/>
                  <w:vAlign w:val="center"/>
                </w:tcPr>
                <w:p w14:paraId="1888A286">
                  <w:pPr>
                    <w:spacing w:line="240" w:lineRule="auto"/>
                    <w:ind w:firstLine="0" w:firstLineChars="0"/>
                    <w:jc w:val="center"/>
                    <w:rPr>
                      <w:sz w:val="21"/>
                      <w:szCs w:val="21"/>
                    </w:rPr>
                  </w:pPr>
                  <w:r>
                    <w:rPr>
                      <w:sz w:val="21"/>
                      <w:szCs w:val="21"/>
                    </w:rPr>
                    <w:t>固态</w:t>
                  </w:r>
                </w:p>
              </w:tc>
              <w:tc>
                <w:tcPr>
                  <w:tcW w:w="910" w:type="pct"/>
                  <w:vAlign w:val="center"/>
                </w:tcPr>
                <w:p w14:paraId="1610A3E5">
                  <w:pPr>
                    <w:spacing w:line="240" w:lineRule="auto"/>
                    <w:ind w:firstLine="0" w:firstLineChars="0"/>
                    <w:jc w:val="center"/>
                    <w:rPr>
                      <w:rFonts w:hint="eastAsia" w:eastAsia="宋体"/>
                      <w:sz w:val="21"/>
                      <w:szCs w:val="21"/>
                      <w:lang w:eastAsia="zh-CN"/>
                    </w:rPr>
                  </w:pPr>
                  <w:r>
                    <w:rPr>
                      <w:rFonts w:hint="eastAsia"/>
                      <w:sz w:val="21"/>
                      <w:szCs w:val="21"/>
                    </w:rPr>
                    <w:t>0.0</w:t>
                  </w:r>
                  <w:r>
                    <w:rPr>
                      <w:rFonts w:hint="eastAsia"/>
                      <w:sz w:val="21"/>
                      <w:szCs w:val="21"/>
                      <w:lang w:val="en-US" w:eastAsia="zh-CN"/>
                    </w:rPr>
                    <w:t>4</w:t>
                  </w:r>
                </w:p>
              </w:tc>
              <w:tc>
                <w:tcPr>
                  <w:tcW w:w="632" w:type="pct"/>
                  <w:vAlign w:val="center"/>
                </w:tcPr>
                <w:p w14:paraId="40888A90">
                  <w:pPr>
                    <w:spacing w:line="240" w:lineRule="auto"/>
                    <w:ind w:firstLine="0" w:firstLineChars="0"/>
                    <w:jc w:val="center"/>
                    <w:rPr>
                      <w:sz w:val="21"/>
                      <w:szCs w:val="21"/>
                    </w:rPr>
                  </w:pPr>
                  <w:r>
                    <w:rPr>
                      <w:sz w:val="21"/>
                      <w:szCs w:val="21"/>
                    </w:rPr>
                    <w:t>50</w:t>
                  </w:r>
                </w:p>
              </w:tc>
              <w:tc>
                <w:tcPr>
                  <w:tcW w:w="761" w:type="pct"/>
                  <w:vAlign w:val="center"/>
                </w:tcPr>
                <w:p w14:paraId="0F17F175">
                  <w:pPr>
                    <w:spacing w:line="240" w:lineRule="auto"/>
                    <w:ind w:firstLine="0" w:firstLineChars="0"/>
                    <w:jc w:val="center"/>
                    <w:rPr>
                      <w:rFonts w:hint="eastAsia" w:eastAsia="宋体"/>
                      <w:sz w:val="21"/>
                      <w:szCs w:val="21"/>
                      <w:lang w:eastAsia="zh-CN"/>
                    </w:rPr>
                  </w:pPr>
                  <w:r>
                    <w:rPr>
                      <w:rFonts w:hint="eastAsia"/>
                      <w:sz w:val="21"/>
                      <w:szCs w:val="21"/>
                    </w:rPr>
                    <w:t>0.000</w:t>
                  </w:r>
                  <w:r>
                    <w:rPr>
                      <w:rFonts w:hint="eastAsia"/>
                      <w:sz w:val="21"/>
                      <w:szCs w:val="21"/>
                      <w:lang w:val="en-US" w:eastAsia="zh-CN"/>
                    </w:rPr>
                    <w:t>8</w:t>
                  </w:r>
                </w:p>
              </w:tc>
              <w:tc>
                <w:tcPr>
                  <w:tcW w:w="512" w:type="pct"/>
                  <w:vAlign w:val="center"/>
                </w:tcPr>
                <w:p w14:paraId="2AB8C75D">
                  <w:pPr>
                    <w:spacing w:line="240" w:lineRule="auto"/>
                    <w:ind w:firstLine="0" w:firstLineChars="0"/>
                    <w:jc w:val="center"/>
                    <w:rPr>
                      <w:sz w:val="21"/>
                      <w:szCs w:val="21"/>
                    </w:rPr>
                  </w:pPr>
                  <w:r>
                    <w:rPr>
                      <w:rFonts w:hint="eastAsia"/>
                      <w:sz w:val="21"/>
                      <w:szCs w:val="21"/>
                    </w:rPr>
                    <w:t>桶</w:t>
                  </w:r>
                  <w:r>
                    <w:rPr>
                      <w:sz w:val="21"/>
                      <w:szCs w:val="21"/>
                    </w:rPr>
                    <w:t>装</w:t>
                  </w:r>
                </w:p>
              </w:tc>
            </w:tr>
            <w:tr w14:paraId="1F371B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70" w:type="pct"/>
                  <w:vAlign w:val="center"/>
                </w:tcPr>
                <w:p w14:paraId="5E8F12CC">
                  <w:pPr>
                    <w:spacing w:line="240" w:lineRule="auto"/>
                    <w:ind w:firstLine="0" w:firstLineChars="0"/>
                    <w:jc w:val="center"/>
                    <w:rPr>
                      <w:sz w:val="21"/>
                      <w:szCs w:val="21"/>
                    </w:rPr>
                  </w:pPr>
                  <w:r>
                    <w:rPr>
                      <w:rFonts w:hint="eastAsia"/>
                      <w:sz w:val="21"/>
                      <w:szCs w:val="21"/>
                    </w:rPr>
                    <w:t>3</w:t>
                  </w:r>
                </w:p>
              </w:tc>
              <w:tc>
                <w:tcPr>
                  <w:tcW w:w="573" w:type="pct"/>
                  <w:vMerge w:val="continue"/>
                  <w:vAlign w:val="center"/>
                </w:tcPr>
                <w:p w14:paraId="2921DC22">
                  <w:pPr>
                    <w:spacing w:line="240" w:lineRule="auto"/>
                    <w:ind w:firstLine="0" w:firstLineChars="0"/>
                    <w:jc w:val="center"/>
                    <w:rPr>
                      <w:sz w:val="21"/>
                      <w:szCs w:val="21"/>
                    </w:rPr>
                  </w:pPr>
                </w:p>
              </w:tc>
              <w:tc>
                <w:tcPr>
                  <w:tcW w:w="775" w:type="pct"/>
                  <w:vAlign w:val="center"/>
                </w:tcPr>
                <w:p w14:paraId="703EE22F">
                  <w:pPr>
                    <w:spacing w:line="240" w:lineRule="auto"/>
                    <w:ind w:firstLine="0" w:firstLineChars="0"/>
                    <w:jc w:val="center"/>
                    <w:rPr>
                      <w:sz w:val="21"/>
                      <w:szCs w:val="21"/>
                    </w:rPr>
                  </w:pPr>
                  <w:r>
                    <w:rPr>
                      <w:sz w:val="21"/>
                      <w:szCs w:val="21"/>
                    </w:rPr>
                    <w:t>废含油抹布、手套</w:t>
                  </w:r>
                </w:p>
              </w:tc>
              <w:tc>
                <w:tcPr>
                  <w:tcW w:w="464" w:type="pct"/>
                  <w:vAlign w:val="center"/>
                </w:tcPr>
                <w:p w14:paraId="430A0166">
                  <w:pPr>
                    <w:spacing w:line="240" w:lineRule="auto"/>
                    <w:ind w:firstLine="0" w:firstLineChars="0"/>
                    <w:jc w:val="center"/>
                    <w:rPr>
                      <w:sz w:val="21"/>
                      <w:szCs w:val="21"/>
                    </w:rPr>
                  </w:pPr>
                  <w:r>
                    <w:rPr>
                      <w:sz w:val="21"/>
                      <w:szCs w:val="21"/>
                    </w:rPr>
                    <w:t>固态</w:t>
                  </w:r>
                </w:p>
              </w:tc>
              <w:tc>
                <w:tcPr>
                  <w:tcW w:w="910" w:type="pct"/>
                  <w:vAlign w:val="center"/>
                </w:tcPr>
                <w:p w14:paraId="3EEF6287">
                  <w:pPr>
                    <w:spacing w:line="240" w:lineRule="auto"/>
                    <w:ind w:firstLine="0" w:firstLineChars="0"/>
                    <w:jc w:val="center"/>
                    <w:rPr>
                      <w:sz w:val="21"/>
                      <w:szCs w:val="21"/>
                    </w:rPr>
                  </w:pPr>
                  <w:r>
                    <w:rPr>
                      <w:sz w:val="21"/>
                      <w:szCs w:val="21"/>
                    </w:rPr>
                    <w:t>0.005</w:t>
                  </w:r>
                </w:p>
              </w:tc>
              <w:tc>
                <w:tcPr>
                  <w:tcW w:w="632" w:type="pct"/>
                  <w:vAlign w:val="center"/>
                </w:tcPr>
                <w:p w14:paraId="05BB4850">
                  <w:pPr>
                    <w:spacing w:line="240" w:lineRule="auto"/>
                    <w:ind w:firstLine="0" w:firstLineChars="0"/>
                    <w:jc w:val="center"/>
                    <w:rPr>
                      <w:sz w:val="21"/>
                      <w:szCs w:val="21"/>
                    </w:rPr>
                  </w:pPr>
                  <w:r>
                    <w:rPr>
                      <w:sz w:val="21"/>
                      <w:szCs w:val="21"/>
                    </w:rPr>
                    <w:t>50</w:t>
                  </w:r>
                </w:p>
              </w:tc>
              <w:tc>
                <w:tcPr>
                  <w:tcW w:w="761" w:type="pct"/>
                  <w:vAlign w:val="center"/>
                </w:tcPr>
                <w:p w14:paraId="09658708">
                  <w:pPr>
                    <w:spacing w:line="240" w:lineRule="auto"/>
                    <w:ind w:firstLine="0" w:firstLineChars="0"/>
                    <w:jc w:val="center"/>
                    <w:rPr>
                      <w:sz w:val="21"/>
                      <w:szCs w:val="21"/>
                    </w:rPr>
                  </w:pPr>
                  <w:r>
                    <w:rPr>
                      <w:rFonts w:hint="eastAsia"/>
                      <w:sz w:val="21"/>
                      <w:szCs w:val="21"/>
                    </w:rPr>
                    <w:t>0.0001</w:t>
                  </w:r>
                </w:p>
              </w:tc>
              <w:tc>
                <w:tcPr>
                  <w:tcW w:w="512" w:type="pct"/>
                  <w:vAlign w:val="center"/>
                </w:tcPr>
                <w:p w14:paraId="263FE002">
                  <w:pPr>
                    <w:spacing w:line="240" w:lineRule="auto"/>
                    <w:ind w:firstLine="0" w:firstLineChars="0"/>
                    <w:jc w:val="center"/>
                    <w:rPr>
                      <w:sz w:val="21"/>
                      <w:szCs w:val="21"/>
                    </w:rPr>
                  </w:pPr>
                  <w:r>
                    <w:rPr>
                      <w:sz w:val="21"/>
                      <w:szCs w:val="21"/>
                    </w:rPr>
                    <w:t>袋装</w:t>
                  </w:r>
                </w:p>
              </w:tc>
            </w:tr>
            <w:tr w14:paraId="18E817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726" w:type="pct"/>
                  <w:gridSpan w:val="6"/>
                  <w:vAlign w:val="center"/>
                </w:tcPr>
                <w:p w14:paraId="4CB2E7AA">
                  <w:pPr>
                    <w:spacing w:line="240" w:lineRule="auto"/>
                    <w:ind w:firstLine="0" w:firstLineChars="0"/>
                    <w:jc w:val="center"/>
                    <w:rPr>
                      <w:sz w:val="21"/>
                      <w:szCs w:val="21"/>
                    </w:rPr>
                  </w:pPr>
                  <w:r>
                    <w:rPr>
                      <w:sz w:val="21"/>
                      <w:szCs w:val="21"/>
                    </w:rPr>
                    <w:t>合计</w:t>
                  </w:r>
                </w:p>
              </w:tc>
              <w:tc>
                <w:tcPr>
                  <w:tcW w:w="761" w:type="pct"/>
                  <w:vAlign w:val="center"/>
                </w:tcPr>
                <w:p w14:paraId="3E4F897B">
                  <w:pPr>
                    <w:spacing w:line="240" w:lineRule="auto"/>
                    <w:ind w:firstLine="0" w:firstLineChars="0"/>
                    <w:jc w:val="center"/>
                    <w:rPr>
                      <w:rFonts w:hint="default" w:eastAsia="宋体"/>
                      <w:sz w:val="21"/>
                      <w:szCs w:val="21"/>
                      <w:lang w:val="en-US" w:eastAsia="zh-CN"/>
                    </w:rPr>
                  </w:pPr>
                  <w:r>
                    <w:rPr>
                      <w:rFonts w:hint="eastAsia"/>
                      <w:sz w:val="21"/>
                      <w:szCs w:val="21"/>
                    </w:rPr>
                    <w:t>0.00</w:t>
                  </w:r>
                  <w:r>
                    <w:rPr>
                      <w:rFonts w:hint="eastAsia"/>
                      <w:sz w:val="21"/>
                      <w:szCs w:val="21"/>
                      <w:lang w:val="en-US" w:eastAsia="zh-CN"/>
                    </w:rPr>
                    <w:t>29</w:t>
                  </w:r>
                </w:p>
              </w:tc>
              <w:tc>
                <w:tcPr>
                  <w:tcW w:w="512" w:type="pct"/>
                  <w:vAlign w:val="center"/>
                </w:tcPr>
                <w:p w14:paraId="182C9D98">
                  <w:pPr>
                    <w:spacing w:line="240" w:lineRule="auto"/>
                    <w:ind w:firstLine="0" w:firstLineChars="0"/>
                    <w:jc w:val="center"/>
                    <w:rPr>
                      <w:sz w:val="21"/>
                      <w:szCs w:val="21"/>
                    </w:rPr>
                  </w:pPr>
                  <w:r>
                    <w:rPr>
                      <w:sz w:val="21"/>
                      <w:szCs w:val="21"/>
                    </w:rPr>
                    <w:t>＜1</w:t>
                  </w:r>
                </w:p>
              </w:tc>
            </w:tr>
          </w:tbl>
          <w:p w14:paraId="02F3F25D">
            <w:pPr>
              <w:spacing w:before="120" w:beforeLines="50"/>
              <w:ind w:firstLine="480"/>
            </w:pPr>
            <w:r>
              <w:rPr>
                <w:rFonts w:hint="eastAsia"/>
              </w:rPr>
              <w:t>由上表可知，项目环境风险物质的Q值=0.00</w:t>
            </w:r>
            <w:r>
              <w:rPr>
                <w:rFonts w:hint="eastAsia"/>
                <w:lang w:val="en-US" w:eastAsia="zh-CN"/>
              </w:rPr>
              <w:t>29</w:t>
            </w:r>
            <w:r>
              <w:rPr>
                <w:rFonts w:hint="eastAsia"/>
              </w:rPr>
              <w:t>＜1，故环境风险潜势为</w:t>
            </w:r>
            <w:r>
              <w:t>Ⅰ</w:t>
            </w:r>
            <w:r>
              <w:rPr>
                <w:rFonts w:hint="eastAsia"/>
              </w:rPr>
              <w:t>，本项目风险评价为开展简单分析。</w:t>
            </w:r>
          </w:p>
          <w:p w14:paraId="4EC051DC">
            <w:pPr>
              <w:ind w:firstLine="0" w:firstLineChars="0"/>
            </w:pPr>
            <w:r>
              <w:rPr>
                <w:rFonts w:hint="eastAsia"/>
                <w:b/>
                <w:bCs/>
              </w:rPr>
              <w:t>6.2环境风险防范措施及应急要求</w:t>
            </w:r>
          </w:p>
          <w:p w14:paraId="04FA531F">
            <w:pPr>
              <w:ind w:firstLine="480"/>
              <w:rPr>
                <w:rFonts w:hint="eastAsia"/>
                <w:u w:val="single"/>
                <w:lang w:val="en-US" w:eastAsia="zh-CN"/>
              </w:rPr>
            </w:pPr>
            <w:r>
              <w:rPr>
                <w:rFonts w:hint="eastAsia"/>
                <w:u w:val="single"/>
              </w:rPr>
              <w:t>本</w:t>
            </w:r>
            <w:r>
              <w:rPr>
                <w:u w:val="single"/>
              </w:rPr>
              <w:t>项目主要环境风险</w:t>
            </w:r>
            <w:r>
              <w:rPr>
                <w:rFonts w:hint="eastAsia"/>
                <w:u w:val="single"/>
              </w:rPr>
              <w:t>为危废暂存间</w:t>
            </w:r>
            <w:r>
              <w:rPr>
                <w:u w:val="single"/>
              </w:rPr>
              <w:t>废润滑油泄漏造成的环境风险</w:t>
            </w:r>
            <w:r>
              <w:rPr>
                <w:rFonts w:hint="eastAsia"/>
                <w:u w:val="single"/>
                <w:lang w:val="en-US" w:eastAsia="zh-CN"/>
              </w:rPr>
              <w:t>和粉煤灰发生粉尘爆炸的风险。其中</w:t>
            </w:r>
            <w:r>
              <w:rPr>
                <w:rFonts w:hint="default" w:ascii="Times New Roman" w:hAnsi="Times New Roman" w:eastAsia="宋体" w:cs="Times New Roman"/>
                <w:b w:val="0"/>
                <w:bCs w:val="0"/>
                <w:i w:val="0"/>
                <w:iCs w:val="0"/>
                <w:caps w:val="0"/>
                <w:color w:val="0F1115"/>
                <w:spacing w:val="0"/>
                <w:sz w:val="24"/>
                <w:szCs w:val="24"/>
                <w:u w:val="single"/>
                <w:shd w:val="clear" w:fill="FFFFFF"/>
              </w:rPr>
              <w:t>粉煤灰不属于典型的可燃性粉尘，在正常工况下不具备粉尘爆炸危险性。但在特定条件下（如混入可燃物、粉尘云达到一定浓度、存在点火源等），仍存在粉尘爆炸的可能性。粉尘爆炸风险属于生产安全管理的范畴，企业应按照安全生产相关法规要求落实防爆措施。</w:t>
            </w:r>
          </w:p>
          <w:p w14:paraId="2BACDD77">
            <w:pPr>
              <w:ind w:firstLine="480"/>
              <w:rPr>
                <w:rFonts w:hint="eastAsia"/>
                <w:u w:val="single"/>
              </w:rPr>
            </w:pPr>
            <w:r>
              <w:rPr>
                <w:rFonts w:hint="eastAsia"/>
                <w:u w:val="single"/>
              </w:rPr>
              <w:t>本项目环境风险分析及相应的防范措施详见下表：</w:t>
            </w:r>
          </w:p>
          <w:p w14:paraId="3C64C2BA">
            <w:pPr>
              <w:pStyle w:val="379"/>
              <w:keepNext w:val="0"/>
              <w:keepLines w:val="0"/>
              <w:pageBreakBefore w:val="0"/>
              <w:widowControl w:val="0"/>
              <w:kinsoku/>
              <w:wordWrap/>
              <w:overflowPunct/>
              <w:topLinePunct w:val="0"/>
              <w:autoSpaceDE/>
              <w:autoSpaceDN/>
              <w:bidi w:val="0"/>
              <w:adjustRightInd/>
              <w:snapToGrid/>
              <w:spacing w:line="240" w:lineRule="auto"/>
              <w:textAlignment w:val="auto"/>
              <w:rPr>
                <w:b/>
                <w:bCs/>
                <w:u w:val="single"/>
              </w:rPr>
            </w:pPr>
            <w:r>
              <w:rPr>
                <w:rFonts w:hint="eastAsia"/>
                <w:b/>
                <w:bCs/>
                <w:u w:val="single"/>
              </w:rPr>
              <w:t>建设项目环境风险分析一览表</w:t>
            </w:r>
          </w:p>
          <w:tbl>
            <w:tblPr>
              <w:tblStyle w:val="31"/>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6425"/>
            </w:tblGrid>
            <w:tr w14:paraId="55EA34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092" w:type="pct"/>
                  <w:tcBorders>
                    <w:tl2br w:val="nil"/>
                    <w:tr2bl w:val="nil"/>
                  </w:tcBorders>
                  <w:vAlign w:val="center"/>
                </w:tcPr>
                <w:p w14:paraId="5D57D7D3">
                  <w:pPr>
                    <w:spacing w:line="240" w:lineRule="auto"/>
                    <w:ind w:firstLine="0" w:firstLineChars="0"/>
                    <w:jc w:val="center"/>
                    <w:rPr>
                      <w:b/>
                      <w:bCs/>
                      <w:sz w:val="21"/>
                      <w:szCs w:val="21"/>
                      <w:u w:val="single"/>
                    </w:rPr>
                  </w:pPr>
                  <w:r>
                    <w:rPr>
                      <w:b/>
                      <w:bCs/>
                      <w:sz w:val="21"/>
                      <w:szCs w:val="21"/>
                      <w:u w:val="single"/>
                    </w:rPr>
                    <w:t>主要危险物质</w:t>
                  </w:r>
                </w:p>
              </w:tc>
              <w:tc>
                <w:tcPr>
                  <w:tcW w:w="3907" w:type="pct"/>
                  <w:tcBorders>
                    <w:tl2br w:val="nil"/>
                    <w:tr2bl w:val="nil"/>
                  </w:tcBorders>
                  <w:vAlign w:val="center"/>
                </w:tcPr>
                <w:p w14:paraId="694AD29A">
                  <w:pPr>
                    <w:spacing w:line="240" w:lineRule="auto"/>
                    <w:ind w:firstLine="0" w:firstLineChars="0"/>
                    <w:jc w:val="center"/>
                    <w:rPr>
                      <w:rFonts w:hint="default" w:eastAsia="宋体"/>
                      <w:b/>
                      <w:bCs/>
                      <w:sz w:val="21"/>
                      <w:szCs w:val="21"/>
                      <w:u w:val="single"/>
                      <w:lang w:val="en-US" w:eastAsia="zh-CN"/>
                    </w:rPr>
                  </w:pPr>
                  <w:r>
                    <w:rPr>
                      <w:sz w:val="21"/>
                      <w:szCs w:val="21"/>
                      <w:u w:val="single"/>
                    </w:rPr>
                    <w:t>主要危险物质</w:t>
                  </w:r>
                  <w:r>
                    <w:rPr>
                      <w:rFonts w:hint="eastAsia"/>
                      <w:sz w:val="21"/>
                      <w:szCs w:val="21"/>
                      <w:u w:val="single"/>
                    </w:rPr>
                    <w:t>为危废暂存间废润滑油</w:t>
                  </w:r>
                  <w:r>
                    <w:rPr>
                      <w:rFonts w:hint="eastAsia"/>
                      <w:sz w:val="21"/>
                      <w:szCs w:val="21"/>
                      <w:u w:val="single"/>
                      <w:lang w:eastAsia="zh-CN"/>
                    </w:rPr>
                    <w:t>、</w:t>
                  </w:r>
                  <w:r>
                    <w:rPr>
                      <w:rFonts w:hint="eastAsia"/>
                      <w:sz w:val="21"/>
                      <w:szCs w:val="21"/>
                      <w:u w:val="single"/>
                      <w:lang w:val="en-US" w:eastAsia="zh-CN"/>
                    </w:rPr>
                    <w:t>粉煤灰</w:t>
                  </w:r>
                </w:p>
              </w:tc>
            </w:tr>
            <w:tr w14:paraId="34E5BE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092" w:type="pct"/>
                  <w:tcBorders>
                    <w:tl2br w:val="nil"/>
                    <w:tr2bl w:val="nil"/>
                  </w:tcBorders>
                  <w:vAlign w:val="center"/>
                </w:tcPr>
                <w:p w14:paraId="43BA9CCB">
                  <w:pPr>
                    <w:spacing w:line="240" w:lineRule="auto"/>
                    <w:ind w:firstLine="0" w:firstLineChars="0"/>
                    <w:jc w:val="center"/>
                    <w:rPr>
                      <w:b/>
                      <w:bCs/>
                      <w:sz w:val="21"/>
                      <w:szCs w:val="21"/>
                      <w:u w:val="single"/>
                    </w:rPr>
                  </w:pPr>
                  <w:r>
                    <w:rPr>
                      <w:b/>
                      <w:bCs/>
                      <w:sz w:val="21"/>
                      <w:szCs w:val="21"/>
                      <w:u w:val="single"/>
                    </w:rPr>
                    <w:t>环境影响途径及危害后果（大气、地表水、地下水等）</w:t>
                  </w:r>
                </w:p>
              </w:tc>
              <w:tc>
                <w:tcPr>
                  <w:tcW w:w="3907" w:type="pct"/>
                  <w:tcBorders>
                    <w:tl2br w:val="nil"/>
                    <w:tr2bl w:val="nil"/>
                  </w:tcBorders>
                  <w:vAlign w:val="center"/>
                </w:tcPr>
                <w:p w14:paraId="7C146DEA">
                  <w:pPr>
                    <w:spacing w:line="240" w:lineRule="auto"/>
                    <w:ind w:firstLine="0" w:firstLineChars="0"/>
                    <w:jc w:val="both"/>
                    <w:rPr>
                      <w:sz w:val="21"/>
                      <w:szCs w:val="21"/>
                      <w:u w:val="single"/>
                    </w:rPr>
                  </w:pPr>
                  <w:r>
                    <w:rPr>
                      <w:rFonts w:hint="eastAsia"/>
                      <w:sz w:val="21"/>
                      <w:szCs w:val="21"/>
                      <w:u w:val="single"/>
                      <w:lang w:val="en-US" w:eastAsia="zh-CN"/>
                    </w:rPr>
                    <w:t>①废润滑油</w:t>
                  </w:r>
                  <w:r>
                    <w:rPr>
                      <w:sz w:val="21"/>
                      <w:szCs w:val="21"/>
                      <w:u w:val="single"/>
                    </w:rPr>
                    <w:t>遇明火、高热可能发生火灾引发的伴生/次生污染；</w:t>
                  </w:r>
                </w:p>
                <w:p w14:paraId="7C9EF583">
                  <w:pPr>
                    <w:spacing w:line="240" w:lineRule="auto"/>
                    <w:ind w:firstLine="0" w:firstLineChars="0"/>
                    <w:jc w:val="both"/>
                    <w:rPr>
                      <w:rFonts w:hint="eastAsia"/>
                      <w:sz w:val="21"/>
                      <w:szCs w:val="21"/>
                      <w:u w:val="single"/>
                      <w:lang w:eastAsia="zh-CN"/>
                    </w:rPr>
                  </w:pPr>
                  <w:r>
                    <w:rPr>
                      <w:rFonts w:hint="eastAsia"/>
                      <w:sz w:val="21"/>
                      <w:szCs w:val="21"/>
                      <w:u w:val="single"/>
                      <w:lang w:val="en-US" w:eastAsia="zh-CN"/>
                    </w:rPr>
                    <w:t>②</w:t>
                  </w:r>
                  <w:r>
                    <w:rPr>
                      <w:rFonts w:hint="eastAsia"/>
                      <w:sz w:val="21"/>
                      <w:szCs w:val="21"/>
                      <w:u w:val="single"/>
                    </w:rPr>
                    <w:t>废</w:t>
                  </w:r>
                  <w:r>
                    <w:rPr>
                      <w:rFonts w:hint="eastAsia"/>
                      <w:sz w:val="21"/>
                      <w:szCs w:val="21"/>
                      <w:u w:val="single"/>
                      <w:lang w:val="en-US" w:eastAsia="zh-CN"/>
                    </w:rPr>
                    <w:t>润滑</w:t>
                  </w:r>
                  <w:r>
                    <w:rPr>
                      <w:rFonts w:hint="eastAsia"/>
                      <w:sz w:val="21"/>
                      <w:szCs w:val="21"/>
                      <w:u w:val="single"/>
                    </w:rPr>
                    <w:t>油等矿物油类物质</w:t>
                  </w:r>
                  <w:r>
                    <w:rPr>
                      <w:sz w:val="21"/>
                      <w:szCs w:val="21"/>
                      <w:u w:val="single"/>
                    </w:rPr>
                    <w:t>泄漏对地表水、土壤、地下水造成不利影响</w:t>
                  </w:r>
                  <w:r>
                    <w:rPr>
                      <w:rFonts w:hint="eastAsia"/>
                      <w:sz w:val="21"/>
                      <w:szCs w:val="21"/>
                      <w:u w:val="single"/>
                      <w:lang w:eastAsia="zh-CN"/>
                    </w:rPr>
                    <w:t>；</w:t>
                  </w:r>
                </w:p>
                <w:p w14:paraId="5CDF4FF1">
                  <w:pPr>
                    <w:spacing w:line="240" w:lineRule="auto"/>
                    <w:ind w:firstLine="0" w:firstLineChars="0"/>
                    <w:jc w:val="both"/>
                    <w:rPr>
                      <w:rFonts w:hint="default" w:eastAsia="宋体"/>
                      <w:sz w:val="21"/>
                      <w:szCs w:val="21"/>
                      <w:u w:val="single"/>
                      <w:lang w:val="en-US" w:eastAsia="zh-CN"/>
                    </w:rPr>
                  </w:pPr>
                  <w:r>
                    <w:rPr>
                      <w:rFonts w:hint="eastAsia"/>
                      <w:sz w:val="21"/>
                      <w:szCs w:val="21"/>
                      <w:u w:val="single"/>
                      <w:lang w:val="en-US" w:eastAsia="zh-CN"/>
                    </w:rPr>
                    <w:t>③粉煤灰发生粉尘爆炸</w:t>
                  </w:r>
                </w:p>
              </w:tc>
            </w:tr>
            <w:tr w14:paraId="474325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092" w:type="pct"/>
                  <w:tcBorders>
                    <w:tl2br w:val="nil"/>
                    <w:tr2bl w:val="nil"/>
                  </w:tcBorders>
                  <w:vAlign w:val="center"/>
                </w:tcPr>
                <w:p w14:paraId="697C9F09">
                  <w:pPr>
                    <w:spacing w:line="240" w:lineRule="auto"/>
                    <w:ind w:firstLine="0" w:firstLineChars="0"/>
                    <w:jc w:val="center"/>
                    <w:rPr>
                      <w:b/>
                      <w:bCs/>
                      <w:sz w:val="21"/>
                      <w:szCs w:val="21"/>
                      <w:u w:val="single"/>
                    </w:rPr>
                  </w:pPr>
                  <w:r>
                    <w:rPr>
                      <w:b/>
                      <w:bCs/>
                      <w:sz w:val="21"/>
                      <w:szCs w:val="21"/>
                      <w:u w:val="single"/>
                    </w:rPr>
                    <w:t>风险防范措施要求</w:t>
                  </w:r>
                </w:p>
              </w:tc>
              <w:tc>
                <w:tcPr>
                  <w:tcW w:w="3907" w:type="pct"/>
                  <w:tcBorders>
                    <w:tl2br w:val="nil"/>
                    <w:tr2bl w:val="nil"/>
                  </w:tcBorders>
                  <w:vAlign w:val="center"/>
                </w:tcPr>
                <w:p w14:paraId="0AB1C0FE">
                  <w:pPr>
                    <w:spacing w:line="240" w:lineRule="auto"/>
                    <w:ind w:firstLine="0" w:firstLineChars="0"/>
                    <w:rPr>
                      <w:sz w:val="21"/>
                      <w:szCs w:val="21"/>
                      <w:u w:val="single"/>
                    </w:rPr>
                  </w:pPr>
                  <w:r>
                    <w:rPr>
                      <w:rFonts w:hint="eastAsia"/>
                      <w:sz w:val="21"/>
                      <w:szCs w:val="21"/>
                      <w:u w:val="single"/>
                    </w:rPr>
                    <w:t>①危废暂存间应设置围堰或防泄漏托盘收集泄漏物质；</w:t>
                  </w:r>
                </w:p>
                <w:p w14:paraId="0BA81D96">
                  <w:pPr>
                    <w:spacing w:line="240" w:lineRule="auto"/>
                    <w:ind w:firstLine="0" w:firstLineChars="0"/>
                    <w:rPr>
                      <w:rFonts w:hint="eastAsia"/>
                      <w:sz w:val="21"/>
                      <w:szCs w:val="21"/>
                      <w:u w:val="single"/>
                      <w:lang w:val="en-US" w:eastAsia="zh-CN"/>
                    </w:rPr>
                  </w:pPr>
                  <w:r>
                    <w:rPr>
                      <w:rFonts w:hint="eastAsia"/>
                      <w:sz w:val="21"/>
                      <w:szCs w:val="21"/>
                      <w:u w:val="single"/>
                    </w:rPr>
                    <w:t>②</w:t>
                  </w:r>
                  <w:r>
                    <w:rPr>
                      <w:rFonts w:hint="eastAsia"/>
                      <w:sz w:val="21"/>
                      <w:szCs w:val="21"/>
                      <w:u w:val="single"/>
                      <w:lang w:val="en-US" w:eastAsia="zh-CN"/>
                    </w:rPr>
                    <w:t>控制粉尘浓度，确保筒仓、风管、分级机等设备工作过程中粉尘浓度保持在爆炸极限以下；</w:t>
                  </w:r>
                </w:p>
                <w:p w14:paraId="0F83838C">
                  <w:pPr>
                    <w:spacing w:line="240" w:lineRule="auto"/>
                    <w:ind w:firstLine="0" w:firstLineChars="0"/>
                    <w:rPr>
                      <w:rFonts w:hint="default"/>
                      <w:sz w:val="21"/>
                      <w:szCs w:val="21"/>
                      <w:u w:val="single"/>
                      <w:lang w:val="en-US" w:eastAsia="zh-CN"/>
                    </w:rPr>
                  </w:pPr>
                  <w:r>
                    <w:rPr>
                      <w:rFonts w:hint="eastAsia"/>
                      <w:sz w:val="21"/>
                      <w:szCs w:val="21"/>
                      <w:u w:val="single"/>
                      <w:lang w:val="en-US" w:eastAsia="zh-CN"/>
                    </w:rPr>
                    <w:t>③控制氧含量，项目采用负压闭路循环设计，系统内氧含量较低，能抑制爆炸发生；</w:t>
                  </w:r>
                </w:p>
                <w:p w14:paraId="3C249D27">
                  <w:pPr>
                    <w:spacing w:line="240" w:lineRule="auto"/>
                    <w:ind w:firstLine="0" w:firstLineChars="0"/>
                    <w:rPr>
                      <w:sz w:val="21"/>
                      <w:szCs w:val="21"/>
                      <w:u w:val="single"/>
                    </w:rPr>
                  </w:pPr>
                  <w:r>
                    <w:rPr>
                      <w:rFonts w:hint="eastAsia"/>
                      <w:sz w:val="21"/>
                      <w:szCs w:val="21"/>
                      <w:u w:val="single"/>
                      <w:lang w:val="en-US" w:eastAsia="zh-CN"/>
                    </w:rPr>
                    <w:t>④</w:t>
                  </w:r>
                  <w:r>
                    <w:rPr>
                      <w:rFonts w:hint="eastAsia"/>
                      <w:sz w:val="21"/>
                      <w:szCs w:val="21"/>
                      <w:u w:val="single"/>
                    </w:rPr>
                    <w:t>厂区</w:t>
                  </w:r>
                  <w:r>
                    <w:rPr>
                      <w:sz w:val="21"/>
                      <w:szCs w:val="21"/>
                      <w:u w:val="single"/>
                    </w:rPr>
                    <w:t>安全出口及安全疏散距离应符合《建筑设计防火规范》（GB 50016-2014）的要求</w:t>
                  </w:r>
                  <w:r>
                    <w:rPr>
                      <w:rFonts w:hint="eastAsia"/>
                      <w:sz w:val="21"/>
                      <w:szCs w:val="21"/>
                      <w:u w:val="single"/>
                    </w:rPr>
                    <w:t>；</w:t>
                  </w:r>
                </w:p>
                <w:p w14:paraId="0A80AF54">
                  <w:pPr>
                    <w:spacing w:line="240" w:lineRule="auto"/>
                    <w:ind w:firstLine="0" w:firstLineChars="0"/>
                    <w:rPr>
                      <w:rFonts w:hint="default" w:ascii="Times New Roman" w:hAnsi="Times New Roman" w:cs="Times New Roman"/>
                      <w:sz w:val="21"/>
                      <w:szCs w:val="21"/>
                      <w:u w:val="single"/>
                    </w:rPr>
                  </w:pPr>
                  <w:r>
                    <w:rPr>
                      <w:rFonts w:hint="eastAsia" w:cs="Times New Roman"/>
                      <w:sz w:val="21"/>
                      <w:szCs w:val="21"/>
                      <w:u w:val="single"/>
                      <w:lang w:val="en-US" w:eastAsia="zh-CN"/>
                    </w:rPr>
                    <w:t>⑤</w:t>
                  </w:r>
                  <w:r>
                    <w:rPr>
                      <w:rFonts w:hint="default" w:ascii="Times New Roman" w:hAnsi="Times New Roman" w:cs="Times New Roman"/>
                      <w:sz w:val="21"/>
                      <w:szCs w:val="21"/>
                      <w:u w:val="single"/>
                    </w:rPr>
                    <w:t>生产场地禁止烟火并配置足够的消防器材，且需保证消防器材的正常使用；</w:t>
                  </w:r>
                </w:p>
                <w:p w14:paraId="126BE25A">
                  <w:pPr>
                    <w:spacing w:line="240" w:lineRule="auto"/>
                    <w:ind w:firstLine="0" w:firstLineChars="0"/>
                    <w:rPr>
                      <w:rFonts w:hint="default" w:ascii="Times New Roman" w:hAnsi="Times New Roman" w:cs="Times New Roman"/>
                      <w:sz w:val="21"/>
                      <w:szCs w:val="21"/>
                      <w:u w:val="single"/>
                    </w:rPr>
                  </w:pPr>
                  <w:r>
                    <w:rPr>
                      <w:rFonts w:hint="eastAsia" w:cs="Times New Roman"/>
                      <w:sz w:val="21"/>
                      <w:szCs w:val="21"/>
                      <w:u w:val="single"/>
                      <w:lang w:val="en-US" w:eastAsia="zh-CN"/>
                    </w:rPr>
                    <w:t>⑥</w:t>
                  </w:r>
                  <w:r>
                    <w:rPr>
                      <w:rFonts w:hint="default" w:ascii="Times New Roman" w:hAnsi="Times New Roman" w:cs="Times New Roman"/>
                      <w:sz w:val="21"/>
                      <w:szCs w:val="21"/>
                      <w:u w:val="single"/>
                    </w:rPr>
                    <w:t>加强环保、安全、消防管理，建立健全环保、安全、消防各项制度，设置环保、安全、消防专门科室和管理人员，保证安全防护设施正常运行或处于良好的待命状态；</w:t>
                  </w:r>
                </w:p>
                <w:p w14:paraId="7282D053">
                  <w:pPr>
                    <w:spacing w:line="240" w:lineRule="auto"/>
                    <w:ind w:firstLine="0" w:firstLineChars="0"/>
                    <w:rPr>
                      <w:sz w:val="21"/>
                      <w:szCs w:val="21"/>
                      <w:u w:val="single"/>
                    </w:rPr>
                  </w:pPr>
                  <w:r>
                    <w:rPr>
                      <w:rFonts w:hint="eastAsia" w:cs="Times New Roman"/>
                      <w:sz w:val="21"/>
                      <w:szCs w:val="21"/>
                      <w:u w:val="single"/>
                      <w:lang w:val="en-US" w:eastAsia="zh-CN"/>
                    </w:rPr>
                    <w:t>⑦</w:t>
                  </w:r>
                  <w:r>
                    <w:rPr>
                      <w:rFonts w:hint="default" w:ascii="Times New Roman" w:hAnsi="Times New Roman" w:cs="Times New Roman"/>
                      <w:sz w:val="21"/>
                      <w:szCs w:val="21"/>
                      <w:u w:val="single"/>
                    </w:rPr>
                    <w:t>建议企业应做好突发环境事故现场处置方案，设定事故预防措施、应急措施及事故善后处理措施，配备相关的安全生产和应急救援设备、物资，在事故发生后及时对下风向进行环境监测，并采取相应措施。</w:t>
                  </w:r>
                </w:p>
              </w:tc>
            </w:tr>
          </w:tbl>
          <w:p w14:paraId="744315B3">
            <w:pPr>
              <w:keepNext w:val="0"/>
              <w:keepLines w:val="0"/>
              <w:pageBreakBefore w:val="0"/>
              <w:widowControl/>
              <w:kinsoku/>
              <w:wordWrap/>
              <w:overflowPunct/>
              <w:topLinePunct w:val="0"/>
              <w:autoSpaceDE/>
              <w:autoSpaceDN/>
              <w:bidi w:val="0"/>
              <w:adjustRightInd/>
              <w:snapToGrid/>
              <w:spacing w:before="164" w:beforeLines="50"/>
              <w:ind w:firstLine="480"/>
              <w:textAlignment w:val="auto"/>
            </w:pPr>
            <w:r>
              <w:rPr>
                <w:u w:val="single"/>
              </w:rPr>
              <w:t>综上，本项目在落实报告中提出的各项防治措施、加强管理、制定应急预案的条件下，其环境风险是较小的，风险是可接受。</w:t>
            </w:r>
          </w:p>
          <w:p w14:paraId="47FA5826">
            <w:pPr>
              <w:numPr>
                <w:ilvl w:val="0"/>
                <w:numId w:val="28"/>
              </w:numPr>
              <w:autoSpaceDE w:val="0"/>
              <w:autoSpaceDN w:val="0"/>
              <w:adjustRightInd w:val="0"/>
              <w:snapToGrid w:val="0"/>
              <w:ind w:firstLineChars="0"/>
              <w:rPr>
                <w:b/>
                <w:sz w:val="28"/>
                <w:szCs w:val="28"/>
              </w:rPr>
            </w:pPr>
            <w:r>
              <w:rPr>
                <w:rFonts w:hint="eastAsia"/>
                <w:b/>
                <w:sz w:val="28"/>
                <w:szCs w:val="28"/>
              </w:rPr>
              <w:t>环保投资估算</w:t>
            </w:r>
          </w:p>
          <w:p w14:paraId="67194210">
            <w:pPr>
              <w:adjustRightInd w:val="0"/>
              <w:snapToGrid w:val="0"/>
              <w:ind w:firstLine="480"/>
              <w:rPr>
                <w:u w:val="single"/>
              </w:rPr>
            </w:pPr>
            <w:r>
              <w:rPr>
                <w:rFonts w:hint="eastAsia"/>
                <w:szCs w:val="21"/>
                <w:u w:val="single"/>
              </w:rPr>
              <w:t>本项目总投资</w:t>
            </w:r>
            <w:r>
              <w:rPr>
                <w:rFonts w:hint="eastAsia"/>
                <w:szCs w:val="21"/>
                <w:u w:val="single"/>
                <w:lang w:val="en-US" w:eastAsia="zh-CN"/>
              </w:rPr>
              <w:t>230</w:t>
            </w:r>
            <w:r>
              <w:rPr>
                <w:rFonts w:hint="eastAsia"/>
                <w:szCs w:val="21"/>
                <w:u w:val="single"/>
              </w:rPr>
              <w:t>万元，用于环境保护方面的投资约</w:t>
            </w:r>
            <w:r>
              <w:rPr>
                <w:rFonts w:hint="eastAsia"/>
                <w:szCs w:val="21"/>
                <w:u w:val="single"/>
                <w:lang w:val="en-US" w:eastAsia="zh-CN"/>
              </w:rPr>
              <w:t>5</w:t>
            </w:r>
            <w:r>
              <w:rPr>
                <w:rFonts w:hint="eastAsia"/>
                <w:szCs w:val="21"/>
                <w:u w:val="single"/>
              </w:rPr>
              <w:t>万元，占项目总投资的</w:t>
            </w:r>
            <w:r>
              <w:rPr>
                <w:rFonts w:hint="eastAsia"/>
                <w:szCs w:val="21"/>
                <w:u w:val="single"/>
                <w:lang w:val="en-US" w:eastAsia="zh-CN"/>
              </w:rPr>
              <w:t>2.17</w:t>
            </w:r>
            <w:r>
              <w:rPr>
                <w:rFonts w:hint="eastAsia"/>
                <w:szCs w:val="21"/>
                <w:u w:val="single"/>
              </w:rPr>
              <w:t>%，项目环保投资详见下表。</w:t>
            </w:r>
          </w:p>
          <w:p w14:paraId="39093CD4">
            <w:pPr>
              <w:pStyle w:val="379"/>
              <w:keepNext w:val="0"/>
              <w:keepLines w:val="0"/>
              <w:pageBreakBefore w:val="0"/>
              <w:widowControl w:val="0"/>
              <w:kinsoku/>
              <w:wordWrap/>
              <w:overflowPunct/>
              <w:topLinePunct w:val="0"/>
              <w:autoSpaceDE/>
              <w:autoSpaceDN/>
              <w:bidi w:val="0"/>
              <w:adjustRightInd/>
              <w:snapToGrid/>
              <w:spacing w:line="240" w:lineRule="auto"/>
              <w:textAlignment w:val="auto"/>
              <w:rPr>
                <w:b/>
                <w:bCs/>
                <w:u w:val="single"/>
              </w:rPr>
            </w:pPr>
            <w:r>
              <w:rPr>
                <w:rFonts w:hint="eastAsia"/>
                <w:b/>
                <w:bCs/>
                <w:u w:val="single"/>
              </w:rPr>
              <w:t>项目环保投资一览表</w:t>
            </w:r>
          </w:p>
          <w:tbl>
            <w:tblPr>
              <w:tblStyle w:val="31"/>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41"/>
              <w:gridCol w:w="880"/>
              <w:gridCol w:w="1335"/>
              <w:gridCol w:w="3209"/>
              <w:gridCol w:w="1062"/>
              <w:gridCol w:w="1192"/>
            </w:tblGrid>
            <w:tr w14:paraId="38C88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9" w:type="pct"/>
                  <w:tcBorders>
                    <w:tl2br w:val="nil"/>
                    <w:tr2bl w:val="nil"/>
                  </w:tcBorders>
                  <w:vAlign w:val="center"/>
                </w:tcPr>
                <w:p w14:paraId="3F844FF5">
                  <w:pPr>
                    <w:spacing w:line="240" w:lineRule="auto"/>
                    <w:ind w:firstLine="0" w:firstLineChars="0"/>
                    <w:jc w:val="center"/>
                    <w:rPr>
                      <w:b/>
                      <w:bCs/>
                      <w:sz w:val="21"/>
                      <w:szCs w:val="21"/>
                      <w:u w:val="single"/>
                    </w:rPr>
                  </w:pPr>
                  <w:r>
                    <w:rPr>
                      <w:b/>
                      <w:bCs/>
                      <w:sz w:val="21"/>
                      <w:szCs w:val="21"/>
                      <w:u w:val="single"/>
                    </w:rPr>
                    <w:t>阶段</w:t>
                  </w:r>
                </w:p>
              </w:tc>
              <w:tc>
                <w:tcPr>
                  <w:tcW w:w="535" w:type="pct"/>
                  <w:tcBorders>
                    <w:tl2br w:val="nil"/>
                    <w:tr2bl w:val="nil"/>
                  </w:tcBorders>
                  <w:vAlign w:val="center"/>
                </w:tcPr>
                <w:p w14:paraId="08164C95">
                  <w:pPr>
                    <w:spacing w:line="240" w:lineRule="auto"/>
                    <w:ind w:firstLine="0" w:firstLineChars="0"/>
                    <w:jc w:val="center"/>
                    <w:rPr>
                      <w:b/>
                      <w:bCs/>
                      <w:sz w:val="21"/>
                      <w:szCs w:val="21"/>
                      <w:u w:val="single"/>
                    </w:rPr>
                  </w:pPr>
                  <w:r>
                    <w:rPr>
                      <w:b/>
                      <w:bCs/>
                      <w:sz w:val="21"/>
                      <w:szCs w:val="21"/>
                      <w:u w:val="single"/>
                    </w:rPr>
                    <w:t>类别</w:t>
                  </w:r>
                </w:p>
              </w:tc>
              <w:tc>
                <w:tcPr>
                  <w:tcW w:w="812" w:type="pct"/>
                  <w:tcBorders>
                    <w:tl2br w:val="nil"/>
                    <w:tr2bl w:val="nil"/>
                  </w:tcBorders>
                  <w:vAlign w:val="center"/>
                </w:tcPr>
                <w:p w14:paraId="1C0EA492">
                  <w:pPr>
                    <w:spacing w:line="240" w:lineRule="auto"/>
                    <w:ind w:firstLine="0" w:firstLineChars="0"/>
                    <w:jc w:val="center"/>
                    <w:rPr>
                      <w:b/>
                      <w:bCs/>
                      <w:sz w:val="21"/>
                      <w:szCs w:val="21"/>
                      <w:u w:val="single"/>
                    </w:rPr>
                  </w:pPr>
                  <w:r>
                    <w:rPr>
                      <w:b/>
                      <w:bCs/>
                      <w:sz w:val="21"/>
                      <w:szCs w:val="21"/>
                      <w:u w:val="single"/>
                    </w:rPr>
                    <w:t>项目名称</w:t>
                  </w:r>
                </w:p>
              </w:tc>
              <w:tc>
                <w:tcPr>
                  <w:tcW w:w="1952" w:type="pct"/>
                  <w:tcBorders>
                    <w:tl2br w:val="nil"/>
                    <w:tr2bl w:val="nil"/>
                  </w:tcBorders>
                  <w:vAlign w:val="center"/>
                </w:tcPr>
                <w:p w14:paraId="79E30B46">
                  <w:pPr>
                    <w:spacing w:line="240" w:lineRule="auto"/>
                    <w:ind w:firstLine="0" w:firstLineChars="0"/>
                    <w:jc w:val="center"/>
                    <w:rPr>
                      <w:b/>
                      <w:bCs/>
                      <w:sz w:val="21"/>
                      <w:szCs w:val="21"/>
                      <w:u w:val="single"/>
                    </w:rPr>
                  </w:pPr>
                  <w:r>
                    <w:rPr>
                      <w:b/>
                      <w:bCs/>
                      <w:sz w:val="21"/>
                      <w:szCs w:val="21"/>
                      <w:u w:val="single"/>
                    </w:rPr>
                    <w:t>内容</w:t>
                  </w:r>
                </w:p>
              </w:tc>
              <w:tc>
                <w:tcPr>
                  <w:tcW w:w="646" w:type="pct"/>
                  <w:tcBorders>
                    <w:tl2br w:val="nil"/>
                    <w:tr2bl w:val="nil"/>
                  </w:tcBorders>
                  <w:vAlign w:val="center"/>
                </w:tcPr>
                <w:p w14:paraId="4F6336C5">
                  <w:pPr>
                    <w:spacing w:line="240" w:lineRule="auto"/>
                    <w:ind w:firstLine="0" w:firstLineChars="0"/>
                    <w:jc w:val="center"/>
                    <w:rPr>
                      <w:b/>
                      <w:bCs/>
                      <w:sz w:val="21"/>
                      <w:szCs w:val="21"/>
                      <w:u w:val="single"/>
                    </w:rPr>
                  </w:pPr>
                  <w:r>
                    <w:rPr>
                      <w:b/>
                      <w:bCs/>
                      <w:sz w:val="21"/>
                      <w:szCs w:val="21"/>
                      <w:u w:val="single"/>
                    </w:rPr>
                    <w:t>投资</w:t>
                  </w:r>
                </w:p>
                <w:p w14:paraId="71422E03">
                  <w:pPr>
                    <w:spacing w:line="240" w:lineRule="auto"/>
                    <w:ind w:firstLine="0" w:firstLineChars="0"/>
                    <w:jc w:val="center"/>
                    <w:rPr>
                      <w:b/>
                      <w:bCs/>
                      <w:sz w:val="21"/>
                      <w:szCs w:val="21"/>
                      <w:u w:val="single"/>
                    </w:rPr>
                  </w:pPr>
                  <w:r>
                    <w:rPr>
                      <w:rFonts w:hint="eastAsia"/>
                      <w:b/>
                      <w:bCs/>
                      <w:sz w:val="21"/>
                      <w:szCs w:val="21"/>
                      <w:u w:val="single"/>
                    </w:rPr>
                    <w:t>（万元）</w:t>
                  </w:r>
                </w:p>
              </w:tc>
              <w:tc>
                <w:tcPr>
                  <w:tcW w:w="725" w:type="pct"/>
                  <w:tcBorders>
                    <w:tl2br w:val="nil"/>
                    <w:tr2bl w:val="nil"/>
                  </w:tcBorders>
                  <w:vAlign w:val="center"/>
                </w:tcPr>
                <w:p w14:paraId="74E99312">
                  <w:pPr>
                    <w:spacing w:line="240" w:lineRule="auto"/>
                    <w:ind w:firstLine="0" w:firstLineChars="0"/>
                    <w:jc w:val="center"/>
                    <w:rPr>
                      <w:b/>
                      <w:bCs/>
                      <w:sz w:val="21"/>
                      <w:szCs w:val="21"/>
                      <w:u w:val="single"/>
                    </w:rPr>
                  </w:pPr>
                  <w:r>
                    <w:rPr>
                      <w:rFonts w:hint="eastAsia"/>
                      <w:b/>
                      <w:bCs/>
                      <w:sz w:val="21"/>
                      <w:szCs w:val="21"/>
                      <w:u w:val="single"/>
                    </w:rPr>
                    <w:t>备注</w:t>
                  </w:r>
                </w:p>
              </w:tc>
            </w:tr>
            <w:tr w14:paraId="1F7476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29" w:type="pct"/>
                  <w:vMerge w:val="restart"/>
                  <w:tcBorders>
                    <w:tl2br w:val="nil"/>
                    <w:tr2bl w:val="nil"/>
                  </w:tcBorders>
                  <w:vAlign w:val="center"/>
                </w:tcPr>
                <w:p w14:paraId="1A25D42A">
                  <w:pPr>
                    <w:tabs>
                      <w:tab w:val="left" w:pos="434"/>
                    </w:tabs>
                    <w:spacing w:line="240" w:lineRule="auto"/>
                    <w:ind w:left="0" w:leftChars="0" w:right="0" w:rightChars="0" w:firstLine="0" w:firstLineChars="0"/>
                    <w:jc w:val="center"/>
                    <w:rPr>
                      <w:rFonts w:hint="default" w:eastAsia="宋体"/>
                      <w:sz w:val="21"/>
                      <w:szCs w:val="21"/>
                      <w:u w:val="single"/>
                      <w:lang w:val="en-US" w:eastAsia="zh-CN"/>
                    </w:rPr>
                  </w:pPr>
                  <w:r>
                    <w:rPr>
                      <w:rFonts w:hint="eastAsia"/>
                      <w:sz w:val="21"/>
                      <w:szCs w:val="21"/>
                      <w:u w:val="single"/>
                      <w:lang w:val="en-US" w:eastAsia="zh-CN"/>
                    </w:rPr>
                    <w:t>施工期</w:t>
                  </w:r>
                </w:p>
              </w:tc>
              <w:tc>
                <w:tcPr>
                  <w:tcW w:w="535" w:type="pct"/>
                  <w:tcBorders>
                    <w:tl2br w:val="nil"/>
                    <w:tr2bl w:val="nil"/>
                  </w:tcBorders>
                  <w:vAlign w:val="center"/>
                </w:tcPr>
                <w:p w14:paraId="3732854C">
                  <w:pPr>
                    <w:tabs>
                      <w:tab w:val="left" w:pos="434"/>
                    </w:tabs>
                    <w:spacing w:line="240" w:lineRule="auto"/>
                    <w:ind w:left="0" w:leftChars="0" w:right="0" w:rightChars="0" w:firstLine="0" w:firstLineChars="0"/>
                    <w:jc w:val="center"/>
                    <w:rPr>
                      <w:rFonts w:hint="default" w:eastAsia="宋体"/>
                      <w:sz w:val="21"/>
                      <w:szCs w:val="21"/>
                      <w:u w:val="single"/>
                      <w:lang w:val="en-US" w:eastAsia="zh-CN"/>
                    </w:rPr>
                  </w:pPr>
                  <w:r>
                    <w:rPr>
                      <w:rFonts w:hint="eastAsia"/>
                      <w:sz w:val="21"/>
                      <w:szCs w:val="21"/>
                      <w:u w:val="single"/>
                      <w:lang w:val="en-US" w:eastAsia="zh-CN"/>
                    </w:rPr>
                    <w:t>废水</w:t>
                  </w:r>
                </w:p>
              </w:tc>
              <w:tc>
                <w:tcPr>
                  <w:tcW w:w="812" w:type="pct"/>
                  <w:tcBorders>
                    <w:tl2br w:val="nil"/>
                    <w:tr2bl w:val="nil"/>
                  </w:tcBorders>
                  <w:vAlign w:val="center"/>
                </w:tcPr>
                <w:p w14:paraId="1E136926">
                  <w:pPr>
                    <w:spacing w:line="240" w:lineRule="auto"/>
                    <w:ind w:firstLine="0" w:firstLineChars="0"/>
                    <w:jc w:val="center"/>
                    <w:rPr>
                      <w:sz w:val="21"/>
                      <w:szCs w:val="21"/>
                      <w:u w:val="single"/>
                    </w:rPr>
                  </w:pPr>
                  <w:r>
                    <w:rPr>
                      <w:rFonts w:hint="eastAsia"/>
                      <w:sz w:val="21"/>
                      <w:szCs w:val="21"/>
                      <w:u w:val="single"/>
                    </w:rPr>
                    <w:t>施工</w:t>
                  </w:r>
                  <w:r>
                    <w:rPr>
                      <w:sz w:val="21"/>
                      <w:szCs w:val="21"/>
                      <w:u w:val="single"/>
                    </w:rPr>
                    <w:t>生活污水</w:t>
                  </w:r>
                </w:p>
              </w:tc>
              <w:tc>
                <w:tcPr>
                  <w:tcW w:w="1952" w:type="pct"/>
                  <w:tcBorders>
                    <w:tl2br w:val="nil"/>
                    <w:tr2bl w:val="nil"/>
                  </w:tcBorders>
                  <w:vAlign w:val="center"/>
                </w:tcPr>
                <w:p w14:paraId="1C119C4E">
                  <w:pPr>
                    <w:spacing w:line="240" w:lineRule="auto"/>
                    <w:ind w:firstLine="0" w:firstLineChars="0"/>
                    <w:jc w:val="center"/>
                    <w:rPr>
                      <w:rFonts w:hint="eastAsia" w:eastAsia="宋体"/>
                      <w:sz w:val="21"/>
                      <w:szCs w:val="21"/>
                      <w:u w:val="single"/>
                      <w:lang w:eastAsia="zh-CN"/>
                    </w:rPr>
                  </w:pPr>
                  <w:r>
                    <w:rPr>
                      <w:rFonts w:hint="eastAsia"/>
                      <w:sz w:val="21"/>
                      <w:szCs w:val="21"/>
                      <w:u w:val="single"/>
                    </w:rPr>
                    <w:t>施工人员生活污水经厂区污水处理站处理后</w:t>
                  </w:r>
                  <w:r>
                    <w:rPr>
                      <w:rFonts w:hint="eastAsia"/>
                      <w:sz w:val="21"/>
                      <w:szCs w:val="21"/>
                      <w:u w:val="single"/>
                      <w:lang w:val="en-US" w:eastAsia="zh-CN"/>
                    </w:rPr>
                    <w:t>回用</w:t>
                  </w:r>
                </w:p>
              </w:tc>
              <w:tc>
                <w:tcPr>
                  <w:tcW w:w="646" w:type="pct"/>
                  <w:tcBorders>
                    <w:tl2br w:val="nil"/>
                    <w:tr2bl w:val="nil"/>
                  </w:tcBorders>
                  <w:vAlign w:val="center"/>
                </w:tcPr>
                <w:p w14:paraId="31426609">
                  <w:pPr>
                    <w:spacing w:line="240" w:lineRule="auto"/>
                    <w:ind w:firstLine="0" w:firstLineChars="0"/>
                    <w:jc w:val="center"/>
                    <w:rPr>
                      <w:sz w:val="21"/>
                      <w:szCs w:val="21"/>
                      <w:u w:val="single"/>
                    </w:rPr>
                  </w:pPr>
                  <w:r>
                    <w:rPr>
                      <w:rFonts w:hint="eastAsia"/>
                      <w:sz w:val="21"/>
                      <w:szCs w:val="21"/>
                      <w:u w:val="single"/>
                    </w:rPr>
                    <w:t>0</w:t>
                  </w:r>
                </w:p>
              </w:tc>
              <w:tc>
                <w:tcPr>
                  <w:tcW w:w="725" w:type="pct"/>
                  <w:tcBorders>
                    <w:tl2br w:val="nil"/>
                    <w:tr2bl w:val="nil"/>
                  </w:tcBorders>
                  <w:vAlign w:val="center"/>
                </w:tcPr>
                <w:p w14:paraId="6453E3E6">
                  <w:pPr>
                    <w:spacing w:line="240" w:lineRule="auto"/>
                    <w:ind w:firstLine="0" w:firstLineChars="0"/>
                    <w:jc w:val="center"/>
                    <w:rPr>
                      <w:rFonts w:hint="eastAsia" w:eastAsia="宋体"/>
                      <w:sz w:val="21"/>
                      <w:szCs w:val="21"/>
                      <w:u w:val="single"/>
                      <w:lang w:val="en-US" w:eastAsia="zh-CN"/>
                    </w:rPr>
                  </w:pPr>
                  <w:r>
                    <w:rPr>
                      <w:rFonts w:hint="eastAsia"/>
                      <w:sz w:val="21"/>
                      <w:szCs w:val="21"/>
                      <w:u w:val="single"/>
                    </w:rPr>
                    <w:t>依托现</w:t>
                  </w:r>
                  <w:r>
                    <w:rPr>
                      <w:rFonts w:hint="eastAsia"/>
                      <w:sz w:val="21"/>
                      <w:szCs w:val="21"/>
                      <w:u w:val="single"/>
                      <w:lang w:val="en-US" w:eastAsia="zh-CN"/>
                    </w:rPr>
                    <w:t>有</w:t>
                  </w:r>
                </w:p>
              </w:tc>
            </w:tr>
            <w:tr w14:paraId="08617C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9" w:type="pct"/>
                  <w:vMerge w:val="continue"/>
                  <w:tcBorders>
                    <w:tl2br w:val="nil"/>
                    <w:tr2bl w:val="nil"/>
                  </w:tcBorders>
                  <w:vAlign w:val="center"/>
                </w:tcPr>
                <w:p w14:paraId="488A8B09">
                  <w:pPr>
                    <w:spacing w:line="240" w:lineRule="auto"/>
                    <w:ind w:firstLine="0" w:firstLineChars="0"/>
                    <w:jc w:val="center"/>
                    <w:rPr>
                      <w:sz w:val="21"/>
                      <w:szCs w:val="21"/>
                      <w:u w:val="single"/>
                    </w:rPr>
                  </w:pPr>
                </w:p>
              </w:tc>
              <w:tc>
                <w:tcPr>
                  <w:tcW w:w="535" w:type="pct"/>
                  <w:tcBorders>
                    <w:tl2br w:val="nil"/>
                    <w:tr2bl w:val="nil"/>
                  </w:tcBorders>
                  <w:vAlign w:val="center"/>
                </w:tcPr>
                <w:p w14:paraId="1537F058">
                  <w:pPr>
                    <w:spacing w:line="240" w:lineRule="auto"/>
                    <w:ind w:firstLine="0" w:firstLineChars="0"/>
                    <w:jc w:val="center"/>
                    <w:rPr>
                      <w:rFonts w:hint="eastAsia" w:eastAsia="宋体"/>
                      <w:sz w:val="21"/>
                      <w:szCs w:val="21"/>
                      <w:u w:val="single"/>
                      <w:lang w:val="en-US" w:eastAsia="zh-CN"/>
                    </w:rPr>
                  </w:pPr>
                  <w:r>
                    <w:rPr>
                      <w:rFonts w:hint="eastAsia"/>
                      <w:sz w:val="21"/>
                      <w:szCs w:val="21"/>
                      <w:u w:val="single"/>
                      <w:lang w:val="en-US" w:eastAsia="zh-CN"/>
                    </w:rPr>
                    <w:t>噪声</w:t>
                  </w:r>
                </w:p>
              </w:tc>
              <w:tc>
                <w:tcPr>
                  <w:tcW w:w="812" w:type="pct"/>
                  <w:tcBorders>
                    <w:tl2br w:val="nil"/>
                    <w:tr2bl w:val="nil"/>
                  </w:tcBorders>
                  <w:vAlign w:val="center"/>
                </w:tcPr>
                <w:p w14:paraId="61B07F23">
                  <w:pPr>
                    <w:spacing w:line="240" w:lineRule="auto"/>
                    <w:ind w:firstLine="0" w:firstLineChars="0"/>
                    <w:jc w:val="center"/>
                    <w:rPr>
                      <w:sz w:val="21"/>
                      <w:szCs w:val="21"/>
                      <w:u w:val="single"/>
                    </w:rPr>
                  </w:pPr>
                  <w:r>
                    <w:rPr>
                      <w:sz w:val="21"/>
                      <w:szCs w:val="21"/>
                      <w:u w:val="single"/>
                    </w:rPr>
                    <w:t>施工机械噪声</w:t>
                  </w:r>
                </w:p>
              </w:tc>
              <w:tc>
                <w:tcPr>
                  <w:tcW w:w="1952" w:type="pct"/>
                  <w:tcBorders>
                    <w:tl2br w:val="nil"/>
                    <w:tr2bl w:val="nil"/>
                  </w:tcBorders>
                  <w:vAlign w:val="center"/>
                </w:tcPr>
                <w:p w14:paraId="41373A13">
                  <w:pPr>
                    <w:spacing w:line="240" w:lineRule="auto"/>
                    <w:ind w:firstLine="0" w:firstLineChars="0"/>
                    <w:jc w:val="center"/>
                    <w:rPr>
                      <w:sz w:val="21"/>
                      <w:szCs w:val="21"/>
                      <w:u w:val="single"/>
                    </w:rPr>
                  </w:pPr>
                  <w:r>
                    <w:rPr>
                      <w:rFonts w:hint="eastAsia"/>
                      <w:sz w:val="21"/>
                      <w:szCs w:val="21"/>
                      <w:u w:val="single"/>
                    </w:rPr>
                    <w:t>厂房隔声、</w:t>
                  </w:r>
                  <w:r>
                    <w:rPr>
                      <w:sz w:val="21"/>
                      <w:szCs w:val="21"/>
                      <w:u w:val="single"/>
                    </w:rPr>
                    <w:t>降噪等设施</w:t>
                  </w:r>
                </w:p>
              </w:tc>
              <w:tc>
                <w:tcPr>
                  <w:tcW w:w="646" w:type="pct"/>
                  <w:tcBorders>
                    <w:tl2br w:val="nil"/>
                    <w:tr2bl w:val="nil"/>
                  </w:tcBorders>
                  <w:vAlign w:val="center"/>
                </w:tcPr>
                <w:p w14:paraId="29BEB9EA">
                  <w:pPr>
                    <w:spacing w:line="240" w:lineRule="auto"/>
                    <w:ind w:firstLine="0" w:firstLineChars="0"/>
                    <w:jc w:val="center"/>
                    <w:rPr>
                      <w:sz w:val="21"/>
                      <w:szCs w:val="21"/>
                      <w:u w:val="single"/>
                    </w:rPr>
                  </w:pPr>
                  <w:r>
                    <w:rPr>
                      <w:rFonts w:hint="eastAsia"/>
                      <w:sz w:val="21"/>
                      <w:szCs w:val="21"/>
                      <w:u w:val="single"/>
                    </w:rPr>
                    <w:t>1</w:t>
                  </w:r>
                </w:p>
              </w:tc>
              <w:tc>
                <w:tcPr>
                  <w:tcW w:w="725" w:type="pct"/>
                  <w:tcBorders>
                    <w:tl2br w:val="nil"/>
                    <w:tr2bl w:val="nil"/>
                  </w:tcBorders>
                  <w:vAlign w:val="center"/>
                </w:tcPr>
                <w:p w14:paraId="4F529406">
                  <w:pPr>
                    <w:spacing w:line="240" w:lineRule="auto"/>
                    <w:ind w:firstLine="0" w:firstLineChars="0"/>
                    <w:jc w:val="center"/>
                    <w:rPr>
                      <w:sz w:val="21"/>
                      <w:szCs w:val="21"/>
                      <w:u w:val="single"/>
                    </w:rPr>
                  </w:pPr>
                  <w:r>
                    <w:rPr>
                      <w:rFonts w:hint="eastAsia"/>
                      <w:sz w:val="21"/>
                      <w:szCs w:val="21"/>
                      <w:u w:val="single"/>
                    </w:rPr>
                    <w:t>/</w:t>
                  </w:r>
                </w:p>
              </w:tc>
            </w:tr>
            <w:tr w14:paraId="793D3A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9" w:type="pct"/>
                  <w:vMerge w:val="continue"/>
                  <w:tcBorders>
                    <w:tl2br w:val="nil"/>
                    <w:tr2bl w:val="nil"/>
                  </w:tcBorders>
                  <w:vAlign w:val="center"/>
                </w:tcPr>
                <w:p w14:paraId="5ACCCEAC">
                  <w:pPr>
                    <w:spacing w:line="240" w:lineRule="auto"/>
                    <w:ind w:firstLine="0" w:firstLineChars="0"/>
                    <w:jc w:val="center"/>
                    <w:rPr>
                      <w:sz w:val="21"/>
                      <w:szCs w:val="21"/>
                      <w:u w:val="single"/>
                    </w:rPr>
                  </w:pPr>
                </w:p>
              </w:tc>
              <w:tc>
                <w:tcPr>
                  <w:tcW w:w="535" w:type="pct"/>
                  <w:tcBorders>
                    <w:tl2br w:val="nil"/>
                    <w:tr2bl w:val="nil"/>
                  </w:tcBorders>
                  <w:vAlign w:val="center"/>
                </w:tcPr>
                <w:p w14:paraId="77FED7D2">
                  <w:pPr>
                    <w:spacing w:line="240" w:lineRule="auto"/>
                    <w:ind w:firstLine="0" w:firstLineChars="0"/>
                    <w:jc w:val="center"/>
                    <w:rPr>
                      <w:rFonts w:hint="eastAsia" w:eastAsia="宋体"/>
                      <w:sz w:val="21"/>
                      <w:szCs w:val="21"/>
                      <w:u w:val="single"/>
                      <w:lang w:val="en-US" w:eastAsia="zh-CN"/>
                    </w:rPr>
                  </w:pPr>
                  <w:r>
                    <w:rPr>
                      <w:rFonts w:hint="eastAsia"/>
                      <w:sz w:val="21"/>
                      <w:szCs w:val="21"/>
                      <w:u w:val="single"/>
                      <w:lang w:val="en-US" w:eastAsia="zh-CN"/>
                    </w:rPr>
                    <w:t>固废</w:t>
                  </w:r>
                </w:p>
              </w:tc>
              <w:tc>
                <w:tcPr>
                  <w:tcW w:w="812" w:type="pct"/>
                  <w:tcBorders>
                    <w:tl2br w:val="nil"/>
                    <w:tr2bl w:val="nil"/>
                  </w:tcBorders>
                  <w:vAlign w:val="center"/>
                </w:tcPr>
                <w:p w14:paraId="6E5A78A5">
                  <w:pPr>
                    <w:spacing w:line="240" w:lineRule="auto"/>
                    <w:ind w:firstLine="0" w:firstLineChars="0"/>
                    <w:jc w:val="center"/>
                    <w:rPr>
                      <w:sz w:val="21"/>
                      <w:szCs w:val="21"/>
                      <w:u w:val="single"/>
                    </w:rPr>
                  </w:pPr>
                  <w:r>
                    <w:rPr>
                      <w:sz w:val="21"/>
                      <w:szCs w:val="21"/>
                      <w:u w:val="single"/>
                    </w:rPr>
                    <w:t>生活垃圾</w:t>
                  </w:r>
                </w:p>
              </w:tc>
              <w:tc>
                <w:tcPr>
                  <w:tcW w:w="1952" w:type="pct"/>
                  <w:tcBorders>
                    <w:tl2br w:val="nil"/>
                    <w:tr2bl w:val="nil"/>
                  </w:tcBorders>
                  <w:vAlign w:val="center"/>
                </w:tcPr>
                <w:p w14:paraId="41E0D64E">
                  <w:pPr>
                    <w:spacing w:line="240" w:lineRule="auto"/>
                    <w:ind w:firstLine="0" w:firstLineChars="0"/>
                    <w:jc w:val="center"/>
                    <w:rPr>
                      <w:sz w:val="21"/>
                      <w:szCs w:val="21"/>
                      <w:u w:val="single"/>
                    </w:rPr>
                  </w:pPr>
                  <w:r>
                    <w:rPr>
                      <w:rFonts w:hint="eastAsia"/>
                      <w:sz w:val="21"/>
                      <w:szCs w:val="21"/>
                      <w:u w:val="single"/>
                    </w:rPr>
                    <w:t>收集后交由环卫部门统一清运</w:t>
                  </w:r>
                </w:p>
              </w:tc>
              <w:tc>
                <w:tcPr>
                  <w:tcW w:w="646" w:type="pct"/>
                  <w:tcBorders>
                    <w:tl2br w:val="nil"/>
                    <w:tr2bl w:val="nil"/>
                  </w:tcBorders>
                  <w:vAlign w:val="center"/>
                </w:tcPr>
                <w:p w14:paraId="261C1945">
                  <w:pPr>
                    <w:spacing w:line="240" w:lineRule="auto"/>
                    <w:ind w:firstLine="0" w:firstLineChars="0"/>
                    <w:jc w:val="center"/>
                    <w:rPr>
                      <w:rFonts w:hint="eastAsia" w:eastAsia="宋体"/>
                      <w:sz w:val="21"/>
                      <w:szCs w:val="21"/>
                      <w:u w:val="single"/>
                      <w:lang w:eastAsia="zh-CN"/>
                    </w:rPr>
                  </w:pPr>
                  <w:r>
                    <w:rPr>
                      <w:rFonts w:hint="eastAsia"/>
                      <w:sz w:val="21"/>
                      <w:szCs w:val="21"/>
                      <w:u w:val="single"/>
                      <w:lang w:val="en-US" w:eastAsia="zh-CN"/>
                    </w:rPr>
                    <w:t>0</w:t>
                  </w:r>
                </w:p>
              </w:tc>
              <w:tc>
                <w:tcPr>
                  <w:tcW w:w="725" w:type="pct"/>
                  <w:tcBorders>
                    <w:tl2br w:val="nil"/>
                    <w:tr2bl w:val="nil"/>
                  </w:tcBorders>
                  <w:vAlign w:val="center"/>
                </w:tcPr>
                <w:p w14:paraId="0053E322">
                  <w:pPr>
                    <w:spacing w:line="240" w:lineRule="auto"/>
                    <w:ind w:firstLine="0" w:firstLineChars="0"/>
                    <w:jc w:val="center"/>
                    <w:rPr>
                      <w:rFonts w:hint="eastAsia" w:eastAsia="宋体"/>
                      <w:sz w:val="21"/>
                      <w:szCs w:val="21"/>
                      <w:u w:val="single"/>
                      <w:lang w:eastAsia="zh-CN"/>
                    </w:rPr>
                  </w:pPr>
                  <w:r>
                    <w:rPr>
                      <w:rFonts w:hint="eastAsia"/>
                      <w:sz w:val="21"/>
                      <w:szCs w:val="21"/>
                      <w:u w:val="single"/>
                      <w:lang w:val="en-US" w:eastAsia="zh-CN"/>
                    </w:rPr>
                    <w:t>依托现有</w:t>
                  </w:r>
                </w:p>
              </w:tc>
            </w:tr>
            <w:tr w14:paraId="36A181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9" w:type="pct"/>
                  <w:vMerge w:val="restart"/>
                  <w:tcBorders>
                    <w:tl2br w:val="nil"/>
                    <w:tr2bl w:val="nil"/>
                  </w:tcBorders>
                  <w:vAlign w:val="center"/>
                </w:tcPr>
                <w:p w14:paraId="3DA7F904">
                  <w:pPr>
                    <w:spacing w:line="240" w:lineRule="auto"/>
                    <w:ind w:firstLine="0" w:firstLineChars="0"/>
                    <w:jc w:val="center"/>
                    <w:rPr>
                      <w:sz w:val="21"/>
                      <w:szCs w:val="21"/>
                      <w:u w:val="single"/>
                    </w:rPr>
                  </w:pPr>
                  <w:r>
                    <w:rPr>
                      <w:sz w:val="21"/>
                      <w:szCs w:val="21"/>
                      <w:u w:val="single"/>
                    </w:rPr>
                    <w:t>营运期</w:t>
                  </w:r>
                </w:p>
              </w:tc>
              <w:tc>
                <w:tcPr>
                  <w:tcW w:w="535" w:type="pct"/>
                  <w:vMerge w:val="restart"/>
                  <w:tcBorders>
                    <w:tl2br w:val="nil"/>
                    <w:tr2bl w:val="nil"/>
                  </w:tcBorders>
                  <w:vAlign w:val="center"/>
                </w:tcPr>
                <w:p w14:paraId="0C811E72">
                  <w:pPr>
                    <w:spacing w:line="240" w:lineRule="auto"/>
                    <w:ind w:firstLine="0" w:firstLineChars="0"/>
                    <w:jc w:val="center"/>
                    <w:rPr>
                      <w:sz w:val="21"/>
                      <w:szCs w:val="21"/>
                      <w:u w:val="single"/>
                    </w:rPr>
                  </w:pPr>
                  <w:r>
                    <w:rPr>
                      <w:rFonts w:hint="eastAsia"/>
                      <w:sz w:val="21"/>
                      <w:szCs w:val="21"/>
                      <w:u w:val="single"/>
                    </w:rPr>
                    <w:t>废气</w:t>
                  </w:r>
                </w:p>
              </w:tc>
              <w:tc>
                <w:tcPr>
                  <w:tcW w:w="812" w:type="pct"/>
                  <w:tcBorders>
                    <w:tl2br w:val="nil"/>
                    <w:tr2bl w:val="nil"/>
                  </w:tcBorders>
                  <w:vAlign w:val="center"/>
                </w:tcPr>
                <w:p w14:paraId="195092A6">
                  <w:pPr>
                    <w:spacing w:line="240" w:lineRule="auto"/>
                    <w:ind w:firstLine="0" w:firstLineChars="0"/>
                    <w:jc w:val="center"/>
                    <w:rPr>
                      <w:rFonts w:hint="default" w:eastAsia="宋体"/>
                      <w:sz w:val="21"/>
                      <w:szCs w:val="21"/>
                      <w:u w:val="single"/>
                      <w:lang w:val="en-US" w:eastAsia="zh-CN"/>
                    </w:rPr>
                  </w:pPr>
                  <w:r>
                    <w:rPr>
                      <w:rFonts w:hint="eastAsia"/>
                      <w:sz w:val="21"/>
                      <w:szCs w:val="21"/>
                      <w:u w:val="single"/>
                      <w:lang w:val="en-US" w:eastAsia="zh-CN"/>
                    </w:rPr>
                    <w:t>筒仓呼吸粉尘</w:t>
                  </w:r>
                </w:p>
              </w:tc>
              <w:tc>
                <w:tcPr>
                  <w:tcW w:w="1952" w:type="pct"/>
                  <w:tcBorders>
                    <w:tl2br w:val="nil"/>
                    <w:tr2bl w:val="nil"/>
                  </w:tcBorders>
                  <w:vAlign w:val="center"/>
                </w:tcPr>
                <w:p w14:paraId="67E5FDE2">
                  <w:pPr>
                    <w:spacing w:line="240" w:lineRule="auto"/>
                    <w:ind w:firstLine="0" w:firstLineChars="0"/>
                    <w:jc w:val="center"/>
                    <w:rPr>
                      <w:rFonts w:hint="default" w:eastAsia="宋体"/>
                      <w:sz w:val="21"/>
                      <w:szCs w:val="21"/>
                      <w:u w:val="single"/>
                      <w:lang w:val="en-US" w:eastAsia="zh-CN"/>
                    </w:rPr>
                  </w:pPr>
                  <w:r>
                    <w:rPr>
                      <w:rFonts w:hint="eastAsia"/>
                      <w:sz w:val="21"/>
                      <w:szCs w:val="21"/>
                      <w:u w:val="single"/>
                      <w:lang w:val="en-US" w:eastAsia="zh-CN"/>
                    </w:rPr>
                    <w:t>脉冲</w:t>
                  </w:r>
                  <w:r>
                    <w:rPr>
                      <w:rFonts w:hint="eastAsia"/>
                      <w:sz w:val="21"/>
                      <w:szCs w:val="21"/>
                      <w:u w:val="single"/>
                    </w:rPr>
                    <w:t>布袋除尘器</w:t>
                  </w:r>
                  <w:r>
                    <w:rPr>
                      <w:rFonts w:hint="eastAsia"/>
                      <w:sz w:val="21"/>
                      <w:szCs w:val="21"/>
                      <w:u w:val="single"/>
                      <w:lang w:eastAsia="zh-CN"/>
                    </w:rPr>
                    <w:t>、</w:t>
                  </w:r>
                  <w:r>
                    <w:rPr>
                      <w:rFonts w:hint="eastAsia"/>
                      <w:sz w:val="21"/>
                      <w:szCs w:val="21"/>
                      <w:u w:val="single"/>
                      <w:lang w:val="en-US" w:eastAsia="zh-CN"/>
                    </w:rPr>
                    <w:t>侧抽模块化除尘器</w:t>
                  </w:r>
                </w:p>
              </w:tc>
              <w:tc>
                <w:tcPr>
                  <w:tcW w:w="646" w:type="pct"/>
                  <w:tcBorders>
                    <w:tl2br w:val="nil"/>
                    <w:tr2bl w:val="nil"/>
                  </w:tcBorders>
                  <w:vAlign w:val="center"/>
                </w:tcPr>
                <w:p w14:paraId="1F4E856D">
                  <w:pPr>
                    <w:spacing w:line="240" w:lineRule="auto"/>
                    <w:ind w:firstLine="0" w:firstLineChars="0"/>
                    <w:jc w:val="center"/>
                    <w:rPr>
                      <w:rFonts w:hint="eastAsia" w:eastAsia="宋体"/>
                      <w:sz w:val="21"/>
                      <w:szCs w:val="21"/>
                      <w:u w:val="single"/>
                      <w:lang w:val="en-US" w:eastAsia="zh-CN"/>
                    </w:rPr>
                  </w:pPr>
                  <w:r>
                    <w:rPr>
                      <w:rFonts w:hint="eastAsia"/>
                      <w:sz w:val="21"/>
                      <w:szCs w:val="21"/>
                      <w:u w:val="single"/>
                      <w:lang w:val="en-US" w:eastAsia="zh-CN"/>
                    </w:rPr>
                    <w:t>0</w:t>
                  </w:r>
                </w:p>
              </w:tc>
              <w:tc>
                <w:tcPr>
                  <w:tcW w:w="725" w:type="pct"/>
                  <w:tcBorders>
                    <w:tl2br w:val="nil"/>
                    <w:tr2bl w:val="nil"/>
                  </w:tcBorders>
                  <w:vAlign w:val="center"/>
                </w:tcPr>
                <w:p w14:paraId="5BA37B31">
                  <w:pPr>
                    <w:spacing w:line="240" w:lineRule="auto"/>
                    <w:ind w:firstLine="0" w:firstLineChars="0"/>
                    <w:jc w:val="center"/>
                    <w:rPr>
                      <w:rFonts w:hint="eastAsia" w:eastAsia="宋体"/>
                      <w:sz w:val="21"/>
                      <w:szCs w:val="21"/>
                      <w:u w:val="single"/>
                      <w:lang w:val="en-US" w:eastAsia="zh-CN"/>
                    </w:rPr>
                  </w:pPr>
                  <w:r>
                    <w:rPr>
                      <w:rFonts w:hint="eastAsia"/>
                      <w:sz w:val="21"/>
                      <w:szCs w:val="21"/>
                      <w:u w:val="single"/>
                      <w:lang w:val="en-US" w:eastAsia="zh-CN"/>
                    </w:rPr>
                    <w:t>依托现有</w:t>
                  </w:r>
                </w:p>
              </w:tc>
            </w:tr>
            <w:tr w14:paraId="4C6948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9" w:type="pct"/>
                  <w:vMerge w:val="continue"/>
                  <w:tcBorders>
                    <w:tl2br w:val="nil"/>
                    <w:tr2bl w:val="nil"/>
                  </w:tcBorders>
                  <w:vAlign w:val="center"/>
                </w:tcPr>
                <w:p w14:paraId="45C530C2">
                  <w:pPr>
                    <w:spacing w:line="240" w:lineRule="auto"/>
                    <w:ind w:firstLine="0" w:firstLineChars="0"/>
                    <w:jc w:val="center"/>
                    <w:rPr>
                      <w:sz w:val="21"/>
                      <w:szCs w:val="21"/>
                      <w:u w:val="single"/>
                    </w:rPr>
                  </w:pPr>
                </w:p>
              </w:tc>
              <w:tc>
                <w:tcPr>
                  <w:tcW w:w="535" w:type="pct"/>
                  <w:vMerge w:val="continue"/>
                  <w:tcBorders>
                    <w:tl2br w:val="nil"/>
                    <w:tr2bl w:val="nil"/>
                  </w:tcBorders>
                  <w:vAlign w:val="center"/>
                </w:tcPr>
                <w:p w14:paraId="5256609D">
                  <w:pPr>
                    <w:spacing w:line="240" w:lineRule="auto"/>
                    <w:ind w:firstLine="0" w:firstLineChars="0"/>
                    <w:jc w:val="center"/>
                    <w:rPr>
                      <w:rFonts w:hint="eastAsia"/>
                      <w:sz w:val="21"/>
                      <w:szCs w:val="21"/>
                      <w:u w:val="single"/>
                    </w:rPr>
                  </w:pPr>
                </w:p>
              </w:tc>
              <w:tc>
                <w:tcPr>
                  <w:tcW w:w="812" w:type="pct"/>
                  <w:tcBorders>
                    <w:tl2br w:val="nil"/>
                    <w:tr2bl w:val="nil"/>
                  </w:tcBorders>
                  <w:vAlign w:val="center"/>
                </w:tcPr>
                <w:p w14:paraId="26FA0DDD">
                  <w:pPr>
                    <w:spacing w:line="240" w:lineRule="auto"/>
                    <w:ind w:firstLine="0" w:firstLineChars="0"/>
                    <w:jc w:val="center"/>
                    <w:rPr>
                      <w:rFonts w:hint="default"/>
                      <w:sz w:val="21"/>
                      <w:szCs w:val="21"/>
                      <w:u w:val="single"/>
                      <w:lang w:val="en-US" w:eastAsia="zh-CN"/>
                    </w:rPr>
                  </w:pPr>
                  <w:r>
                    <w:rPr>
                      <w:rFonts w:hint="eastAsia"/>
                      <w:sz w:val="21"/>
                      <w:szCs w:val="21"/>
                      <w:u w:val="single"/>
                      <w:lang w:val="en-US" w:eastAsia="zh-CN"/>
                    </w:rPr>
                    <w:t>气力输送粉尘</w:t>
                  </w:r>
                </w:p>
              </w:tc>
              <w:tc>
                <w:tcPr>
                  <w:tcW w:w="1952" w:type="pct"/>
                  <w:tcBorders>
                    <w:tl2br w:val="nil"/>
                    <w:tr2bl w:val="nil"/>
                  </w:tcBorders>
                  <w:vAlign w:val="center"/>
                </w:tcPr>
                <w:p w14:paraId="3A3D9F81">
                  <w:pPr>
                    <w:spacing w:line="240" w:lineRule="auto"/>
                    <w:ind w:firstLine="0" w:firstLineChars="0"/>
                    <w:jc w:val="center"/>
                    <w:rPr>
                      <w:rFonts w:hint="default" w:eastAsia="宋体"/>
                      <w:sz w:val="21"/>
                      <w:szCs w:val="21"/>
                      <w:u w:val="single"/>
                      <w:lang w:val="en-US" w:eastAsia="zh-CN"/>
                    </w:rPr>
                  </w:pPr>
                  <w:r>
                    <w:rPr>
                      <w:rFonts w:hint="eastAsia"/>
                      <w:sz w:val="21"/>
                      <w:szCs w:val="21"/>
                      <w:u w:val="single"/>
                      <w:lang w:val="en-US" w:eastAsia="zh-CN"/>
                    </w:rPr>
                    <w:t>散装机布袋除尘器</w:t>
                  </w:r>
                </w:p>
              </w:tc>
              <w:tc>
                <w:tcPr>
                  <w:tcW w:w="646" w:type="pct"/>
                  <w:tcBorders>
                    <w:tl2br w:val="nil"/>
                    <w:tr2bl w:val="nil"/>
                  </w:tcBorders>
                  <w:vAlign w:val="center"/>
                </w:tcPr>
                <w:p w14:paraId="1513BB40">
                  <w:pPr>
                    <w:spacing w:line="240" w:lineRule="auto"/>
                    <w:ind w:firstLine="0" w:firstLineChars="0"/>
                    <w:jc w:val="center"/>
                    <w:rPr>
                      <w:rFonts w:hint="eastAsia" w:eastAsia="宋体"/>
                      <w:sz w:val="21"/>
                      <w:szCs w:val="21"/>
                      <w:u w:val="single"/>
                      <w:lang w:val="en-US" w:eastAsia="zh-CN"/>
                    </w:rPr>
                  </w:pPr>
                  <w:r>
                    <w:rPr>
                      <w:rFonts w:hint="eastAsia"/>
                      <w:sz w:val="21"/>
                      <w:szCs w:val="21"/>
                      <w:u w:val="single"/>
                      <w:lang w:val="en-US" w:eastAsia="zh-CN"/>
                    </w:rPr>
                    <w:t>0</w:t>
                  </w:r>
                </w:p>
              </w:tc>
              <w:tc>
                <w:tcPr>
                  <w:tcW w:w="725" w:type="pct"/>
                  <w:tcBorders>
                    <w:tl2br w:val="nil"/>
                    <w:tr2bl w:val="nil"/>
                  </w:tcBorders>
                  <w:vAlign w:val="center"/>
                </w:tcPr>
                <w:p w14:paraId="230BA520">
                  <w:pPr>
                    <w:spacing w:line="240" w:lineRule="auto"/>
                    <w:ind w:firstLine="0" w:firstLineChars="0"/>
                    <w:jc w:val="center"/>
                    <w:rPr>
                      <w:rFonts w:hint="eastAsia" w:eastAsia="宋体"/>
                      <w:sz w:val="21"/>
                      <w:szCs w:val="21"/>
                      <w:u w:val="single"/>
                      <w:lang w:val="en-US" w:eastAsia="zh-CN"/>
                    </w:rPr>
                  </w:pPr>
                  <w:r>
                    <w:rPr>
                      <w:rFonts w:hint="eastAsia"/>
                      <w:sz w:val="21"/>
                      <w:szCs w:val="21"/>
                      <w:u w:val="single"/>
                      <w:lang w:val="en-US" w:eastAsia="zh-CN"/>
                    </w:rPr>
                    <w:t>依托现有</w:t>
                  </w:r>
                </w:p>
              </w:tc>
            </w:tr>
            <w:tr w14:paraId="4A0BD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9" w:type="pct"/>
                  <w:vMerge w:val="continue"/>
                  <w:tcBorders>
                    <w:tl2br w:val="nil"/>
                    <w:tr2bl w:val="nil"/>
                  </w:tcBorders>
                  <w:vAlign w:val="center"/>
                </w:tcPr>
                <w:p w14:paraId="0193A1D9">
                  <w:pPr>
                    <w:spacing w:line="240" w:lineRule="auto"/>
                    <w:ind w:firstLine="0" w:firstLineChars="0"/>
                    <w:jc w:val="center"/>
                    <w:rPr>
                      <w:sz w:val="21"/>
                      <w:szCs w:val="21"/>
                      <w:u w:val="single"/>
                    </w:rPr>
                  </w:pPr>
                </w:p>
              </w:tc>
              <w:tc>
                <w:tcPr>
                  <w:tcW w:w="535" w:type="pct"/>
                  <w:tcBorders>
                    <w:tl2br w:val="nil"/>
                    <w:tr2bl w:val="nil"/>
                  </w:tcBorders>
                  <w:vAlign w:val="center"/>
                </w:tcPr>
                <w:p w14:paraId="41387FA6">
                  <w:pPr>
                    <w:spacing w:line="240" w:lineRule="auto"/>
                    <w:ind w:firstLine="0" w:firstLineChars="0"/>
                    <w:jc w:val="center"/>
                    <w:rPr>
                      <w:sz w:val="21"/>
                      <w:szCs w:val="21"/>
                      <w:u w:val="single"/>
                    </w:rPr>
                  </w:pPr>
                  <w:r>
                    <w:rPr>
                      <w:sz w:val="21"/>
                      <w:szCs w:val="21"/>
                      <w:u w:val="single"/>
                    </w:rPr>
                    <w:t>噪声</w:t>
                  </w:r>
                </w:p>
              </w:tc>
              <w:tc>
                <w:tcPr>
                  <w:tcW w:w="812" w:type="pct"/>
                  <w:tcBorders>
                    <w:tl2br w:val="nil"/>
                    <w:tr2bl w:val="nil"/>
                  </w:tcBorders>
                  <w:vAlign w:val="center"/>
                </w:tcPr>
                <w:p w14:paraId="2C06EB16">
                  <w:pPr>
                    <w:spacing w:line="240" w:lineRule="auto"/>
                    <w:ind w:firstLine="0" w:firstLineChars="0"/>
                    <w:jc w:val="center"/>
                    <w:rPr>
                      <w:sz w:val="21"/>
                      <w:szCs w:val="21"/>
                      <w:u w:val="single"/>
                    </w:rPr>
                  </w:pPr>
                  <w:r>
                    <w:rPr>
                      <w:sz w:val="21"/>
                      <w:szCs w:val="21"/>
                      <w:u w:val="single"/>
                    </w:rPr>
                    <w:t>设备噪声</w:t>
                  </w:r>
                </w:p>
              </w:tc>
              <w:tc>
                <w:tcPr>
                  <w:tcW w:w="1952" w:type="pct"/>
                  <w:tcBorders>
                    <w:tl2br w:val="nil"/>
                    <w:tr2bl w:val="nil"/>
                  </w:tcBorders>
                  <w:vAlign w:val="center"/>
                </w:tcPr>
                <w:p w14:paraId="71A666AC">
                  <w:pPr>
                    <w:spacing w:line="240" w:lineRule="auto"/>
                    <w:ind w:firstLine="0" w:firstLineChars="0"/>
                    <w:jc w:val="center"/>
                    <w:rPr>
                      <w:sz w:val="21"/>
                      <w:szCs w:val="21"/>
                      <w:u w:val="single"/>
                    </w:rPr>
                  </w:pPr>
                  <w:r>
                    <w:rPr>
                      <w:sz w:val="21"/>
                      <w:szCs w:val="21"/>
                      <w:u w:val="single"/>
                    </w:rPr>
                    <w:t>选用低噪声设备，采取减振及降噪等设施</w:t>
                  </w:r>
                </w:p>
              </w:tc>
              <w:tc>
                <w:tcPr>
                  <w:tcW w:w="646" w:type="pct"/>
                  <w:tcBorders>
                    <w:tl2br w:val="nil"/>
                    <w:tr2bl w:val="nil"/>
                  </w:tcBorders>
                  <w:vAlign w:val="center"/>
                </w:tcPr>
                <w:p w14:paraId="3FDE7EBE">
                  <w:pPr>
                    <w:spacing w:line="240" w:lineRule="auto"/>
                    <w:ind w:firstLine="0" w:firstLineChars="0"/>
                    <w:jc w:val="center"/>
                    <w:rPr>
                      <w:rFonts w:hint="eastAsia" w:eastAsia="宋体"/>
                      <w:sz w:val="21"/>
                      <w:szCs w:val="21"/>
                      <w:u w:val="single"/>
                      <w:lang w:eastAsia="zh-CN"/>
                    </w:rPr>
                  </w:pPr>
                  <w:r>
                    <w:rPr>
                      <w:rFonts w:hint="eastAsia"/>
                      <w:sz w:val="21"/>
                      <w:szCs w:val="21"/>
                      <w:u w:val="single"/>
                      <w:lang w:val="en-US" w:eastAsia="zh-CN"/>
                    </w:rPr>
                    <w:t>4</w:t>
                  </w:r>
                </w:p>
              </w:tc>
              <w:tc>
                <w:tcPr>
                  <w:tcW w:w="725" w:type="pct"/>
                  <w:tcBorders>
                    <w:tl2br w:val="nil"/>
                    <w:tr2bl w:val="nil"/>
                  </w:tcBorders>
                  <w:vAlign w:val="center"/>
                </w:tcPr>
                <w:p w14:paraId="37605356">
                  <w:pPr>
                    <w:spacing w:line="240" w:lineRule="auto"/>
                    <w:ind w:firstLine="0" w:firstLineChars="0"/>
                    <w:jc w:val="center"/>
                    <w:rPr>
                      <w:sz w:val="21"/>
                      <w:szCs w:val="21"/>
                      <w:u w:val="single"/>
                    </w:rPr>
                  </w:pPr>
                  <w:r>
                    <w:rPr>
                      <w:rFonts w:hint="eastAsia"/>
                      <w:sz w:val="21"/>
                      <w:szCs w:val="21"/>
                      <w:u w:val="single"/>
                    </w:rPr>
                    <w:t>/</w:t>
                  </w:r>
                </w:p>
              </w:tc>
            </w:tr>
            <w:tr w14:paraId="6E13C7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9" w:type="pct"/>
                  <w:vMerge w:val="continue"/>
                  <w:tcBorders>
                    <w:tl2br w:val="nil"/>
                    <w:tr2bl w:val="nil"/>
                  </w:tcBorders>
                  <w:vAlign w:val="center"/>
                </w:tcPr>
                <w:p w14:paraId="205F6AF5">
                  <w:pPr>
                    <w:spacing w:line="240" w:lineRule="auto"/>
                    <w:ind w:firstLine="0" w:firstLineChars="0"/>
                    <w:jc w:val="center"/>
                    <w:rPr>
                      <w:sz w:val="21"/>
                      <w:szCs w:val="21"/>
                      <w:u w:val="single"/>
                    </w:rPr>
                  </w:pPr>
                </w:p>
              </w:tc>
              <w:tc>
                <w:tcPr>
                  <w:tcW w:w="535" w:type="pct"/>
                  <w:tcBorders>
                    <w:tl2br w:val="nil"/>
                    <w:tr2bl w:val="nil"/>
                  </w:tcBorders>
                  <w:vAlign w:val="center"/>
                </w:tcPr>
                <w:p w14:paraId="6CACE36B">
                  <w:pPr>
                    <w:spacing w:line="240" w:lineRule="auto"/>
                    <w:ind w:firstLine="0" w:firstLineChars="0"/>
                    <w:jc w:val="center"/>
                    <w:rPr>
                      <w:sz w:val="21"/>
                      <w:szCs w:val="21"/>
                      <w:u w:val="single"/>
                    </w:rPr>
                  </w:pPr>
                  <w:r>
                    <w:rPr>
                      <w:rFonts w:hint="eastAsia"/>
                      <w:sz w:val="21"/>
                      <w:szCs w:val="21"/>
                      <w:u w:val="single"/>
                    </w:rPr>
                    <w:t>固体废物</w:t>
                  </w:r>
                </w:p>
              </w:tc>
              <w:tc>
                <w:tcPr>
                  <w:tcW w:w="812" w:type="pct"/>
                  <w:tcBorders>
                    <w:tl2br w:val="nil"/>
                    <w:tr2bl w:val="nil"/>
                  </w:tcBorders>
                  <w:vAlign w:val="center"/>
                </w:tcPr>
                <w:p w14:paraId="00E61F57">
                  <w:pPr>
                    <w:spacing w:line="240" w:lineRule="auto"/>
                    <w:ind w:firstLine="0" w:firstLineChars="0"/>
                    <w:jc w:val="center"/>
                    <w:rPr>
                      <w:rFonts w:cstheme="minorBidi"/>
                      <w:kern w:val="2"/>
                      <w:sz w:val="21"/>
                      <w:szCs w:val="21"/>
                      <w:u w:val="single"/>
                    </w:rPr>
                  </w:pPr>
                  <w:r>
                    <w:rPr>
                      <w:rFonts w:hint="eastAsia"/>
                      <w:sz w:val="21"/>
                      <w:szCs w:val="21"/>
                      <w:u w:val="single"/>
                    </w:rPr>
                    <w:t>一般工业固废</w:t>
                  </w:r>
                </w:p>
              </w:tc>
              <w:tc>
                <w:tcPr>
                  <w:tcW w:w="1952" w:type="pct"/>
                  <w:tcBorders>
                    <w:tl2br w:val="nil"/>
                    <w:tr2bl w:val="nil"/>
                  </w:tcBorders>
                  <w:vAlign w:val="center"/>
                </w:tcPr>
                <w:p w14:paraId="0CA50C74">
                  <w:pPr>
                    <w:spacing w:line="240" w:lineRule="auto"/>
                    <w:ind w:firstLine="0" w:firstLineChars="0"/>
                    <w:jc w:val="center"/>
                    <w:rPr>
                      <w:rFonts w:hint="default" w:eastAsia="宋体" w:cstheme="minorBidi"/>
                      <w:kern w:val="2"/>
                      <w:sz w:val="21"/>
                      <w:szCs w:val="21"/>
                      <w:u w:val="single"/>
                      <w:lang w:val="en-US" w:eastAsia="zh-CN"/>
                    </w:rPr>
                  </w:pPr>
                  <w:r>
                    <w:rPr>
                      <w:rFonts w:hint="eastAsia" w:cstheme="minorBidi"/>
                      <w:kern w:val="2"/>
                      <w:sz w:val="21"/>
                      <w:szCs w:val="21"/>
                      <w:u w:val="single"/>
                      <w:lang w:val="en-US" w:eastAsia="zh-CN"/>
                    </w:rPr>
                    <w:t>现有筒仓</w:t>
                  </w:r>
                </w:p>
              </w:tc>
              <w:tc>
                <w:tcPr>
                  <w:tcW w:w="646" w:type="pct"/>
                  <w:tcBorders>
                    <w:tl2br w:val="nil"/>
                    <w:tr2bl w:val="nil"/>
                  </w:tcBorders>
                  <w:vAlign w:val="center"/>
                </w:tcPr>
                <w:p w14:paraId="074A73B2">
                  <w:pPr>
                    <w:spacing w:line="240" w:lineRule="auto"/>
                    <w:ind w:firstLine="0" w:firstLineChars="0"/>
                    <w:jc w:val="center"/>
                    <w:rPr>
                      <w:rFonts w:hint="eastAsia" w:eastAsia="宋体" w:cstheme="minorBidi"/>
                      <w:kern w:val="2"/>
                      <w:sz w:val="21"/>
                      <w:szCs w:val="21"/>
                      <w:u w:val="single"/>
                      <w:lang w:eastAsia="zh-CN"/>
                    </w:rPr>
                  </w:pPr>
                  <w:r>
                    <w:rPr>
                      <w:rFonts w:hint="eastAsia"/>
                      <w:sz w:val="21"/>
                      <w:szCs w:val="21"/>
                      <w:u w:val="single"/>
                      <w:lang w:val="en-US" w:eastAsia="zh-CN"/>
                    </w:rPr>
                    <w:t>0</w:t>
                  </w:r>
                </w:p>
              </w:tc>
              <w:tc>
                <w:tcPr>
                  <w:tcW w:w="725" w:type="pct"/>
                  <w:tcBorders>
                    <w:tl2br w:val="nil"/>
                    <w:tr2bl w:val="nil"/>
                  </w:tcBorders>
                  <w:vAlign w:val="center"/>
                </w:tcPr>
                <w:p w14:paraId="5B286279">
                  <w:pPr>
                    <w:spacing w:line="240" w:lineRule="auto"/>
                    <w:ind w:firstLine="0" w:firstLineChars="0"/>
                    <w:jc w:val="center"/>
                    <w:rPr>
                      <w:rFonts w:hint="eastAsia" w:eastAsia="宋体"/>
                      <w:sz w:val="21"/>
                      <w:szCs w:val="21"/>
                      <w:u w:val="single"/>
                      <w:lang w:val="en-US" w:eastAsia="zh-CN"/>
                    </w:rPr>
                  </w:pPr>
                  <w:r>
                    <w:rPr>
                      <w:rFonts w:hint="eastAsia"/>
                      <w:sz w:val="21"/>
                      <w:szCs w:val="21"/>
                      <w:u w:val="single"/>
                      <w:lang w:val="en-US" w:eastAsia="zh-CN"/>
                    </w:rPr>
                    <w:t>依托现有</w:t>
                  </w:r>
                </w:p>
              </w:tc>
            </w:tr>
            <w:tr w14:paraId="58F604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9" w:type="pct"/>
                  <w:vMerge w:val="continue"/>
                  <w:tcBorders>
                    <w:tl2br w:val="nil"/>
                    <w:tr2bl w:val="nil"/>
                  </w:tcBorders>
                  <w:vAlign w:val="center"/>
                </w:tcPr>
                <w:p w14:paraId="60DE32C7">
                  <w:pPr>
                    <w:spacing w:line="240" w:lineRule="auto"/>
                    <w:ind w:firstLine="0" w:firstLineChars="0"/>
                    <w:jc w:val="center"/>
                    <w:rPr>
                      <w:sz w:val="21"/>
                      <w:szCs w:val="21"/>
                      <w:u w:val="single"/>
                    </w:rPr>
                  </w:pPr>
                </w:p>
              </w:tc>
              <w:tc>
                <w:tcPr>
                  <w:tcW w:w="535" w:type="pct"/>
                  <w:tcBorders>
                    <w:tl2br w:val="nil"/>
                    <w:tr2bl w:val="nil"/>
                  </w:tcBorders>
                  <w:vAlign w:val="center"/>
                </w:tcPr>
                <w:p w14:paraId="3B1C69F0">
                  <w:pPr>
                    <w:spacing w:line="240" w:lineRule="auto"/>
                    <w:ind w:firstLine="0" w:firstLineChars="0"/>
                    <w:jc w:val="center"/>
                    <w:rPr>
                      <w:sz w:val="21"/>
                      <w:szCs w:val="21"/>
                      <w:u w:val="single"/>
                    </w:rPr>
                  </w:pPr>
                  <w:r>
                    <w:rPr>
                      <w:rFonts w:hint="eastAsia"/>
                      <w:sz w:val="21"/>
                      <w:szCs w:val="21"/>
                      <w:u w:val="single"/>
                    </w:rPr>
                    <w:t>危险废物</w:t>
                  </w:r>
                </w:p>
              </w:tc>
              <w:tc>
                <w:tcPr>
                  <w:tcW w:w="812" w:type="pct"/>
                  <w:tcBorders>
                    <w:tl2br w:val="nil"/>
                    <w:tr2bl w:val="nil"/>
                  </w:tcBorders>
                  <w:vAlign w:val="center"/>
                </w:tcPr>
                <w:p w14:paraId="6FB6B7F7">
                  <w:pPr>
                    <w:spacing w:line="240" w:lineRule="auto"/>
                    <w:ind w:firstLine="0" w:firstLineChars="0"/>
                    <w:jc w:val="center"/>
                    <w:rPr>
                      <w:sz w:val="21"/>
                      <w:szCs w:val="21"/>
                      <w:u w:val="single"/>
                    </w:rPr>
                  </w:pPr>
                  <w:r>
                    <w:rPr>
                      <w:rFonts w:hint="eastAsia"/>
                      <w:sz w:val="21"/>
                      <w:szCs w:val="21"/>
                      <w:u w:val="single"/>
                    </w:rPr>
                    <w:t>危险废物</w:t>
                  </w:r>
                </w:p>
              </w:tc>
              <w:tc>
                <w:tcPr>
                  <w:tcW w:w="1952" w:type="pct"/>
                  <w:tcBorders>
                    <w:tl2br w:val="nil"/>
                    <w:tr2bl w:val="nil"/>
                  </w:tcBorders>
                  <w:vAlign w:val="center"/>
                </w:tcPr>
                <w:p w14:paraId="30902400">
                  <w:pPr>
                    <w:spacing w:line="240" w:lineRule="auto"/>
                    <w:ind w:firstLine="0" w:firstLineChars="0"/>
                    <w:jc w:val="center"/>
                    <w:rPr>
                      <w:sz w:val="21"/>
                      <w:szCs w:val="21"/>
                      <w:u w:val="single"/>
                    </w:rPr>
                  </w:pPr>
                  <w:r>
                    <w:rPr>
                      <w:rFonts w:hint="eastAsia"/>
                      <w:sz w:val="21"/>
                      <w:szCs w:val="21"/>
                      <w:u w:val="single"/>
                    </w:rPr>
                    <w:t>危险废物暂存间</w:t>
                  </w:r>
                </w:p>
              </w:tc>
              <w:tc>
                <w:tcPr>
                  <w:tcW w:w="646" w:type="pct"/>
                  <w:tcBorders>
                    <w:tl2br w:val="nil"/>
                    <w:tr2bl w:val="nil"/>
                  </w:tcBorders>
                  <w:vAlign w:val="center"/>
                </w:tcPr>
                <w:p w14:paraId="432FE886">
                  <w:pPr>
                    <w:spacing w:line="240" w:lineRule="auto"/>
                    <w:ind w:firstLine="0" w:firstLineChars="0"/>
                    <w:jc w:val="center"/>
                    <w:rPr>
                      <w:rFonts w:hint="eastAsia" w:eastAsia="宋体"/>
                      <w:sz w:val="21"/>
                      <w:szCs w:val="21"/>
                      <w:u w:val="single"/>
                      <w:lang w:eastAsia="zh-CN"/>
                    </w:rPr>
                  </w:pPr>
                  <w:r>
                    <w:rPr>
                      <w:rFonts w:hint="eastAsia"/>
                      <w:sz w:val="21"/>
                      <w:szCs w:val="21"/>
                      <w:u w:val="single"/>
                      <w:lang w:val="en-US" w:eastAsia="zh-CN"/>
                    </w:rPr>
                    <w:t>0</w:t>
                  </w:r>
                </w:p>
              </w:tc>
              <w:tc>
                <w:tcPr>
                  <w:tcW w:w="725" w:type="pct"/>
                  <w:tcBorders>
                    <w:tl2br w:val="nil"/>
                    <w:tr2bl w:val="nil"/>
                  </w:tcBorders>
                  <w:vAlign w:val="center"/>
                </w:tcPr>
                <w:p w14:paraId="1910339A">
                  <w:pPr>
                    <w:spacing w:line="240" w:lineRule="auto"/>
                    <w:ind w:firstLine="0" w:firstLineChars="0"/>
                    <w:jc w:val="center"/>
                    <w:rPr>
                      <w:rFonts w:hint="eastAsia" w:eastAsia="宋体"/>
                      <w:sz w:val="21"/>
                      <w:szCs w:val="21"/>
                      <w:u w:val="single"/>
                      <w:lang w:eastAsia="zh-CN"/>
                    </w:rPr>
                  </w:pPr>
                  <w:r>
                    <w:rPr>
                      <w:rFonts w:hint="eastAsia"/>
                      <w:sz w:val="21"/>
                      <w:szCs w:val="21"/>
                      <w:u w:val="single"/>
                      <w:lang w:val="en-US" w:eastAsia="zh-CN"/>
                    </w:rPr>
                    <w:t>依托现有</w:t>
                  </w:r>
                </w:p>
              </w:tc>
            </w:tr>
            <w:tr w14:paraId="591D36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28" w:type="pct"/>
                  <w:gridSpan w:val="4"/>
                  <w:tcBorders>
                    <w:tl2br w:val="nil"/>
                    <w:tr2bl w:val="nil"/>
                  </w:tcBorders>
                  <w:vAlign w:val="center"/>
                </w:tcPr>
                <w:p w14:paraId="3BDE0CA4">
                  <w:pPr>
                    <w:spacing w:line="240" w:lineRule="auto"/>
                    <w:ind w:firstLine="0" w:firstLineChars="0"/>
                    <w:jc w:val="center"/>
                    <w:rPr>
                      <w:sz w:val="21"/>
                      <w:szCs w:val="21"/>
                      <w:u w:val="single"/>
                    </w:rPr>
                  </w:pPr>
                  <w:r>
                    <w:rPr>
                      <w:sz w:val="21"/>
                      <w:szCs w:val="21"/>
                      <w:u w:val="single"/>
                    </w:rPr>
                    <w:t>合计</w:t>
                  </w:r>
                </w:p>
              </w:tc>
              <w:tc>
                <w:tcPr>
                  <w:tcW w:w="646" w:type="pct"/>
                  <w:tcBorders>
                    <w:tl2br w:val="nil"/>
                    <w:tr2bl w:val="nil"/>
                  </w:tcBorders>
                  <w:vAlign w:val="center"/>
                </w:tcPr>
                <w:p w14:paraId="02440A73">
                  <w:pPr>
                    <w:spacing w:line="240" w:lineRule="auto"/>
                    <w:ind w:firstLine="0" w:firstLineChars="0"/>
                    <w:jc w:val="center"/>
                    <w:rPr>
                      <w:rFonts w:hint="eastAsia" w:eastAsia="宋体"/>
                      <w:sz w:val="21"/>
                      <w:szCs w:val="21"/>
                      <w:u w:val="single"/>
                      <w:lang w:eastAsia="zh-CN"/>
                    </w:rPr>
                  </w:pPr>
                  <w:r>
                    <w:rPr>
                      <w:rFonts w:hint="eastAsia"/>
                      <w:sz w:val="21"/>
                      <w:szCs w:val="21"/>
                      <w:u w:val="single"/>
                      <w:lang w:val="en-US" w:eastAsia="zh-CN"/>
                    </w:rPr>
                    <w:t>5</w:t>
                  </w:r>
                </w:p>
              </w:tc>
              <w:tc>
                <w:tcPr>
                  <w:tcW w:w="725" w:type="pct"/>
                  <w:tcBorders>
                    <w:tl2br w:val="nil"/>
                    <w:tr2bl w:val="nil"/>
                  </w:tcBorders>
                  <w:vAlign w:val="center"/>
                </w:tcPr>
                <w:p w14:paraId="713966B4">
                  <w:pPr>
                    <w:spacing w:line="240" w:lineRule="auto"/>
                    <w:ind w:firstLine="0" w:firstLineChars="0"/>
                    <w:jc w:val="center"/>
                    <w:rPr>
                      <w:sz w:val="21"/>
                      <w:szCs w:val="21"/>
                      <w:u w:val="single"/>
                    </w:rPr>
                  </w:pPr>
                  <w:r>
                    <w:rPr>
                      <w:rFonts w:hint="eastAsia"/>
                      <w:sz w:val="21"/>
                      <w:szCs w:val="21"/>
                      <w:u w:val="single"/>
                    </w:rPr>
                    <w:t>/</w:t>
                  </w:r>
                </w:p>
              </w:tc>
            </w:tr>
          </w:tbl>
          <w:p w14:paraId="2DAB5E14">
            <w:pPr>
              <w:pStyle w:val="30"/>
              <w:ind w:left="0" w:leftChars="0" w:firstLine="0" w:firstLineChars="0"/>
            </w:pPr>
          </w:p>
        </w:tc>
      </w:tr>
    </w:tbl>
    <w:p w14:paraId="7F3ED15A">
      <w:pPr>
        <w:adjustRightInd w:val="0"/>
        <w:snapToGrid w:val="0"/>
        <w:ind w:firstLine="562"/>
        <w:rPr>
          <w:b/>
          <w:sz w:val="28"/>
          <w:szCs w:val="28"/>
        </w:rPr>
        <w:sectPr>
          <w:pgSz w:w="11907" w:h="16840"/>
          <w:pgMar w:top="1418" w:right="1418" w:bottom="1418" w:left="1701" w:header="851" w:footer="992" w:gutter="0"/>
          <w:pgBorders>
            <w:top w:val="none" w:sz="0" w:space="0"/>
            <w:left w:val="none" w:sz="0" w:space="0"/>
            <w:bottom w:val="none" w:sz="0" w:space="0"/>
            <w:right w:val="none" w:sz="0" w:space="0"/>
          </w:pgBorders>
          <w:cols w:space="720" w:num="1"/>
          <w:docGrid w:linePitch="326" w:charSpace="0"/>
        </w:sectPr>
      </w:pPr>
    </w:p>
    <w:p w14:paraId="73172E3D">
      <w:pPr>
        <w:pStyle w:val="2"/>
        <w:numPr>
          <w:ilvl w:val="255"/>
          <w:numId w:val="0"/>
        </w:numPr>
        <w:spacing w:before="0" w:beforeLines="0" w:after="120" w:afterLines="50"/>
        <w:jc w:val="center"/>
        <w:rPr>
          <w:snapToGrid w:val="0"/>
        </w:rPr>
      </w:pPr>
      <w:bookmarkStart w:id="117" w:name="_Toc14439"/>
      <w:bookmarkStart w:id="118" w:name="_Toc26793"/>
      <w:bookmarkStart w:id="119" w:name="_Toc18718"/>
      <w:bookmarkStart w:id="120" w:name="_Toc27696"/>
      <w:bookmarkStart w:id="121" w:name="_Toc30667"/>
      <w:bookmarkStart w:id="122" w:name="_Toc20442"/>
      <w:bookmarkStart w:id="123" w:name="_Toc10299"/>
      <w:bookmarkStart w:id="124" w:name="_Toc32730"/>
      <w:bookmarkStart w:id="125" w:name="_Toc880"/>
      <w:bookmarkStart w:id="126" w:name="_Toc10269"/>
      <w:bookmarkStart w:id="127" w:name="_Toc28981"/>
      <w:bookmarkStart w:id="128" w:name="_Toc17406"/>
      <w:bookmarkStart w:id="129" w:name="_Toc10841"/>
      <w:bookmarkStart w:id="130" w:name="_Toc15158"/>
      <w:bookmarkStart w:id="131" w:name="_Toc12623"/>
      <w:bookmarkStart w:id="132" w:name="_Toc30488"/>
      <w:bookmarkStart w:id="133" w:name="_Toc13106"/>
      <w:r>
        <w:rPr>
          <w:snapToGrid w:val="0"/>
        </w:rPr>
        <w:t>五、</w:t>
      </w:r>
      <w:bookmarkStart w:id="134" w:name="_Hlk54167917"/>
      <w:r>
        <w:rPr>
          <w:snapToGrid w:val="0"/>
        </w:rPr>
        <w:t>环境</w:t>
      </w:r>
      <w:r>
        <w:t>保护</w:t>
      </w:r>
      <w:r>
        <w:rPr>
          <w:snapToGrid w:val="0"/>
        </w:rPr>
        <w:t>措施监督检查清单</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tbl>
      <w:tblPr>
        <w:tblStyle w:val="3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686"/>
        <w:gridCol w:w="992"/>
        <w:gridCol w:w="2625"/>
        <w:gridCol w:w="1719"/>
      </w:tblGrid>
      <w:tr w14:paraId="5426BD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single" w:color="auto" w:sz="4" w:space="0"/>
            </w:tcBorders>
            <w:vAlign w:val="center"/>
          </w:tcPr>
          <w:p w14:paraId="5B55DE2F">
            <w:pPr>
              <w:autoSpaceDE w:val="0"/>
              <w:autoSpaceDN w:val="0"/>
              <w:adjustRightInd w:val="0"/>
              <w:snapToGrid w:val="0"/>
              <w:spacing w:line="240" w:lineRule="auto"/>
              <w:ind w:firstLine="0" w:firstLineChars="0"/>
              <w:jc w:val="center"/>
              <w:rPr>
                <w:sz w:val="24"/>
                <w:szCs w:val="24"/>
                <w:u w:val="single"/>
              </w:rPr>
            </w:pPr>
            <w:r>
              <w:rPr>
                <w:rFonts w:hint="eastAsia"/>
                <w:sz w:val="24"/>
                <w:szCs w:val="24"/>
                <w:u w:val="single"/>
                <w:lang w:val="en-US" w:eastAsia="zh-CN"/>
              </w:rPr>
              <w:t xml:space="preserve">       </w:t>
            </w:r>
            <w:r>
              <w:rPr>
                <w:sz w:val="24"/>
                <w:szCs w:val="24"/>
                <w:u w:val="single"/>
              </w:rPr>
              <w:t>内容</w:t>
            </w:r>
          </w:p>
          <w:p w14:paraId="08398D04">
            <w:pPr>
              <w:autoSpaceDE w:val="0"/>
              <w:autoSpaceDN w:val="0"/>
              <w:adjustRightInd w:val="0"/>
              <w:snapToGrid w:val="0"/>
              <w:spacing w:line="240" w:lineRule="auto"/>
              <w:ind w:firstLine="0" w:firstLineChars="0"/>
              <w:jc w:val="both"/>
              <w:rPr>
                <w:sz w:val="24"/>
                <w:szCs w:val="24"/>
                <w:u w:val="single"/>
              </w:rPr>
            </w:pPr>
            <w:r>
              <w:rPr>
                <w:sz w:val="24"/>
                <w:szCs w:val="24"/>
                <w:u w:val="single"/>
              </w:rPr>
              <w:t>要素</w:t>
            </w:r>
          </w:p>
        </w:tc>
        <w:tc>
          <w:tcPr>
            <w:tcW w:w="1686" w:type="dxa"/>
            <w:vAlign w:val="center"/>
          </w:tcPr>
          <w:p w14:paraId="22E38110">
            <w:pPr>
              <w:autoSpaceDE w:val="0"/>
              <w:autoSpaceDN w:val="0"/>
              <w:adjustRightInd w:val="0"/>
              <w:snapToGrid w:val="0"/>
              <w:spacing w:line="240" w:lineRule="auto"/>
              <w:ind w:firstLine="0" w:firstLineChars="0"/>
              <w:jc w:val="center"/>
              <w:rPr>
                <w:sz w:val="24"/>
                <w:szCs w:val="24"/>
                <w:u w:val="single"/>
              </w:rPr>
            </w:pPr>
            <w:r>
              <w:rPr>
                <w:sz w:val="24"/>
                <w:szCs w:val="24"/>
                <w:u w:val="single"/>
              </w:rPr>
              <w:t>排放口</w:t>
            </w:r>
            <w:r>
              <w:rPr>
                <w:rFonts w:hint="eastAsia"/>
                <w:sz w:val="24"/>
                <w:szCs w:val="24"/>
                <w:u w:val="single"/>
              </w:rPr>
              <w:t>（</w:t>
            </w:r>
            <w:r>
              <w:rPr>
                <w:sz w:val="24"/>
                <w:szCs w:val="24"/>
                <w:u w:val="single"/>
              </w:rPr>
              <w:t>编号、</w:t>
            </w:r>
          </w:p>
          <w:p w14:paraId="0CDAF58B">
            <w:pPr>
              <w:autoSpaceDE w:val="0"/>
              <w:autoSpaceDN w:val="0"/>
              <w:adjustRightInd w:val="0"/>
              <w:snapToGrid w:val="0"/>
              <w:spacing w:line="240" w:lineRule="auto"/>
              <w:ind w:firstLine="0" w:firstLineChars="0"/>
              <w:jc w:val="center"/>
              <w:rPr>
                <w:sz w:val="24"/>
                <w:szCs w:val="24"/>
                <w:u w:val="single"/>
              </w:rPr>
            </w:pPr>
            <w:r>
              <w:rPr>
                <w:sz w:val="24"/>
                <w:szCs w:val="24"/>
                <w:u w:val="single"/>
              </w:rPr>
              <w:t>名称</w:t>
            </w:r>
            <w:r>
              <w:rPr>
                <w:rFonts w:hint="eastAsia"/>
                <w:sz w:val="24"/>
                <w:szCs w:val="24"/>
                <w:u w:val="single"/>
              </w:rPr>
              <w:t>）</w:t>
            </w:r>
            <w:r>
              <w:rPr>
                <w:sz w:val="24"/>
                <w:szCs w:val="24"/>
                <w:u w:val="single"/>
              </w:rPr>
              <w:t>/污染源</w:t>
            </w:r>
          </w:p>
        </w:tc>
        <w:tc>
          <w:tcPr>
            <w:tcW w:w="992" w:type="dxa"/>
            <w:vAlign w:val="center"/>
          </w:tcPr>
          <w:p w14:paraId="470A87D9">
            <w:pPr>
              <w:autoSpaceDE w:val="0"/>
              <w:autoSpaceDN w:val="0"/>
              <w:adjustRightInd w:val="0"/>
              <w:snapToGrid w:val="0"/>
              <w:spacing w:line="240" w:lineRule="auto"/>
              <w:ind w:firstLine="0" w:firstLineChars="0"/>
              <w:jc w:val="center"/>
              <w:rPr>
                <w:sz w:val="24"/>
                <w:szCs w:val="24"/>
                <w:u w:val="single"/>
              </w:rPr>
            </w:pPr>
            <w:r>
              <w:rPr>
                <w:sz w:val="24"/>
                <w:szCs w:val="24"/>
                <w:u w:val="single"/>
              </w:rPr>
              <w:t>污染物项目</w:t>
            </w:r>
          </w:p>
        </w:tc>
        <w:tc>
          <w:tcPr>
            <w:tcW w:w="2625" w:type="dxa"/>
            <w:vAlign w:val="center"/>
          </w:tcPr>
          <w:p w14:paraId="7A0A6C11">
            <w:pPr>
              <w:autoSpaceDE w:val="0"/>
              <w:autoSpaceDN w:val="0"/>
              <w:adjustRightInd w:val="0"/>
              <w:snapToGrid w:val="0"/>
              <w:spacing w:line="240" w:lineRule="auto"/>
              <w:ind w:firstLine="0" w:firstLineChars="0"/>
              <w:jc w:val="center"/>
              <w:rPr>
                <w:sz w:val="24"/>
                <w:szCs w:val="24"/>
                <w:u w:val="single"/>
              </w:rPr>
            </w:pPr>
            <w:r>
              <w:rPr>
                <w:sz w:val="24"/>
                <w:szCs w:val="24"/>
                <w:u w:val="single"/>
              </w:rPr>
              <w:t>环境保护措施</w:t>
            </w:r>
          </w:p>
        </w:tc>
        <w:tc>
          <w:tcPr>
            <w:tcW w:w="1719" w:type="dxa"/>
            <w:vAlign w:val="center"/>
          </w:tcPr>
          <w:p w14:paraId="7CE0B904">
            <w:pPr>
              <w:autoSpaceDE w:val="0"/>
              <w:autoSpaceDN w:val="0"/>
              <w:adjustRightInd w:val="0"/>
              <w:snapToGrid w:val="0"/>
              <w:spacing w:line="240" w:lineRule="auto"/>
              <w:ind w:firstLine="0" w:firstLineChars="0"/>
              <w:jc w:val="center"/>
              <w:rPr>
                <w:sz w:val="24"/>
                <w:szCs w:val="24"/>
                <w:u w:val="single"/>
              </w:rPr>
            </w:pPr>
            <w:r>
              <w:rPr>
                <w:sz w:val="24"/>
                <w:szCs w:val="24"/>
                <w:u w:val="single"/>
              </w:rPr>
              <w:t>执行标准</w:t>
            </w:r>
          </w:p>
        </w:tc>
      </w:tr>
      <w:tr w14:paraId="595736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778" w:type="dxa"/>
            <w:vMerge w:val="restart"/>
            <w:vAlign w:val="center"/>
          </w:tcPr>
          <w:p w14:paraId="6D437243">
            <w:pPr>
              <w:autoSpaceDE w:val="0"/>
              <w:autoSpaceDN w:val="0"/>
              <w:adjustRightInd w:val="0"/>
              <w:snapToGrid w:val="0"/>
              <w:spacing w:line="240" w:lineRule="auto"/>
              <w:ind w:firstLine="0" w:firstLineChars="0"/>
              <w:jc w:val="center"/>
              <w:rPr>
                <w:sz w:val="24"/>
                <w:szCs w:val="24"/>
                <w:u w:val="single"/>
              </w:rPr>
            </w:pPr>
            <w:r>
              <w:rPr>
                <w:rFonts w:hint="eastAsia"/>
                <w:sz w:val="24"/>
                <w:szCs w:val="24"/>
                <w:u w:val="single"/>
              </w:rPr>
              <w:t>大气环境</w:t>
            </w:r>
          </w:p>
        </w:tc>
        <w:tc>
          <w:tcPr>
            <w:tcW w:w="1686" w:type="dxa"/>
            <w:vAlign w:val="center"/>
          </w:tcPr>
          <w:p w14:paraId="4F836794">
            <w:pPr>
              <w:autoSpaceDE w:val="0"/>
              <w:autoSpaceDN w:val="0"/>
              <w:adjustRightInd w:val="0"/>
              <w:snapToGrid w:val="0"/>
              <w:spacing w:line="240" w:lineRule="auto"/>
              <w:ind w:firstLine="0" w:firstLineChars="0"/>
              <w:jc w:val="center"/>
              <w:rPr>
                <w:rFonts w:hint="default" w:eastAsia="宋体"/>
                <w:sz w:val="24"/>
                <w:szCs w:val="24"/>
                <w:u w:val="single"/>
                <w:lang w:val="en-US" w:eastAsia="zh-CN"/>
              </w:rPr>
            </w:pPr>
            <w:r>
              <w:rPr>
                <w:rFonts w:hint="eastAsia"/>
                <w:sz w:val="24"/>
                <w:szCs w:val="24"/>
                <w:u w:val="single"/>
                <w:lang w:val="en-US" w:eastAsia="zh-CN"/>
              </w:rPr>
              <w:t>P1</w:t>
            </w:r>
          </w:p>
        </w:tc>
        <w:tc>
          <w:tcPr>
            <w:tcW w:w="992" w:type="dxa"/>
            <w:vAlign w:val="center"/>
          </w:tcPr>
          <w:p w14:paraId="7F2980B0">
            <w:pPr>
              <w:autoSpaceDE w:val="0"/>
              <w:autoSpaceDN w:val="0"/>
              <w:adjustRightInd w:val="0"/>
              <w:snapToGrid w:val="0"/>
              <w:spacing w:line="240" w:lineRule="auto"/>
              <w:ind w:firstLine="0" w:firstLineChars="0"/>
              <w:jc w:val="center"/>
              <w:rPr>
                <w:sz w:val="24"/>
                <w:szCs w:val="24"/>
                <w:u w:val="single"/>
              </w:rPr>
            </w:pPr>
            <w:r>
              <w:rPr>
                <w:rFonts w:hint="eastAsia"/>
                <w:sz w:val="24"/>
                <w:szCs w:val="24"/>
                <w:u w:val="single"/>
              </w:rPr>
              <w:t>颗粒物</w:t>
            </w:r>
          </w:p>
        </w:tc>
        <w:tc>
          <w:tcPr>
            <w:tcW w:w="2625" w:type="dxa"/>
            <w:vAlign w:val="center"/>
          </w:tcPr>
          <w:p w14:paraId="763ADDAA">
            <w:pPr>
              <w:autoSpaceDE w:val="0"/>
              <w:autoSpaceDN w:val="0"/>
              <w:adjustRightInd w:val="0"/>
              <w:snapToGrid w:val="0"/>
              <w:spacing w:line="240" w:lineRule="auto"/>
              <w:ind w:firstLine="0" w:firstLineChars="0"/>
              <w:jc w:val="center"/>
              <w:rPr>
                <w:rFonts w:hint="eastAsia" w:eastAsia="宋体"/>
                <w:sz w:val="24"/>
                <w:szCs w:val="24"/>
                <w:u w:val="single"/>
                <w:lang w:val="en-US" w:eastAsia="zh-CN"/>
              </w:rPr>
            </w:pPr>
            <w:r>
              <w:rPr>
                <w:rFonts w:hint="eastAsia"/>
                <w:sz w:val="24"/>
                <w:szCs w:val="24"/>
                <w:u w:val="single"/>
                <w:lang w:val="en-US" w:eastAsia="zh-CN"/>
              </w:rPr>
              <w:t>脉冲布袋除尘器</w:t>
            </w:r>
          </w:p>
        </w:tc>
        <w:tc>
          <w:tcPr>
            <w:tcW w:w="1719" w:type="dxa"/>
            <w:vMerge w:val="restart"/>
            <w:vAlign w:val="center"/>
          </w:tcPr>
          <w:p w14:paraId="4B56BB2B">
            <w:pPr>
              <w:autoSpaceDE w:val="0"/>
              <w:autoSpaceDN w:val="0"/>
              <w:adjustRightInd w:val="0"/>
              <w:snapToGrid w:val="0"/>
              <w:spacing w:line="240" w:lineRule="auto"/>
              <w:ind w:firstLine="0" w:firstLineChars="0"/>
              <w:jc w:val="center"/>
              <w:rPr>
                <w:sz w:val="24"/>
                <w:szCs w:val="24"/>
                <w:u w:val="single"/>
              </w:rPr>
            </w:pPr>
            <w:r>
              <w:rPr>
                <w:rFonts w:hint="eastAsia"/>
                <w:sz w:val="24"/>
                <w:szCs w:val="24"/>
                <w:u w:val="single"/>
              </w:rPr>
              <w:t>《大气污染物综合排放标准》（GB16297-1996）</w:t>
            </w:r>
          </w:p>
        </w:tc>
      </w:tr>
      <w:tr w14:paraId="5B8C16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778" w:type="dxa"/>
            <w:vMerge w:val="continue"/>
            <w:vAlign w:val="center"/>
          </w:tcPr>
          <w:p w14:paraId="4C078AA0">
            <w:pPr>
              <w:autoSpaceDE w:val="0"/>
              <w:autoSpaceDN w:val="0"/>
              <w:adjustRightInd w:val="0"/>
              <w:snapToGrid w:val="0"/>
              <w:spacing w:line="240" w:lineRule="auto"/>
              <w:ind w:firstLine="0" w:firstLineChars="0"/>
              <w:jc w:val="center"/>
              <w:rPr>
                <w:rFonts w:hint="eastAsia"/>
                <w:sz w:val="24"/>
                <w:szCs w:val="24"/>
                <w:u w:val="single"/>
              </w:rPr>
            </w:pPr>
          </w:p>
        </w:tc>
        <w:tc>
          <w:tcPr>
            <w:tcW w:w="1686" w:type="dxa"/>
            <w:vAlign w:val="center"/>
          </w:tcPr>
          <w:p w14:paraId="05FEE090">
            <w:pPr>
              <w:autoSpaceDE w:val="0"/>
              <w:autoSpaceDN w:val="0"/>
              <w:adjustRightInd w:val="0"/>
              <w:snapToGrid w:val="0"/>
              <w:spacing w:line="240" w:lineRule="auto"/>
              <w:ind w:firstLine="0" w:firstLineChars="0"/>
              <w:jc w:val="center"/>
              <w:rPr>
                <w:rFonts w:hint="default" w:eastAsia="宋体"/>
                <w:sz w:val="24"/>
                <w:szCs w:val="24"/>
                <w:u w:val="single"/>
                <w:lang w:val="en-US" w:eastAsia="zh-CN"/>
              </w:rPr>
            </w:pPr>
            <w:r>
              <w:rPr>
                <w:rFonts w:hint="eastAsia"/>
                <w:sz w:val="24"/>
                <w:szCs w:val="24"/>
                <w:u w:val="single"/>
                <w:lang w:val="en-US" w:eastAsia="zh-CN"/>
              </w:rPr>
              <w:t>P2</w:t>
            </w:r>
          </w:p>
        </w:tc>
        <w:tc>
          <w:tcPr>
            <w:tcW w:w="992" w:type="dxa"/>
            <w:vAlign w:val="center"/>
          </w:tcPr>
          <w:p w14:paraId="1215F6ED">
            <w:pPr>
              <w:autoSpaceDE w:val="0"/>
              <w:autoSpaceDN w:val="0"/>
              <w:adjustRightInd w:val="0"/>
              <w:snapToGrid w:val="0"/>
              <w:spacing w:line="240" w:lineRule="auto"/>
              <w:ind w:firstLine="0" w:firstLineChars="0"/>
              <w:jc w:val="center"/>
              <w:rPr>
                <w:rFonts w:hint="eastAsia" w:eastAsia="宋体"/>
                <w:sz w:val="24"/>
                <w:szCs w:val="24"/>
                <w:u w:val="single"/>
                <w:lang w:val="en-US" w:eastAsia="zh-CN"/>
              </w:rPr>
            </w:pPr>
            <w:r>
              <w:rPr>
                <w:rFonts w:hint="eastAsia"/>
                <w:sz w:val="24"/>
                <w:szCs w:val="24"/>
                <w:u w:val="single"/>
                <w:lang w:val="en-US" w:eastAsia="zh-CN"/>
              </w:rPr>
              <w:t>颗粒物</w:t>
            </w:r>
          </w:p>
        </w:tc>
        <w:tc>
          <w:tcPr>
            <w:tcW w:w="2625" w:type="dxa"/>
            <w:vAlign w:val="center"/>
          </w:tcPr>
          <w:p w14:paraId="7F9AAFA6">
            <w:pPr>
              <w:autoSpaceDE w:val="0"/>
              <w:autoSpaceDN w:val="0"/>
              <w:adjustRightInd w:val="0"/>
              <w:snapToGrid w:val="0"/>
              <w:spacing w:line="240" w:lineRule="auto"/>
              <w:ind w:firstLine="0" w:firstLineChars="0"/>
              <w:jc w:val="center"/>
              <w:rPr>
                <w:rFonts w:hint="eastAsia" w:eastAsia="宋体"/>
                <w:sz w:val="24"/>
                <w:szCs w:val="24"/>
                <w:u w:val="single"/>
                <w:lang w:val="en-US" w:eastAsia="zh-CN"/>
              </w:rPr>
            </w:pPr>
            <w:r>
              <w:rPr>
                <w:rFonts w:hint="eastAsia"/>
                <w:sz w:val="24"/>
                <w:szCs w:val="24"/>
                <w:u w:val="single"/>
                <w:lang w:val="en-US" w:eastAsia="zh-CN"/>
              </w:rPr>
              <w:t>脉冲布袋除尘器</w:t>
            </w:r>
          </w:p>
        </w:tc>
        <w:tc>
          <w:tcPr>
            <w:tcW w:w="1719" w:type="dxa"/>
            <w:vMerge w:val="continue"/>
            <w:vAlign w:val="center"/>
          </w:tcPr>
          <w:p w14:paraId="6770CC2B">
            <w:pPr>
              <w:autoSpaceDE w:val="0"/>
              <w:autoSpaceDN w:val="0"/>
              <w:adjustRightInd w:val="0"/>
              <w:snapToGrid w:val="0"/>
              <w:spacing w:line="240" w:lineRule="auto"/>
              <w:ind w:firstLine="0" w:firstLineChars="0"/>
              <w:jc w:val="center"/>
              <w:rPr>
                <w:rFonts w:hint="eastAsia"/>
                <w:sz w:val="24"/>
                <w:szCs w:val="24"/>
                <w:u w:val="single"/>
              </w:rPr>
            </w:pPr>
          </w:p>
        </w:tc>
      </w:tr>
      <w:tr w14:paraId="41ACD5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778" w:type="dxa"/>
            <w:vMerge w:val="continue"/>
            <w:vAlign w:val="center"/>
          </w:tcPr>
          <w:p w14:paraId="2B8F9F25">
            <w:pPr>
              <w:autoSpaceDE w:val="0"/>
              <w:autoSpaceDN w:val="0"/>
              <w:adjustRightInd w:val="0"/>
              <w:snapToGrid w:val="0"/>
              <w:spacing w:line="240" w:lineRule="auto"/>
              <w:ind w:firstLine="0" w:firstLineChars="0"/>
              <w:jc w:val="center"/>
              <w:rPr>
                <w:rFonts w:hint="eastAsia"/>
                <w:sz w:val="24"/>
                <w:szCs w:val="24"/>
                <w:u w:val="single"/>
              </w:rPr>
            </w:pPr>
          </w:p>
        </w:tc>
        <w:tc>
          <w:tcPr>
            <w:tcW w:w="1686" w:type="dxa"/>
            <w:vAlign w:val="center"/>
          </w:tcPr>
          <w:p w14:paraId="15530D7D">
            <w:pPr>
              <w:autoSpaceDE w:val="0"/>
              <w:autoSpaceDN w:val="0"/>
              <w:adjustRightInd w:val="0"/>
              <w:snapToGrid w:val="0"/>
              <w:spacing w:line="240" w:lineRule="auto"/>
              <w:ind w:firstLine="0" w:firstLineChars="0"/>
              <w:jc w:val="center"/>
              <w:rPr>
                <w:rFonts w:hint="default" w:eastAsia="宋体"/>
                <w:sz w:val="24"/>
                <w:szCs w:val="24"/>
                <w:u w:val="single"/>
                <w:lang w:val="en-US" w:eastAsia="zh-CN"/>
              </w:rPr>
            </w:pPr>
            <w:r>
              <w:rPr>
                <w:rFonts w:hint="eastAsia"/>
                <w:sz w:val="24"/>
                <w:szCs w:val="24"/>
                <w:u w:val="single"/>
                <w:lang w:val="en-US" w:eastAsia="zh-CN"/>
              </w:rPr>
              <w:t>P3</w:t>
            </w:r>
          </w:p>
        </w:tc>
        <w:tc>
          <w:tcPr>
            <w:tcW w:w="992" w:type="dxa"/>
            <w:vAlign w:val="center"/>
          </w:tcPr>
          <w:p w14:paraId="413C9BDD">
            <w:pPr>
              <w:autoSpaceDE w:val="0"/>
              <w:autoSpaceDN w:val="0"/>
              <w:adjustRightInd w:val="0"/>
              <w:snapToGrid w:val="0"/>
              <w:spacing w:line="240" w:lineRule="auto"/>
              <w:ind w:firstLine="0" w:firstLineChars="0"/>
              <w:jc w:val="center"/>
              <w:rPr>
                <w:rFonts w:hint="eastAsia" w:eastAsia="宋体"/>
                <w:sz w:val="24"/>
                <w:szCs w:val="24"/>
                <w:u w:val="single"/>
                <w:lang w:val="en-US" w:eastAsia="zh-CN"/>
              </w:rPr>
            </w:pPr>
            <w:r>
              <w:rPr>
                <w:rFonts w:hint="eastAsia"/>
                <w:sz w:val="24"/>
                <w:szCs w:val="24"/>
                <w:u w:val="single"/>
                <w:lang w:val="en-US" w:eastAsia="zh-CN"/>
              </w:rPr>
              <w:t>颗粒物</w:t>
            </w:r>
          </w:p>
        </w:tc>
        <w:tc>
          <w:tcPr>
            <w:tcW w:w="2625" w:type="dxa"/>
            <w:vAlign w:val="center"/>
          </w:tcPr>
          <w:p w14:paraId="25BC6327">
            <w:pPr>
              <w:autoSpaceDE w:val="0"/>
              <w:autoSpaceDN w:val="0"/>
              <w:adjustRightInd w:val="0"/>
              <w:snapToGrid w:val="0"/>
              <w:spacing w:line="240" w:lineRule="auto"/>
              <w:ind w:firstLine="0" w:firstLineChars="0"/>
              <w:jc w:val="center"/>
              <w:rPr>
                <w:rFonts w:hint="default" w:eastAsia="宋体"/>
                <w:sz w:val="24"/>
                <w:szCs w:val="24"/>
                <w:u w:val="single"/>
                <w:lang w:val="en-US" w:eastAsia="zh-CN"/>
              </w:rPr>
            </w:pPr>
            <w:r>
              <w:rPr>
                <w:rFonts w:hint="eastAsia"/>
                <w:sz w:val="24"/>
                <w:szCs w:val="24"/>
                <w:u w:val="single"/>
                <w:lang w:val="en-US" w:eastAsia="zh-CN"/>
              </w:rPr>
              <w:t>侧抽模块化布袋除尘器</w:t>
            </w:r>
          </w:p>
        </w:tc>
        <w:tc>
          <w:tcPr>
            <w:tcW w:w="1719" w:type="dxa"/>
            <w:vMerge w:val="continue"/>
            <w:vAlign w:val="center"/>
          </w:tcPr>
          <w:p w14:paraId="28CC4B87">
            <w:pPr>
              <w:autoSpaceDE w:val="0"/>
              <w:autoSpaceDN w:val="0"/>
              <w:adjustRightInd w:val="0"/>
              <w:snapToGrid w:val="0"/>
              <w:spacing w:line="240" w:lineRule="auto"/>
              <w:ind w:firstLine="0" w:firstLineChars="0"/>
              <w:jc w:val="center"/>
              <w:rPr>
                <w:rFonts w:hint="eastAsia"/>
                <w:sz w:val="24"/>
                <w:szCs w:val="24"/>
                <w:u w:val="single"/>
              </w:rPr>
            </w:pPr>
          </w:p>
        </w:tc>
      </w:tr>
      <w:tr w14:paraId="0707C9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778" w:type="dxa"/>
            <w:vMerge w:val="continue"/>
            <w:vAlign w:val="center"/>
          </w:tcPr>
          <w:p w14:paraId="0FF0272C">
            <w:pPr>
              <w:autoSpaceDE w:val="0"/>
              <w:autoSpaceDN w:val="0"/>
              <w:adjustRightInd w:val="0"/>
              <w:snapToGrid w:val="0"/>
              <w:spacing w:line="240" w:lineRule="auto"/>
              <w:ind w:firstLine="0" w:firstLineChars="0"/>
              <w:jc w:val="center"/>
              <w:rPr>
                <w:rFonts w:hint="eastAsia"/>
                <w:sz w:val="24"/>
                <w:szCs w:val="24"/>
                <w:u w:val="single"/>
              </w:rPr>
            </w:pPr>
          </w:p>
        </w:tc>
        <w:tc>
          <w:tcPr>
            <w:tcW w:w="1686" w:type="dxa"/>
            <w:vAlign w:val="center"/>
          </w:tcPr>
          <w:p w14:paraId="2DFACDB1">
            <w:pPr>
              <w:autoSpaceDE w:val="0"/>
              <w:autoSpaceDN w:val="0"/>
              <w:adjustRightInd w:val="0"/>
              <w:snapToGrid w:val="0"/>
              <w:spacing w:line="240" w:lineRule="auto"/>
              <w:ind w:firstLine="0" w:firstLineChars="0"/>
              <w:jc w:val="center"/>
              <w:rPr>
                <w:rFonts w:hint="default" w:eastAsia="宋体"/>
                <w:sz w:val="24"/>
                <w:szCs w:val="24"/>
                <w:u w:val="single"/>
                <w:lang w:val="en-US" w:eastAsia="zh-CN"/>
              </w:rPr>
            </w:pPr>
            <w:r>
              <w:rPr>
                <w:rFonts w:hint="eastAsia"/>
                <w:sz w:val="24"/>
                <w:szCs w:val="24"/>
                <w:u w:val="single"/>
                <w:lang w:val="en-US" w:eastAsia="zh-CN"/>
              </w:rPr>
              <w:t>P4</w:t>
            </w:r>
          </w:p>
        </w:tc>
        <w:tc>
          <w:tcPr>
            <w:tcW w:w="992" w:type="dxa"/>
            <w:vAlign w:val="center"/>
          </w:tcPr>
          <w:p w14:paraId="6756A77B">
            <w:pPr>
              <w:autoSpaceDE w:val="0"/>
              <w:autoSpaceDN w:val="0"/>
              <w:adjustRightInd w:val="0"/>
              <w:snapToGrid w:val="0"/>
              <w:spacing w:line="240" w:lineRule="auto"/>
              <w:ind w:firstLine="0" w:firstLineChars="0"/>
              <w:jc w:val="center"/>
              <w:rPr>
                <w:rFonts w:hint="eastAsia" w:eastAsia="宋体"/>
                <w:sz w:val="24"/>
                <w:szCs w:val="24"/>
                <w:u w:val="single"/>
                <w:lang w:val="en-US" w:eastAsia="zh-CN"/>
              </w:rPr>
            </w:pPr>
            <w:r>
              <w:rPr>
                <w:rFonts w:hint="eastAsia"/>
                <w:sz w:val="24"/>
                <w:szCs w:val="24"/>
                <w:u w:val="single"/>
                <w:lang w:val="en-US" w:eastAsia="zh-CN"/>
              </w:rPr>
              <w:t>颗粒物</w:t>
            </w:r>
          </w:p>
        </w:tc>
        <w:tc>
          <w:tcPr>
            <w:tcW w:w="2625" w:type="dxa"/>
            <w:vAlign w:val="center"/>
          </w:tcPr>
          <w:p w14:paraId="6A96BE35">
            <w:pPr>
              <w:autoSpaceDE w:val="0"/>
              <w:autoSpaceDN w:val="0"/>
              <w:adjustRightInd w:val="0"/>
              <w:snapToGrid w:val="0"/>
              <w:spacing w:line="240" w:lineRule="auto"/>
              <w:ind w:firstLine="0" w:firstLineChars="0"/>
              <w:jc w:val="center"/>
              <w:rPr>
                <w:rFonts w:hint="default" w:eastAsia="宋体"/>
                <w:sz w:val="24"/>
                <w:szCs w:val="24"/>
                <w:u w:val="single"/>
                <w:lang w:val="en-US" w:eastAsia="zh-CN"/>
              </w:rPr>
            </w:pPr>
            <w:r>
              <w:rPr>
                <w:rFonts w:hint="eastAsia"/>
                <w:sz w:val="24"/>
                <w:szCs w:val="24"/>
                <w:u w:val="single"/>
                <w:lang w:val="en-US" w:eastAsia="zh-CN"/>
              </w:rPr>
              <w:t>侧抽模块化布袋除尘器</w:t>
            </w:r>
          </w:p>
        </w:tc>
        <w:tc>
          <w:tcPr>
            <w:tcW w:w="1719" w:type="dxa"/>
            <w:vMerge w:val="continue"/>
            <w:vAlign w:val="center"/>
          </w:tcPr>
          <w:p w14:paraId="621C6797">
            <w:pPr>
              <w:autoSpaceDE w:val="0"/>
              <w:autoSpaceDN w:val="0"/>
              <w:adjustRightInd w:val="0"/>
              <w:snapToGrid w:val="0"/>
              <w:spacing w:line="240" w:lineRule="auto"/>
              <w:ind w:firstLine="0" w:firstLineChars="0"/>
              <w:jc w:val="center"/>
              <w:rPr>
                <w:rFonts w:hint="eastAsia"/>
                <w:sz w:val="24"/>
                <w:szCs w:val="24"/>
                <w:u w:val="single"/>
              </w:rPr>
            </w:pPr>
          </w:p>
        </w:tc>
      </w:tr>
      <w:tr w14:paraId="6A5F92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778" w:type="dxa"/>
            <w:vMerge w:val="continue"/>
            <w:vAlign w:val="center"/>
          </w:tcPr>
          <w:p w14:paraId="61B8BE1C">
            <w:pPr>
              <w:autoSpaceDE w:val="0"/>
              <w:autoSpaceDN w:val="0"/>
              <w:adjustRightInd w:val="0"/>
              <w:snapToGrid w:val="0"/>
              <w:spacing w:line="240" w:lineRule="auto"/>
              <w:ind w:firstLine="0" w:firstLineChars="0"/>
              <w:jc w:val="center"/>
              <w:rPr>
                <w:sz w:val="24"/>
                <w:szCs w:val="24"/>
                <w:u w:val="single"/>
              </w:rPr>
            </w:pPr>
          </w:p>
        </w:tc>
        <w:tc>
          <w:tcPr>
            <w:tcW w:w="1686" w:type="dxa"/>
            <w:vAlign w:val="center"/>
          </w:tcPr>
          <w:p w14:paraId="67370F35">
            <w:pPr>
              <w:autoSpaceDE w:val="0"/>
              <w:autoSpaceDN w:val="0"/>
              <w:adjustRightInd w:val="0"/>
              <w:snapToGrid w:val="0"/>
              <w:spacing w:line="240" w:lineRule="auto"/>
              <w:ind w:firstLine="0" w:firstLineChars="0"/>
              <w:jc w:val="center"/>
              <w:rPr>
                <w:sz w:val="24"/>
                <w:szCs w:val="24"/>
                <w:u w:val="single"/>
              </w:rPr>
            </w:pPr>
            <w:r>
              <w:rPr>
                <w:rFonts w:hint="eastAsia"/>
                <w:sz w:val="24"/>
                <w:szCs w:val="24"/>
                <w:u w:val="single"/>
              </w:rPr>
              <w:t>厂界</w:t>
            </w:r>
          </w:p>
        </w:tc>
        <w:tc>
          <w:tcPr>
            <w:tcW w:w="992" w:type="dxa"/>
            <w:vAlign w:val="center"/>
          </w:tcPr>
          <w:p w14:paraId="464F455D">
            <w:pPr>
              <w:autoSpaceDE w:val="0"/>
              <w:autoSpaceDN w:val="0"/>
              <w:adjustRightInd w:val="0"/>
              <w:snapToGrid w:val="0"/>
              <w:spacing w:line="240" w:lineRule="auto"/>
              <w:ind w:firstLine="0" w:firstLineChars="0"/>
              <w:jc w:val="center"/>
              <w:rPr>
                <w:sz w:val="24"/>
                <w:szCs w:val="24"/>
                <w:u w:val="single"/>
              </w:rPr>
            </w:pPr>
            <w:r>
              <w:rPr>
                <w:rFonts w:hint="eastAsia"/>
                <w:sz w:val="24"/>
                <w:szCs w:val="24"/>
                <w:u w:val="single"/>
              </w:rPr>
              <w:t>颗粒物</w:t>
            </w:r>
          </w:p>
        </w:tc>
        <w:tc>
          <w:tcPr>
            <w:tcW w:w="2625" w:type="dxa"/>
            <w:vAlign w:val="center"/>
          </w:tcPr>
          <w:p w14:paraId="6A24DAD9">
            <w:pPr>
              <w:autoSpaceDE w:val="0"/>
              <w:autoSpaceDN w:val="0"/>
              <w:adjustRightInd w:val="0"/>
              <w:snapToGrid w:val="0"/>
              <w:spacing w:line="240" w:lineRule="auto"/>
              <w:ind w:firstLine="0" w:firstLineChars="0"/>
              <w:jc w:val="center"/>
              <w:rPr>
                <w:rFonts w:hint="default" w:eastAsia="宋体"/>
                <w:sz w:val="24"/>
                <w:szCs w:val="24"/>
                <w:u w:val="single"/>
                <w:lang w:val="en-US" w:eastAsia="zh-CN"/>
              </w:rPr>
            </w:pPr>
            <w:r>
              <w:rPr>
                <w:rFonts w:hint="eastAsia"/>
                <w:sz w:val="24"/>
                <w:szCs w:val="24"/>
                <w:u w:val="single"/>
                <w:lang w:val="en-US" w:eastAsia="zh-CN"/>
              </w:rPr>
              <w:t>散装机布袋除尘器</w:t>
            </w:r>
          </w:p>
        </w:tc>
        <w:tc>
          <w:tcPr>
            <w:tcW w:w="1719" w:type="dxa"/>
            <w:vMerge w:val="continue"/>
            <w:vAlign w:val="center"/>
          </w:tcPr>
          <w:p w14:paraId="22EC9D69">
            <w:pPr>
              <w:autoSpaceDE w:val="0"/>
              <w:autoSpaceDN w:val="0"/>
              <w:adjustRightInd w:val="0"/>
              <w:snapToGrid w:val="0"/>
              <w:spacing w:line="240" w:lineRule="auto"/>
              <w:ind w:firstLine="0" w:firstLineChars="0"/>
              <w:jc w:val="center"/>
              <w:rPr>
                <w:sz w:val="24"/>
                <w:szCs w:val="24"/>
                <w:u w:val="single"/>
              </w:rPr>
            </w:pPr>
          </w:p>
        </w:tc>
      </w:tr>
      <w:tr w14:paraId="1D2310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1778" w:type="dxa"/>
            <w:vMerge w:val="restart"/>
            <w:vAlign w:val="center"/>
          </w:tcPr>
          <w:p w14:paraId="0870D417">
            <w:pPr>
              <w:autoSpaceDE w:val="0"/>
              <w:autoSpaceDN w:val="0"/>
              <w:adjustRightInd w:val="0"/>
              <w:snapToGrid w:val="0"/>
              <w:spacing w:line="240" w:lineRule="auto"/>
              <w:ind w:firstLine="0" w:firstLineChars="0"/>
              <w:jc w:val="center"/>
              <w:rPr>
                <w:i/>
                <w:iCs/>
                <w:sz w:val="24"/>
                <w:szCs w:val="24"/>
                <w:u w:val="single"/>
              </w:rPr>
            </w:pPr>
            <w:r>
              <w:rPr>
                <w:sz w:val="24"/>
                <w:szCs w:val="24"/>
                <w:u w:val="single"/>
              </w:rPr>
              <w:t>地表水环境</w:t>
            </w:r>
          </w:p>
        </w:tc>
        <w:tc>
          <w:tcPr>
            <w:tcW w:w="1686" w:type="dxa"/>
            <w:vAlign w:val="center"/>
          </w:tcPr>
          <w:p w14:paraId="6B8526FB">
            <w:pPr>
              <w:autoSpaceDE w:val="0"/>
              <w:autoSpaceDN w:val="0"/>
              <w:adjustRightInd w:val="0"/>
              <w:snapToGrid w:val="0"/>
              <w:spacing w:line="240" w:lineRule="auto"/>
              <w:ind w:firstLine="0" w:firstLineChars="0"/>
              <w:jc w:val="center"/>
              <w:rPr>
                <w:sz w:val="24"/>
                <w:szCs w:val="24"/>
                <w:u w:val="single"/>
              </w:rPr>
            </w:pPr>
            <w:r>
              <w:rPr>
                <w:rFonts w:hint="eastAsia"/>
                <w:sz w:val="24"/>
                <w:szCs w:val="24"/>
                <w:u w:val="single"/>
                <w:lang w:val="en-US" w:eastAsia="zh-CN"/>
              </w:rPr>
              <w:t>生产废水</w:t>
            </w:r>
          </w:p>
        </w:tc>
        <w:tc>
          <w:tcPr>
            <w:tcW w:w="992" w:type="dxa"/>
            <w:vAlign w:val="center"/>
          </w:tcPr>
          <w:p w14:paraId="6E3566F6">
            <w:pPr>
              <w:autoSpaceDE w:val="0"/>
              <w:autoSpaceDN w:val="0"/>
              <w:adjustRightInd w:val="0"/>
              <w:snapToGrid w:val="0"/>
              <w:spacing w:line="240" w:lineRule="auto"/>
              <w:ind w:firstLine="0" w:firstLineChars="0"/>
              <w:jc w:val="center"/>
              <w:rPr>
                <w:sz w:val="24"/>
                <w:szCs w:val="24"/>
                <w:u w:val="single"/>
              </w:rPr>
            </w:pPr>
            <w:r>
              <w:rPr>
                <w:rFonts w:hint="eastAsia"/>
                <w:sz w:val="24"/>
                <w:szCs w:val="24"/>
                <w:u w:val="single"/>
                <w:lang w:val="en-US" w:eastAsia="zh-CN"/>
              </w:rPr>
              <w:t>/</w:t>
            </w:r>
          </w:p>
        </w:tc>
        <w:tc>
          <w:tcPr>
            <w:tcW w:w="2625" w:type="dxa"/>
            <w:vAlign w:val="center"/>
          </w:tcPr>
          <w:p w14:paraId="11BBEE45">
            <w:pPr>
              <w:autoSpaceDE w:val="0"/>
              <w:autoSpaceDN w:val="0"/>
              <w:adjustRightInd w:val="0"/>
              <w:snapToGrid w:val="0"/>
              <w:spacing w:line="240" w:lineRule="auto"/>
              <w:ind w:firstLine="0" w:firstLineChars="0"/>
              <w:jc w:val="center"/>
              <w:rPr>
                <w:rFonts w:hint="default" w:eastAsia="宋体"/>
                <w:sz w:val="24"/>
                <w:szCs w:val="24"/>
                <w:u w:val="single"/>
                <w:lang w:val="en-US" w:eastAsia="zh-CN"/>
              </w:rPr>
            </w:pPr>
            <w:r>
              <w:rPr>
                <w:rFonts w:hint="eastAsia"/>
                <w:sz w:val="24"/>
                <w:szCs w:val="24"/>
                <w:u w:val="single"/>
                <w:lang w:val="en-US" w:eastAsia="zh-CN"/>
              </w:rPr>
              <w:t>地面清洗废水和车辆冲洗废水经沉淀池收集后回用，不外排</w:t>
            </w:r>
          </w:p>
        </w:tc>
        <w:tc>
          <w:tcPr>
            <w:tcW w:w="1719" w:type="dxa"/>
            <w:vAlign w:val="center"/>
          </w:tcPr>
          <w:p w14:paraId="71B08D21">
            <w:pPr>
              <w:autoSpaceDE w:val="0"/>
              <w:autoSpaceDN w:val="0"/>
              <w:adjustRightInd w:val="0"/>
              <w:snapToGrid w:val="0"/>
              <w:spacing w:line="240" w:lineRule="auto"/>
              <w:ind w:firstLine="0" w:firstLineChars="0"/>
              <w:jc w:val="center"/>
              <w:rPr>
                <w:sz w:val="24"/>
                <w:szCs w:val="24"/>
                <w:u w:val="single"/>
              </w:rPr>
            </w:pPr>
            <w:r>
              <w:rPr>
                <w:rFonts w:hint="eastAsia"/>
                <w:sz w:val="24"/>
                <w:szCs w:val="24"/>
                <w:u w:val="single"/>
                <w:lang w:val="en-US" w:eastAsia="zh-CN"/>
              </w:rPr>
              <w:t>/</w:t>
            </w:r>
          </w:p>
        </w:tc>
      </w:tr>
      <w:tr w14:paraId="3100CC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Align w:val="center"/>
          </w:tcPr>
          <w:p w14:paraId="52F7120E">
            <w:pPr>
              <w:autoSpaceDE w:val="0"/>
              <w:autoSpaceDN w:val="0"/>
              <w:adjustRightInd w:val="0"/>
              <w:snapToGrid w:val="0"/>
              <w:spacing w:line="240" w:lineRule="auto"/>
              <w:ind w:firstLine="0" w:firstLineChars="0"/>
              <w:jc w:val="center"/>
              <w:rPr>
                <w:sz w:val="24"/>
                <w:szCs w:val="24"/>
                <w:u w:val="single"/>
              </w:rPr>
            </w:pPr>
            <w:r>
              <w:rPr>
                <w:sz w:val="24"/>
                <w:szCs w:val="24"/>
                <w:u w:val="single"/>
              </w:rPr>
              <w:t>声环境</w:t>
            </w:r>
          </w:p>
        </w:tc>
        <w:tc>
          <w:tcPr>
            <w:tcW w:w="1686" w:type="dxa"/>
            <w:vAlign w:val="center"/>
          </w:tcPr>
          <w:p w14:paraId="6B7C9427">
            <w:pPr>
              <w:autoSpaceDE w:val="0"/>
              <w:autoSpaceDN w:val="0"/>
              <w:adjustRightInd w:val="0"/>
              <w:snapToGrid w:val="0"/>
              <w:spacing w:line="240" w:lineRule="auto"/>
              <w:ind w:firstLine="0" w:firstLineChars="0"/>
              <w:jc w:val="center"/>
              <w:rPr>
                <w:sz w:val="24"/>
                <w:szCs w:val="24"/>
                <w:u w:val="single"/>
              </w:rPr>
            </w:pPr>
            <w:r>
              <w:rPr>
                <w:rFonts w:hint="eastAsia"/>
                <w:sz w:val="24"/>
                <w:szCs w:val="24"/>
                <w:u w:val="single"/>
              </w:rPr>
              <w:t>厂界</w:t>
            </w:r>
          </w:p>
        </w:tc>
        <w:tc>
          <w:tcPr>
            <w:tcW w:w="992" w:type="dxa"/>
            <w:vAlign w:val="center"/>
          </w:tcPr>
          <w:p w14:paraId="254C8525">
            <w:pPr>
              <w:autoSpaceDE w:val="0"/>
              <w:autoSpaceDN w:val="0"/>
              <w:adjustRightInd w:val="0"/>
              <w:snapToGrid w:val="0"/>
              <w:spacing w:line="240" w:lineRule="auto"/>
              <w:ind w:firstLine="0" w:firstLineChars="0"/>
              <w:jc w:val="center"/>
              <w:rPr>
                <w:sz w:val="24"/>
                <w:szCs w:val="24"/>
                <w:u w:val="single"/>
              </w:rPr>
            </w:pPr>
            <w:r>
              <w:rPr>
                <w:rFonts w:hint="eastAsia"/>
                <w:sz w:val="24"/>
                <w:szCs w:val="24"/>
                <w:u w:val="single"/>
              </w:rPr>
              <w:t>等效连续A声级</w:t>
            </w:r>
          </w:p>
        </w:tc>
        <w:tc>
          <w:tcPr>
            <w:tcW w:w="2625" w:type="dxa"/>
            <w:vAlign w:val="center"/>
          </w:tcPr>
          <w:p w14:paraId="039CA25B">
            <w:pPr>
              <w:autoSpaceDE w:val="0"/>
              <w:autoSpaceDN w:val="0"/>
              <w:adjustRightInd w:val="0"/>
              <w:snapToGrid w:val="0"/>
              <w:spacing w:line="240" w:lineRule="auto"/>
              <w:ind w:firstLine="0" w:firstLineChars="0"/>
              <w:jc w:val="center"/>
              <w:rPr>
                <w:sz w:val="24"/>
                <w:szCs w:val="24"/>
                <w:u w:val="single"/>
              </w:rPr>
            </w:pPr>
            <w:r>
              <w:rPr>
                <w:rFonts w:hint="eastAsia"/>
                <w:sz w:val="24"/>
                <w:szCs w:val="24"/>
                <w:u w:val="single"/>
              </w:rPr>
              <w:t>采取降噪、减振等措施达标排放</w:t>
            </w:r>
          </w:p>
        </w:tc>
        <w:tc>
          <w:tcPr>
            <w:tcW w:w="1719" w:type="dxa"/>
            <w:vAlign w:val="center"/>
          </w:tcPr>
          <w:p w14:paraId="2B0D1C3B">
            <w:pPr>
              <w:autoSpaceDE w:val="0"/>
              <w:autoSpaceDN w:val="0"/>
              <w:adjustRightInd w:val="0"/>
              <w:snapToGrid w:val="0"/>
              <w:spacing w:line="240" w:lineRule="auto"/>
              <w:ind w:firstLine="0" w:firstLineChars="0"/>
              <w:jc w:val="center"/>
              <w:rPr>
                <w:sz w:val="24"/>
                <w:szCs w:val="24"/>
                <w:u w:val="single"/>
              </w:rPr>
            </w:pPr>
            <w:r>
              <w:rPr>
                <w:rFonts w:hint="eastAsia"/>
                <w:sz w:val="24"/>
                <w:szCs w:val="24"/>
                <w:u w:val="single"/>
              </w:rPr>
              <w:t>《工业企业厂界环境噪声排放标准》（GB12348-2008）中</w:t>
            </w:r>
            <w:r>
              <w:rPr>
                <w:rFonts w:hint="eastAsia"/>
                <w:sz w:val="24"/>
                <w:szCs w:val="24"/>
                <w:u w:val="single"/>
                <w:lang w:val="en-US" w:eastAsia="zh-CN"/>
              </w:rPr>
              <w:t>3</w:t>
            </w:r>
            <w:r>
              <w:rPr>
                <w:rFonts w:hint="eastAsia"/>
                <w:sz w:val="24"/>
                <w:szCs w:val="24"/>
                <w:u w:val="single"/>
              </w:rPr>
              <w:t>类标准</w:t>
            </w:r>
          </w:p>
        </w:tc>
      </w:tr>
      <w:tr w14:paraId="2FC1AB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1778" w:type="dxa"/>
            <w:vAlign w:val="center"/>
          </w:tcPr>
          <w:p w14:paraId="06B1B513">
            <w:pPr>
              <w:autoSpaceDE w:val="0"/>
              <w:autoSpaceDN w:val="0"/>
              <w:adjustRightInd w:val="0"/>
              <w:snapToGrid w:val="0"/>
              <w:spacing w:line="240" w:lineRule="auto"/>
              <w:ind w:firstLine="0" w:firstLineChars="0"/>
              <w:jc w:val="center"/>
              <w:rPr>
                <w:sz w:val="24"/>
                <w:szCs w:val="24"/>
                <w:u w:val="single"/>
              </w:rPr>
            </w:pPr>
            <w:r>
              <w:rPr>
                <w:sz w:val="24"/>
                <w:szCs w:val="24"/>
                <w:u w:val="single"/>
              </w:rPr>
              <w:t>固体废物</w:t>
            </w:r>
          </w:p>
        </w:tc>
        <w:tc>
          <w:tcPr>
            <w:tcW w:w="7022" w:type="dxa"/>
            <w:gridSpan w:val="4"/>
            <w:vAlign w:val="center"/>
          </w:tcPr>
          <w:p w14:paraId="6A7C4F53">
            <w:pPr>
              <w:spacing w:line="240" w:lineRule="auto"/>
              <w:ind w:firstLine="0" w:firstLineChars="0"/>
              <w:jc w:val="both"/>
              <w:rPr>
                <w:sz w:val="24"/>
                <w:szCs w:val="24"/>
                <w:u w:val="single"/>
              </w:rPr>
            </w:pPr>
            <w:r>
              <w:rPr>
                <w:rFonts w:hint="eastAsia"/>
                <w:sz w:val="24"/>
                <w:szCs w:val="24"/>
                <w:u w:val="single"/>
              </w:rPr>
              <w:t>生活垃圾交由环卫部门统一清运；</w:t>
            </w:r>
          </w:p>
          <w:p w14:paraId="3DFC108C">
            <w:pPr>
              <w:spacing w:line="240" w:lineRule="auto"/>
              <w:ind w:firstLine="0" w:firstLineChars="0"/>
              <w:jc w:val="both"/>
              <w:rPr>
                <w:sz w:val="24"/>
                <w:szCs w:val="24"/>
                <w:u w:val="single"/>
              </w:rPr>
            </w:pPr>
            <w:r>
              <w:rPr>
                <w:rFonts w:hint="eastAsia"/>
                <w:sz w:val="24"/>
                <w:szCs w:val="24"/>
                <w:u w:val="single"/>
              </w:rPr>
              <w:t>布袋除尘器收集粉尘</w:t>
            </w:r>
            <w:r>
              <w:rPr>
                <w:rFonts w:hint="eastAsia"/>
                <w:sz w:val="24"/>
                <w:szCs w:val="24"/>
                <w:u w:val="single"/>
                <w:lang w:val="en-US" w:eastAsia="zh-CN"/>
              </w:rPr>
              <w:t>由布袋除尘器收集后返回筒仓储存</w:t>
            </w:r>
            <w:r>
              <w:rPr>
                <w:rFonts w:hint="eastAsia"/>
                <w:sz w:val="24"/>
                <w:szCs w:val="24"/>
                <w:u w:val="single"/>
              </w:rPr>
              <w:t>；</w:t>
            </w:r>
          </w:p>
          <w:p w14:paraId="0A13AC32">
            <w:pPr>
              <w:spacing w:line="240" w:lineRule="auto"/>
              <w:ind w:firstLine="0" w:firstLineChars="0"/>
              <w:jc w:val="both"/>
              <w:rPr>
                <w:sz w:val="24"/>
                <w:szCs w:val="24"/>
                <w:u w:val="single"/>
              </w:rPr>
            </w:pPr>
            <w:r>
              <w:rPr>
                <w:rFonts w:hint="eastAsia"/>
                <w:sz w:val="24"/>
                <w:szCs w:val="24"/>
                <w:u w:val="single"/>
              </w:rPr>
              <w:t>废润滑油、废润滑油桶、废含油抹布</w:t>
            </w:r>
            <w:r>
              <w:rPr>
                <w:rFonts w:hint="eastAsia"/>
                <w:sz w:val="24"/>
                <w:szCs w:val="24"/>
                <w:u w:val="single"/>
                <w:lang w:val="en-US" w:eastAsia="zh-CN"/>
              </w:rPr>
              <w:t>及</w:t>
            </w:r>
            <w:r>
              <w:rPr>
                <w:rFonts w:hint="eastAsia"/>
                <w:sz w:val="24"/>
                <w:szCs w:val="24"/>
                <w:u w:val="single"/>
              </w:rPr>
              <w:t>手套等危险废物暂存于危废暂存间，定期交由有资质单位处置</w:t>
            </w:r>
          </w:p>
        </w:tc>
      </w:tr>
      <w:tr w14:paraId="4B1B05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78" w:type="dxa"/>
            <w:vAlign w:val="center"/>
          </w:tcPr>
          <w:p w14:paraId="33E7617C">
            <w:pPr>
              <w:autoSpaceDE w:val="0"/>
              <w:autoSpaceDN w:val="0"/>
              <w:adjustRightInd w:val="0"/>
              <w:snapToGrid w:val="0"/>
              <w:spacing w:line="240" w:lineRule="auto"/>
              <w:ind w:firstLine="0" w:firstLineChars="0"/>
              <w:jc w:val="center"/>
              <w:rPr>
                <w:sz w:val="24"/>
                <w:szCs w:val="24"/>
                <w:u w:val="single"/>
              </w:rPr>
            </w:pPr>
            <w:r>
              <w:rPr>
                <w:sz w:val="24"/>
                <w:szCs w:val="24"/>
                <w:u w:val="single"/>
              </w:rPr>
              <w:t>土壤及地下水</w:t>
            </w:r>
          </w:p>
          <w:p w14:paraId="4E939F5F">
            <w:pPr>
              <w:autoSpaceDE w:val="0"/>
              <w:autoSpaceDN w:val="0"/>
              <w:adjustRightInd w:val="0"/>
              <w:snapToGrid w:val="0"/>
              <w:spacing w:line="240" w:lineRule="auto"/>
              <w:ind w:firstLine="0" w:firstLineChars="0"/>
              <w:jc w:val="center"/>
              <w:rPr>
                <w:sz w:val="24"/>
                <w:szCs w:val="24"/>
                <w:u w:val="single"/>
              </w:rPr>
            </w:pPr>
            <w:r>
              <w:rPr>
                <w:sz w:val="24"/>
                <w:szCs w:val="24"/>
                <w:u w:val="single"/>
              </w:rPr>
              <w:t>污染防治措施</w:t>
            </w:r>
          </w:p>
        </w:tc>
        <w:tc>
          <w:tcPr>
            <w:tcW w:w="7022" w:type="dxa"/>
            <w:gridSpan w:val="4"/>
            <w:vAlign w:val="center"/>
          </w:tcPr>
          <w:p w14:paraId="1055EABD">
            <w:pPr>
              <w:autoSpaceDE w:val="0"/>
              <w:autoSpaceDN w:val="0"/>
              <w:adjustRightInd w:val="0"/>
              <w:snapToGrid w:val="0"/>
              <w:spacing w:line="240" w:lineRule="auto"/>
              <w:ind w:firstLine="0" w:firstLineChars="0"/>
              <w:jc w:val="center"/>
              <w:rPr>
                <w:sz w:val="24"/>
                <w:szCs w:val="24"/>
                <w:u w:val="single"/>
              </w:rPr>
            </w:pPr>
            <w:r>
              <w:rPr>
                <w:rFonts w:hint="eastAsia"/>
                <w:sz w:val="24"/>
                <w:szCs w:val="24"/>
                <w:u w:val="single"/>
              </w:rPr>
              <w:t>地面硬化、分区防渗</w:t>
            </w:r>
          </w:p>
        </w:tc>
      </w:tr>
      <w:tr w14:paraId="4AE12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778" w:type="dxa"/>
            <w:vAlign w:val="center"/>
          </w:tcPr>
          <w:p w14:paraId="66A99D2B">
            <w:pPr>
              <w:autoSpaceDE w:val="0"/>
              <w:autoSpaceDN w:val="0"/>
              <w:adjustRightInd w:val="0"/>
              <w:snapToGrid w:val="0"/>
              <w:spacing w:line="240" w:lineRule="auto"/>
              <w:ind w:firstLine="0" w:firstLineChars="0"/>
              <w:jc w:val="center"/>
              <w:rPr>
                <w:sz w:val="24"/>
                <w:szCs w:val="24"/>
                <w:u w:val="single"/>
              </w:rPr>
            </w:pPr>
            <w:r>
              <w:rPr>
                <w:sz w:val="24"/>
                <w:szCs w:val="24"/>
                <w:u w:val="single"/>
              </w:rPr>
              <w:t>生态保护措施</w:t>
            </w:r>
          </w:p>
        </w:tc>
        <w:tc>
          <w:tcPr>
            <w:tcW w:w="7022" w:type="dxa"/>
            <w:gridSpan w:val="4"/>
            <w:vAlign w:val="center"/>
          </w:tcPr>
          <w:p w14:paraId="13FF7967">
            <w:pPr>
              <w:autoSpaceDE w:val="0"/>
              <w:autoSpaceDN w:val="0"/>
              <w:adjustRightInd w:val="0"/>
              <w:snapToGrid w:val="0"/>
              <w:spacing w:line="240" w:lineRule="auto"/>
              <w:ind w:firstLine="0" w:firstLineChars="0"/>
              <w:jc w:val="center"/>
              <w:rPr>
                <w:sz w:val="24"/>
                <w:szCs w:val="24"/>
                <w:u w:val="single"/>
              </w:rPr>
            </w:pPr>
            <w:r>
              <w:rPr>
                <w:rFonts w:hint="eastAsia"/>
                <w:sz w:val="24"/>
                <w:szCs w:val="24"/>
                <w:u w:val="single"/>
              </w:rPr>
              <w:t>/</w:t>
            </w:r>
          </w:p>
        </w:tc>
      </w:tr>
      <w:tr w14:paraId="2DE6A7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vAlign w:val="center"/>
          </w:tcPr>
          <w:p w14:paraId="3A4CE79F">
            <w:pPr>
              <w:autoSpaceDE w:val="0"/>
              <w:autoSpaceDN w:val="0"/>
              <w:adjustRightInd w:val="0"/>
              <w:snapToGrid w:val="0"/>
              <w:spacing w:line="240" w:lineRule="auto"/>
              <w:ind w:firstLine="0" w:firstLineChars="0"/>
              <w:jc w:val="center"/>
              <w:rPr>
                <w:spacing w:val="-8"/>
                <w:sz w:val="24"/>
                <w:szCs w:val="24"/>
                <w:u w:val="single"/>
              </w:rPr>
            </w:pPr>
            <w:r>
              <w:rPr>
                <w:spacing w:val="-8"/>
                <w:sz w:val="24"/>
                <w:szCs w:val="24"/>
                <w:u w:val="single"/>
              </w:rPr>
              <w:t>环境风险</w:t>
            </w:r>
          </w:p>
          <w:p w14:paraId="335E85DF">
            <w:pPr>
              <w:autoSpaceDE w:val="0"/>
              <w:autoSpaceDN w:val="0"/>
              <w:adjustRightInd w:val="0"/>
              <w:snapToGrid w:val="0"/>
              <w:spacing w:line="240" w:lineRule="auto"/>
              <w:ind w:firstLine="0" w:firstLineChars="0"/>
              <w:jc w:val="center"/>
              <w:rPr>
                <w:spacing w:val="-8"/>
                <w:sz w:val="24"/>
                <w:szCs w:val="24"/>
                <w:u w:val="single"/>
              </w:rPr>
            </w:pPr>
            <w:r>
              <w:rPr>
                <w:spacing w:val="-8"/>
                <w:sz w:val="24"/>
                <w:szCs w:val="24"/>
                <w:u w:val="single"/>
              </w:rPr>
              <w:t>防范措施</w:t>
            </w:r>
          </w:p>
        </w:tc>
        <w:tc>
          <w:tcPr>
            <w:tcW w:w="7022" w:type="dxa"/>
            <w:gridSpan w:val="4"/>
            <w:vAlign w:val="center"/>
          </w:tcPr>
          <w:p w14:paraId="4C427DF3">
            <w:pPr>
              <w:spacing w:line="240" w:lineRule="auto"/>
              <w:ind w:firstLine="420"/>
              <w:rPr>
                <w:sz w:val="24"/>
                <w:szCs w:val="24"/>
                <w:u w:val="single"/>
              </w:rPr>
            </w:pPr>
            <w:r>
              <w:rPr>
                <w:bCs/>
                <w:sz w:val="24"/>
                <w:szCs w:val="24"/>
                <w:u w:val="single"/>
              </w:rPr>
              <w:t>严格按照环境风险管理要求，制定严格的规章制度，对工作人员进行培训，并进行宣传教育，确保操作安全</w:t>
            </w:r>
            <w:r>
              <w:rPr>
                <w:rFonts w:hint="eastAsia"/>
                <w:bCs/>
                <w:sz w:val="24"/>
                <w:szCs w:val="24"/>
                <w:u w:val="single"/>
              </w:rPr>
              <w:t>。</w:t>
            </w:r>
          </w:p>
        </w:tc>
      </w:tr>
      <w:tr w14:paraId="59CB68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778" w:type="dxa"/>
            <w:vAlign w:val="center"/>
          </w:tcPr>
          <w:p w14:paraId="04A633EC">
            <w:pPr>
              <w:autoSpaceDE w:val="0"/>
              <w:autoSpaceDN w:val="0"/>
              <w:adjustRightInd w:val="0"/>
              <w:snapToGrid w:val="0"/>
              <w:spacing w:line="240" w:lineRule="auto"/>
              <w:ind w:firstLine="0" w:firstLineChars="0"/>
              <w:jc w:val="center"/>
              <w:rPr>
                <w:spacing w:val="-8"/>
                <w:sz w:val="24"/>
                <w:szCs w:val="24"/>
                <w:u w:val="single"/>
              </w:rPr>
            </w:pPr>
            <w:r>
              <w:rPr>
                <w:spacing w:val="-8"/>
                <w:sz w:val="24"/>
                <w:szCs w:val="24"/>
                <w:u w:val="single"/>
              </w:rPr>
              <w:t>其他环境</w:t>
            </w:r>
          </w:p>
          <w:p w14:paraId="7722882C">
            <w:pPr>
              <w:autoSpaceDE w:val="0"/>
              <w:autoSpaceDN w:val="0"/>
              <w:adjustRightInd w:val="0"/>
              <w:snapToGrid w:val="0"/>
              <w:spacing w:line="240" w:lineRule="auto"/>
              <w:ind w:firstLine="0" w:firstLineChars="0"/>
              <w:jc w:val="center"/>
              <w:rPr>
                <w:spacing w:val="-8"/>
                <w:sz w:val="24"/>
                <w:szCs w:val="24"/>
                <w:u w:val="single"/>
              </w:rPr>
            </w:pPr>
            <w:r>
              <w:rPr>
                <w:spacing w:val="-8"/>
                <w:sz w:val="24"/>
                <w:szCs w:val="24"/>
                <w:u w:val="single"/>
              </w:rPr>
              <w:t>管理要求</w:t>
            </w:r>
          </w:p>
        </w:tc>
        <w:tc>
          <w:tcPr>
            <w:tcW w:w="7022" w:type="dxa"/>
            <w:gridSpan w:val="4"/>
            <w:vAlign w:val="center"/>
          </w:tcPr>
          <w:p w14:paraId="02CEFCF8">
            <w:pPr>
              <w:autoSpaceDE w:val="0"/>
              <w:autoSpaceDN w:val="0"/>
              <w:spacing w:line="240" w:lineRule="auto"/>
              <w:ind w:firstLine="420"/>
              <w:rPr>
                <w:sz w:val="24"/>
                <w:szCs w:val="24"/>
                <w:u w:val="single"/>
              </w:rPr>
            </w:pPr>
            <w:r>
              <w:rPr>
                <w:rFonts w:hint="eastAsia"/>
                <w:sz w:val="24"/>
                <w:szCs w:val="24"/>
                <w:u w:val="single"/>
              </w:rPr>
              <w:t>运营期切实执行各种防治措施，加强环保设施维护管理，确保设施正常运行，严格按照排污许可证要求，定期做好污染源自行监测。</w:t>
            </w:r>
          </w:p>
        </w:tc>
      </w:tr>
    </w:tbl>
    <w:p w14:paraId="79AABBED">
      <w:pPr>
        <w:pStyle w:val="2"/>
        <w:numPr>
          <w:ilvl w:val="255"/>
          <w:numId w:val="0"/>
        </w:numPr>
        <w:spacing w:before="0" w:beforeLines="0" w:after="120" w:afterLines="50"/>
        <w:jc w:val="both"/>
        <w:rPr>
          <w:snapToGrid w:val="0"/>
        </w:rPr>
        <w:sectPr>
          <w:pgSz w:w="11906" w:h="16838"/>
          <w:pgMar w:top="1418" w:right="1418" w:bottom="1418" w:left="1701" w:header="851" w:footer="992" w:gutter="0"/>
          <w:pgBorders>
            <w:top w:val="none" w:sz="0" w:space="0"/>
            <w:left w:val="none" w:sz="0" w:space="0"/>
            <w:bottom w:val="none" w:sz="0" w:space="0"/>
            <w:right w:val="none" w:sz="0" w:space="0"/>
          </w:pgBorders>
          <w:cols w:space="720" w:num="1"/>
          <w:docGrid w:linePitch="326" w:charSpace="0"/>
        </w:sectPr>
      </w:pPr>
      <w:bookmarkStart w:id="135" w:name="_Toc20920"/>
      <w:bookmarkStart w:id="136" w:name="_Toc10753"/>
      <w:bookmarkStart w:id="137" w:name="_Toc2862"/>
      <w:bookmarkStart w:id="138" w:name="_Toc19686"/>
      <w:bookmarkStart w:id="139" w:name="_Toc16911"/>
      <w:bookmarkStart w:id="140" w:name="_Toc5002"/>
      <w:bookmarkStart w:id="141" w:name="_Toc28123"/>
      <w:bookmarkStart w:id="142" w:name="_Toc6137"/>
      <w:bookmarkStart w:id="143" w:name="_Toc5647"/>
      <w:bookmarkStart w:id="144" w:name="_Toc5533"/>
      <w:bookmarkStart w:id="145" w:name="_Toc31781"/>
      <w:bookmarkStart w:id="146" w:name="_Toc13600"/>
    </w:p>
    <w:p w14:paraId="761C5AD2">
      <w:pPr>
        <w:pStyle w:val="2"/>
        <w:numPr>
          <w:ilvl w:val="255"/>
          <w:numId w:val="0"/>
        </w:numPr>
        <w:spacing w:before="0" w:beforeLines="0" w:after="120" w:afterLines="50"/>
        <w:jc w:val="center"/>
        <w:rPr>
          <w:snapToGrid w:val="0"/>
        </w:rPr>
      </w:pPr>
      <w:bookmarkStart w:id="147" w:name="_Toc25606"/>
      <w:bookmarkStart w:id="148" w:name="_Toc14923"/>
      <w:bookmarkStart w:id="149" w:name="_Toc3666"/>
      <w:bookmarkStart w:id="150" w:name="_Toc10510"/>
      <w:bookmarkStart w:id="151" w:name="_Toc24726"/>
      <w:r>
        <w:rPr>
          <w:snapToGrid w:val="0"/>
        </w:rPr>
        <w:t>六、结论</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tbl>
      <w:tblPr>
        <w:tblStyle w:val="3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610620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38D51151">
            <w:pPr>
              <w:autoSpaceDE w:val="0"/>
              <w:autoSpaceDN w:val="0"/>
              <w:adjustRightInd w:val="0"/>
              <w:snapToGrid w:val="0"/>
              <w:ind w:firstLine="480"/>
            </w:pPr>
            <w:r>
              <w:rPr>
                <w:rFonts w:hint="eastAsia"/>
                <w:szCs w:val="21"/>
                <w:lang w:val="en-US" w:eastAsia="zh-CN"/>
              </w:rPr>
              <w:t>华能湖南岳阳发电有限责任公司90万</w:t>
            </w:r>
            <w:r>
              <w:rPr>
                <w:rFonts w:hint="eastAsia"/>
                <w:szCs w:val="21"/>
              </w:rPr>
              <w:t>吨</w:t>
            </w:r>
            <w:r>
              <w:rPr>
                <w:rFonts w:hint="eastAsia"/>
                <w:szCs w:val="21"/>
                <w:lang w:val="en-US" w:eastAsia="zh-CN"/>
              </w:rPr>
              <w:t>/年粉煤灰分级综合利用</w:t>
            </w:r>
            <w:r>
              <w:rPr>
                <w:rFonts w:hint="eastAsia"/>
                <w:szCs w:val="21"/>
              </w:rPr>
              <w:t>项目</w:t>
            </w:r>
            <w:r>
              <w:rPr>
                <w:rFonts w:hint="eastAsia"/>
              </w:rPr>
              <w:t>符合区域生态环境分区管控要求</w:t>
            </w:r>
            <w:r>
              <w:rPr>
                <w:rFonts w:hint="eastAsia"/>
                <w:szCs w:val="21"/>
              </w:rPr>
              <w:t>，项目平面布局基本合理可行。在严格落实本环评报告提出的各项污染物防治措施和风险防范措施的前提下，污染物能实现达标排放，环境风险可控，不会对周围环境质量造成明显不利影响，从生态环保的角度分析，本项目的建设是可行的。</w:t>
            </w:r>
          </w:p>
        </w:tc>
      </w:tr>
    </w:tbl>
    <w:p w14:paraId="432BD469">
      <w:pPr>
        <w:ind w:firstLine="480"/>
        <w:sectPr>
          <w:pgSz w:w="11906" w:h="16838"/>
          <w:pgMar w:top="1418" w:right="1418" w:bottom="1418" w:left="1701" w:header="851" w:footer="992" w:gutter="0"/>
          <w:pgBorders>
            <w:top w:val="none" w:sz="0" w:space="0"/>
            <w:left w:val="none" w:sz="0" w:space="0"/>
            <w:bottom w:val="none" w:sz="0" w:space="0"/>
            <w:right w:val="none" w:sz="0" w:space="0"/>
          </w:pgBorders>
          <w:cols w:space="720" w:num="1"/>
          <w:docGrid w:linePitch="326" w:charSpace="0"/>
        </w:sectPr>
      </w:pPr>
    </w:p>
    <w:p w14:paraId="0380A5D4">
      <w:pPr>
        <w:pStyle w:val="25"/>
        <w:adjustRightInd w:val="0"/>
        <w:snapToGrid w:val="0"/>
        <w:spacing w:before="0" w:beforeAutospacing="0" w:after="0" w:afterAutospacing="0" w:line="312" w:lineRule="auto"/>
        <w:ind w:firstLine="760"/>
        <w:jc w:val="center"/>
        <w:outlineLvl w:val="0"/>
        <w:rPr>
          <w:rFonts w:eastAsia="方正小标宋_GBK"/>
          <w:snapToGrid w:val="0"/>
          <w:sz w:val="38"/>
          <w:szCs w:val="38"/>
        </w:rPr>
      </w:pPr>
      <w:bookmarkStart w:id="152" w:name="_Toc20484"/>
      <w:bookmarkStart w:id="153" w:name="_Toc16818"/>
      <w:bookmarkStart w:id="154" w:name="_Toc5842"/>
      <w:bookmarkStart w:id="155" w:name="_Toc16841"/>
      <w:bookmarkStart w:id="156" w:name="_Toc18119"/>
      <w:bookmarkStart w:id="157" w:name="_Toc7148"/>
      <w:bookmarkStart w:id="158" w:name="_Toc4534"/>
      <w:bookmarkStart w:id="159" w:name="_Toc26153"/>
      <w:bookmarkStart w:id="160" w:name="_Toc29481"/>
      <w:bookmarkStart w:id="161" w:name="_Toc30071"/>
      <w:bookmarkStart w:id="162" w:name="_Toc21155"/>
      <w:bookmarkStart w:id="163" w:name="_Toc18795"/>
      <w:bookmarkStart w:id="164" w:name="_Toc32591"/>
      <w:bookmarkStart w:id="165" w:name="_Toc21778"/>
      <w:bookmarkStart w:id="166" w:name="_Toc508"/>
      <w:bookmarkStart w:id="167" w:name="_Toc24618"/>
      <w:bookmarkStart w:id="168" w:name="_Toc17441"/>
      <w:bookmarkStart w:id="169" w:name="_Toc5855"/>
      <w:bookmarkStart w:id="170" w:name="_Toc7388"/>
      <w:bookmarkStart w:id="171" w:name="_Toc14728"/>
      <w:bookmarkStart w:id="172" w:name="_Toc30588"/>
      <w:r>
        <w:rPr>
          <w:rFonts w:eastAsia="方正小标宋_GBK"/>
          <w:snapToGrid w:val="0"/>
          <w:sz w:val="38"/>
          <w:szCs w:val="38"/>
        </w:rPr>
        <w:t>建设项目污染物排放量汇总表</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tbl>
      <w:tblPr>
        <w:tblStyle w:val="31"/>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629"/>
        <w:gridCol w:w="1156"/>
      </w:tblGrid>
      <w:tr w14:paraId="0D1F83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88" w:type="dxa"/>
            <w:tcBorders>
              <w:tl2br w:val="single" w:color="auto" w:sz="4" w:space="0"/>
            </w:tcBorders>
            <w:tcMar>
              <w:left w:w="28" w:type="dxa"/>
              <w:right w:w="28" w:type="dxa"/>
            </w:tcMar>
            <w:vAlign w:val="center"/>
          </w:tcPr>
          <w:p w14:paraId="796655C8">
            <w:pPr>
              <w:pStyle w:val="120"/>
              <w:spacing w:line="240" w:lineRule="auto"/>
              <w:ind w:firstLine="0" w:firstLineChars="0"/>
              <w:jc w:val="center"/>
              <w:rPr>
                <w:rFonts w:cs="Times New Roman"/>
                <w:snapToGrid w:val="0"/>
                <w:color w:val="000000"/>
                <w:spacing w:val="-6"/>
                <w:kern w:val="21"/>
                <w:sz w:val="24"/>
                <w:szCs w:val="24"/>
                <w:u w:val="single"/>
              </w:rPr>
            </w:pPr>
            <w:r>
              <w:rPr>
                <w:rFonts w:cs="Times New Roman"/>
                <w:snapToGrid w:val="0"/>
                <w:color w:val="000000"/>
                <w:spacing w:val="-6"/>
                <w:kern w:val="21"/>
                <w:sz w:val="24"/>
                <w:szCs w:val="24"/>
                <w:u w:val="single"/>
              </w:rPr>
              <w:t>项目</w:t>
            </w:r>
          </w:p>
          <w:p w14:paraId="65F5DA75">
            <w:pPr>
              <w:pStyle w:val="120"/>
              <w:spacing w:line="240" w:lineRule="auto"/>
              <w:ind w:firstLine="0" w:firstLineChars="0"/>
              <w:jc w:val="center"/>
              <w:rPr>
                <w:rFonts w:cs="Times New Roman"/>
                <w:snapToGrid w:val="0"/>
                <w:color w:val="000000"/>
                <w:spacing w:val="-6"/>
                <w:kern w:val="21"/>
                <w:sz w:val="24"/>
                <w:szCs w:val="24"/>
                <w:u w:val="single"/>
              </w:rPr>
            </w:pPr>
          </w:p>
          <w:p w14:paraId="23CA9DA3">
            <w:pPr>
              <w:pStyle w:val="120"/>
              <w:spacing w:line="240" w:lineRule="auto"/>
              <w:ind w:firstLine="0" w:firstLineChars="0"/>
              <w:jc w:val="center"/>
              <w:rPr>
                <w:rFonts w:cs="Times New Roman"/>
                <w:snapToGrid w:val="0"/>
                <w:color w:val="000000"/>
                <w:spacing w:val="-6"/>
                <w:kern w:val="21"/>
                <w:sz w:val="24"/>
                <w:szCs w:val="24"/>
                <w:u w:val="single"/>
              </w:rPr>
            </w:pPr>
            <w:r>
              <w:rPr>
                <w:rFonts w:cs="Times New Roman"/>
                <w:snapToGrid w:val="0"/>
                <w:color w:val="000000"/>
                <w:spacing w:val="-6"/>
                <w:kern w:val="21"/>
                <w:sz w:val="24"/>
                <w:szCs w:val="24"/>
                <w:u w:val="single"/>
              </w:rPr>
              <w:t>分类</w:t>
            </w:r>
          </w:p>
        </w:tc>
        <w:tc>
          <w:tcPr>
            <w:tcW w:w="1417" w:type="dxa"/>
            <w:tcMar>
              <w:left w:w="28" w:type="dxa"/>
              <w:right w:w="28" w:type="dxa"/>
            </w:tcMar>
            <w:vAlign w:val="center"/>
          </w:tcPr>
          <w:p w14:paraId="2F0E359B">
            <w:pPr>
              <w:pStyle w:val="120"/>
              <w:spacing w:line="240" w:lineRule="auto"/>
              <w:ind w:firstLine="0" w:firstLineChars="0"/>
              <w:jc w:val="center"/>
              <w:rPr>
                <w:rFonts w:cs="Times New Roman"/>
                <w:snapToGrid w:val="0"/>
                <w:color w:val="000000"/>
                <w:spacing w:val="-6"/>
                <w:kern w:val="21"/>
                <w:sz w:val="24"/>
                <w:szCs w:val="24"/>
                <w:u w:val="single"/>
              </w:rPr>
            </w:pPr>
            <w:r>
              <w:rPr>
                <w:rFonts w:cs="Times New Roman"/>
                <w:snapToGrid w:val="0"/>
                <w:color w:val="000000"/>
                <w:spacing w:val="-6"/>
                <w:kern w:val="21"/>
                <w:sz w:val="24"/>
                <w:szCs w:val="24"/>
                <w:u w:val="single"/>
              </w:rPr>
              <w:t>污染物名称</w:t>
            </w:r>
          </w:p>
        </w:tc>
        <w:tc>
          <w:tcPr>
            <w:tcW w:w="1701" w:type="dxa"/>
            <w:tcMar>
              <w:left w:w="28" w:type="dxa"/>
              <w:right w:w="28" w:type="dxa"/>
            </w:tcMar>
            <w:vAlign w:val="center"/>
          </w:tcPr>
          <w:p w14:paraId="4F2B4869">
            <w:pPr>
              <w:pStyle w:val="120"/>
              <w:spacing w:line="240" w:lineRule="auto"/>
              <w:ind w:firstLine="0" w:firstLineChars="0"/>
              <w:jc w:val="center"/>
              <w:rPr>
                <w:rFonts w:cs="Times New Roman"/>
                <w:snapToGrid w:val="0"/>
                <w:color w:val="000000"/>
                <w:spacing w:val="-6"/>
                <w:kern w:val="21"/>
                <w:sz w:val="24"/>
                <w:szCs w:val="24"/>
                <w:u w:val="single"/>
              </w:rPr>
            </w:pPr>
            <w:r>
              <w:rPr>
                <w:rFonts w:cs="Times New Roman"/>
                <w:snapToGrid w:val="0"/>
                <w:color w:val="000000"/>
                <w:spacing w:val="-6"/>
                <w:kern w:val="21"/>
                <w:sz w:val="24"/>
                <w:szCs w:val="24"/>
                <w:u w:val="single"/>
              </w:rPr>
              <w:t>现有工程排放量（固体废物产生量）</w:t>
            </w:r>
            <w:r>
              <w:rPr>
                <w:rFonts w:cs="Times New Roman"/>
                <w:snapToGrid w:val="0"/>
                <w:color w:val="000000"/>
                <w:spacing w:val="-6"/>
                <w:kern w:val="21"/>
                <w:sz w:val="24"/>
                <w:szCs w:val="24"/>
                <w:u w:val="single"/>
              </w:rPr>
              <w:fldChar w:fldCharType="begin"/>
            </w:r>
            <w:r>
              <w:rPr>
                <w:rFonts w:cs="Times New Roman"/>
                <w:snapToGrid w:val="0"/>
                <w:color w:val="000000"/>
                <w:spacing w:val="-6"/>
                <w:kern w:val="21"/>
                <w:sz w:val="24"/>
                <w:szCs w:val="24"/>
                <w:u w:val="single"/>
              </w:rPr>
              <w:instrText xml:space="preserve"> = 1 \* GB3 \* MERGEFORMAT </w:instrText>
            </w:r>
            <w:r>
              <w:rPr>
                <w:rFonts w:cs="Times New Roman"/>
                <w:snapToGrid w:val="0"/>
                <w:color w:val="000000"/>
                <w:spacing w:val="-6"/>
                <w:kern w:val="21"/>
                <w:sz w:val="24"/>
                <w:szCs w:val="24"/>
                <w:u w:val="single"/>
              </w:rPr>
              <w:fldChar w:fldCharType="separate"/>
            </w:r>
            <w:r>
              <w:rPr>
                <w:rFonts w:cs="Times New Roman"/>
                <w:sz w:val="24"/>
                <w:szCs w:val="24"/>
                <w:u w:val="single"/>
              </w:rPr>
              <w:t>①</w:t>
            </w:r>
            <w:r>
              <w:rPr>
                <w:rFonts w:cs="Times New Roman"/>
                <w:snapToGrid w:val="0"/>
                <w:color w:val="000000"/>
                <w:spacing w:val="-6"/>
                <w:kern w:val="21"/>
                <w:sz w:val="24"/>
                <w:szCs w:val="24"/>
                <w:u w:val="single"/>
              </w:rPr>
              <w:fldChar w:fldCharType="end"/>
            </w:r>
          </w:p>
        </w:tc>
        <w:tc>
          <w:tcPr>
            <w:tcW w:w="1276" w:type="dxa"/>
            <w:tcMar>
              <w:left w:w="28" w:type="dxa"/>
              <w:right w:w="28" w:type="dxa"/>
            </w:tcMar>
            <w:vAlign w:val="center"/>
          </w:tcPr>
          <w:p w14:paraId="4A85BA76">
            <w:pPr>
              <w:pStyle w:val="120"/>
              <w:spacing w:line="240" w:lineRule="auto"/>
              <w:ind w:firstLine="0" w:firstLineChars="0"/>
              <w:jc w:val="center"/>
              <w:rPr>
                <w:rFonts w:cs="Times New Roman"/>
                <w:snapToGrid w:val="0"/>
                <w:color w:val="000000"/>
                <w:spacing w:val="-6"/>
                <w:kern w:val="21"/>
                <w:sz w:val="24"/>
                <w:szCs w:val="24"/>
                <w:u w:val="single"/>
              </w:rPr>
            </w:pPr>
            <w:r>
              <w:rPr>
                <w:rFonts w:cs="Times New Roman"/>
                <w:snapToGrid w:val="0"/>
                <w:color w:val="000000"/>
                <w:spacing w:val="-6"/>
                <w:kern w:val="21"/>
                <w:sz w:val="24"/>
                <w:szCs w:val="24"/>
                <w:u w:val="single"/>
              </w:rPr>
              <w:t>现有工程许可排放量</w:t>
            </w:r>
          </w:p>
          <w:p w14:paraId="074F244D">
            <w:pPr>
              <w:pStyle w:val="120"/>
              <w:spacing w:line="240" w:lineRule="auto"/>
              <w:ind w:firstLine="0" w:firstLineChars="0"/>
              <w:jc w:val="center"/>
              <w:rPr>
                <w:rFonts w:cs="Times New Roman"/>
                <w:snapToGrid w:val="0"/>
                <w:color w:val="000000"/>
                <w:spacing w:val="-6"/>
                <w:kern w:val="21"/>
                <w:sz w:val="24"/>
                <w:szCs w:val="24"/>
                <w:u w:val="single"/>
              </w:rPr>
            </w:pPr>
            <w:r>
              <w:rPr>
                <w:rFonts w:cs="Times New Roman"/>
                <w:snapToGrid w:val="0"/>
                <w:color w:val="000000"/>
                <w:spacing w:val="-6"/>
                <w:kern w:val="21"/>
                <w:sz w:val="24"/>
                <w:szCs w:val="24"/>
                <w:u w:val="single"/>
              </w:rPr>
              <w:fldChar w:fldCharType="begin"/>
            </w:r>
            <w:r>
              <w:rPr>
                <w:rFonts w:cs="Times New Roman"/>
                <w:snapToGrid w:val="0"/>
                <w:color w:val="000000"/>
                <w:spacing w:val="-6"/>
                <w:kern w:val="21"/>
                <w:sz w:val="24"/>
                <w:szCs w:val="24"/>
                <w:u w:val="single"/>
              </w:rPr>
              <w:instrText xml:space="preserve"> = 2 \* GB3 \* MERGEFORMAT </w:instrText>
            </w:r>
            <w:r>
              <w:rPr>
                <w:rFonts w:cs="Times New Roman"/>
                <w:snapToGrid w:val="0"/>
                <w:color w:val="000000"/>
                <w:spacing w:val="-6"/>
                <w:kern w:val="21"/>
                <w:sz w:val="24"/>
                <w:szCs w:val="24"/>
                <w:u w:val="single"/>
              </w:rPr>
              <w:fldChar w:fldCharType="separate"/>
            </w:r>
            <w:r>
              <w:rPr>
                <w:rFonts w:cs="Times New Roman"/>
                <w:snapToGrid w:val="0"/>
                <w:color w:val="000000"/>
                <w:spacing w:val="-6"/>
                <w:kern w:val="21"/>
                <w:sz w:val="24"/>
                <w:szCs w:val="24"/>
                <w:u w:val="single"/>
              </w:rPr>
              <w:t>②</w:t>
            </w:r>
            <w:r>
              <w:rPr>
                <w:rFonts w:cs="Times New Roman"/>
                <w:snapToGrid w:val="0"/>
                <w:color w:val="000000"/>
                <w:spacing w:val="-6"/>
                <w:kern w:val="21"/>
                <w:sz w:val="24"/>
                <w:szCs w:val="24"/>
                <w:u w:val="single"/>
              </w:rPr>
              <w:fldChar w:fldCharType="end"/>
            </w:r>
          </w:p>
        </w:tc>
        <w:tc>
          <w:tcPr>
            <w:tcW w:w="1701" w:type="dxa"/>
            <w:tcMar>
              <w:left w:w="28" w:type="dxa"/>
              <w:right w:w="28" w:type="dxa"/>
            </w:tcMar>
            <w:vAlign w:val="center"/>
          </w:tcPr>
          <w:p w14:paraId="023052E0">
            <w:pPr>
              <w:pStyle w:val="120"/>
              <w:spacing w:line="240" w:lineRule="auto"/>
              <w:ind w:firstLine="0" w:firstLineChars="0"/>
              <w:jc w:val="center"/>
              <w:rPr>
                <w:rFonts w:cs="Times New Roman"/>
                <w:snapToGrid w:val="0"/>
                <w:color w:val="000000"/>
                <w:spacing w:val="-6"/>
                <w:kern w:val="21"/>
                <w:sz w:val="24"/>
                <w:szCs w:val="24"/>
                <w:u w:val="single"/>
              </w:rPr>
            </w:pPr>
            <w:r>
              <w:rPr>
                <w:rFonts w:cs="Times New Roman"/>
                <w:snapToGrid w:val="0"/>
                <w:color w:val="000000"/>
                <w:spacing w:val="-6"/>
                <w:kern w:val="21"/>
                <w:sz w:val="24"/>
                <w:szCs w:val="24"/>
                <w:u w:val="single"/>
              </w:rPr>
              <w:t>在建工程排放量（固体废物产生量）</w:t>
            </w:r>
            <w:r>
              <w:rPr>
                <w:rFonts w:cs="Times New Roman"/>
                <w:snapToGrid w:val="0"/>
                <w:color w:val="000000"/>
                <w:spacing w:val="-6"/>
                <w:kern w:val="21"/>
                <w:sz w:val="24"/>
                <w:szCs w:val="24"/>
                <w:u w:val="single"/>
              </w:rPr>
              <w:fldChar w:fldCharType="begin"/>
            </w:r>
            <w:r>
              <w:rPr>
                <w:rFonts w:cs="Times New Roman"/>
                <w:snapToGrid w:val="0"/>
                <w:color w:val="000000"/>
                <w:spacing w:val="-6"/>
                <w:kern w:val="21"/>
                <w:sz w:val="24"/>
                <w:szCs w:val="24"/>
                <w:u w:val="single"/>
              </w:rPr>
              <w:instrText xml:space="preserve"> = 3 \* GB3 \* MERGEFORMAT </w:instrText>
            </w:r>
            <w:r>
              <w:rPr>
                <w:rFonts w:cs="Times New Roman"/>
                <w:snapToGrid w:val="0"/>
                <w:color w:val="000000"/>
                <w:spacing w:val="-6"/>
                <w:kern w:val="21"/>
                <w:sz w:val="24"/>
                <w:szCs w:val="24"/>
                <w:u w:val="single"/>
              </w:rPr>
              <w:fldChar w:fldCharType="separate"/>
            </w:r>
            <w:r>
              <w:rPr>
                <w:rFonts w:cs="Times New Roman"/>
                <w:sz w:val="24"/>
                <w:szCs w:val="24"/>
                <w:u w:val="single"/>
              </w:rPr>
              <w:t>③</w:t>
            </w:r>
            <w:r>
              <w:rPr>
                <w:rFonts w:cs="Times New Roman"/>
                <w:snapToGrid w:val="0"/>
                <w:color w:val="000000"/>
                <w:spacing w:val="-6"/>
                <w:kern w:val="21"/>
                <w:sz w:val="24"/>
                <w:szCs w:val="24"/>
                <w:u w:val="single"/>
              </w:rPr>
              <w:fldChar w:fldCharType="end"/>
            </w:r>
          </w:p>
        </w:tc>
        <w:tc>
          <w:tcPr>
            <w:tcW w:w="1559" w:type="dxa"/>
            <w:tcMar>
              <w:left w:w="28" w:type="dxa"/>
              <w:right w:w="28" w:type="dxa"/>
            </w:tcMar>
            <w:vAlign w:val="center"/>
          </w:tcPr>
          <w:p w14:paraId="12E817FF">
            <w:pPr>
              <w:pStyle w:val="120"/>
              <w:spacing w:line="240" w:lineRule="auto"/>
              <w:ind w:firstLine="0" w:firstLineChars="0"/>
              <w:jc w:val="center"/>
              <w:rPr>
                <w:rFonts w:cs="Times New Roman"/>
                <w:snapToGrid w:val="0"/>
                <w:color w:val="000000"/>
                <w:spacing w:val="-6"/>
                <w:kern w:val="21"/>
                <w:sz w:val="24"/>
                <w:szCs w:val="24"/>
                <w:u w:val="single"/>
              </w:rPr>
            </w:pPr>
            <w:r>
              <w:rPr>
                <w:rFonts w:cs="Times New Roman"/>
                <w:snapToGrid w:val="0"/>
                <w:color w:val="000000"/>
                <w:spacing w:val="-6"/>
                <w:kern w:val="21"/>
                <w:sz w:val="24"/>
                <w:szCs w:val="24"/>
                <w:u w:val="single"/>
              </w:rPr>
              <w:t>本项目排放量（固体废物产生量）</w:t>
            </w:r>
            <w:r>
              <w:rPr>
                <w:rFonts w:cs="Times New Roman"/>
                <w:snapToGrid w:val="0"/>
                <w:color w:val="000000"/>
                <w:spacing w:val="-6"/>
                <w:kern w:val="21"/>
                <w:sz w:val="24"/>
                <w:szCs w:val="24"/>
                <w:u w:val="single"/>
              </w:rPr>
              <w:fldChar w:fldCharType="begin"/>
            </w:r>
            <w:r>
              <w:rPr>
                <w:rFonts w:cs="Times New Roman"/>
                <w:snapToGrid w:val="0"/>
                <w:color w:val="000000"/>
                <w:spacing w:val="-6"/>
                <w:kern w:val="21"/>
                <w:sz w:val="24"/>
                <w:szCs w:val="24"/>
                <w:u w:val="single"/>
              </w:rPr>
              <w:instrText xml:space="preserve"> = 4 \* GB3 \* MERGEFORMAT </w:instrText>
            </w:r>
            <w:r>
              <w:rPr>
                <w:rFonts w:cs="Times New Roman"/>
                <w:snapToGrid w:val="0"/>
                <w:color w:val="000000"/>
                <w:spacing w:val="-6"/>
                <w:kern w:val="21"/>
                <w:sz w:val="24"/>
                <w:szCs w:val="24"/>
                <w:u w:val="single"/>
              </w:rPr>
              <w:fldChar w:fldCharType="separate"/>
            </w:r>
            <w:r>
              <w:rPr>
                <w:rFonts w:cs="Times New Roman"/>
                <w:sz w:val="24"/>
                <w:szCs w:val="24"/>
                <w:u w:val="single"/>
              </w:rPr>
              <w:t>④</w:t>
            </w:r>
            <w:r>
              <w:rPr>
                <w:rFonts w:cs="Times New Roman"/>
                <w:snapToGrid w:val="0"/>
                <w:color w:val="000000"/>
                <w:spacing w:val="-6"/>
                <w:kern w:val="21"/>
                <w:sz w:val="24"/>
                <w:szCs w:val="24"/>
                <w:u w:val="single"/>
              </w:rPr>
              <w:fldChar w:fldCharType="end"/>
            </w:r>
          </w:p>
        </w:tc>
        <w:tc>
          <w:tcPr>
            <w:tcW w:w="1761" w:type="dxa"/>
            <w:tcMar>
              <w:left w:w="28" w:type="dxa"/>
              <w:right w:w="28" w:type="dxa"/>
            </w:tcMar>
            <w:vAlign w:val="center"/>
          </w:tcPr>
          <w:p w14:paraId="6CED4317">
            <w:pPr>
              <w:pStyle w:val="120"/>
              <w:spacing w:line="240" w:lineRule="auto"/>
              <w:ind w:firstLine="0" w:firstLineChars="0"/>
              <w:jc w:val="center"/>
              <w:rPr>
                <w:rFonts w:cs="Times New Roman"/>
                <w:snapToGrid w:val="0"/>
                <w:color w:val="000000"/>
                <w:spacing w:val="-16"/>
                <w:kern w:val="21"/>
                <w:sz w:val="24"/>
                <w:szCs w:val="24"/>
                <w:u w:val="single"/>
              </w:rPr>
            </w:pPr>
            <w:r>
              <w:rPr>
                <w:rFonts w:cs="Times New Roman"/>
                <w:snapToGrid w:val="0"/>
                <w:color w:val="000000"/>
                <w:spacing w:val="-16"/>
                <w:kern w:val="21"/>
                <w:sz w:val="24"/>
                <w:szCs w:val="24"/>
                <w:u w:val="single"/>
              </w:rPr>
              <w:t>以新带老削减量（新建项目不填）</w:t>
            </w:r>
            <w:r>
              <w:rPr>
                <w:rFonts w:cs="Times New Roman"/>
                <w:snapToGrid w:val="0"/>
                <w:color w:val="000000"/>
                <w:spacing w:val="-16"/>
                <w:kern w:val="21"/>
                <w:sz w:val="24"/>
                <w:szCs w:val="24"/>
                <w:u w:val="single"/>
              </w:rPr>
              <w:fldChar w:fldCharType="begin"/>
            </w:r>
            <w:r>
              <w:rPr>
                <w:rFonts w:cs="Times New Roman"/>
                <w:snapToGrid w:val="0"/>
                <w:color w:val="000000"/>
                <w:spacing w:val="-16"/>
                <w:kern w:val="21"/>
                <w:sz w:val="24"/>
                <w:szCs w:val="24"/>
                <w:u w:val="single"/>
              </w:rPr>
              <w:instrText xml:space="preserve"> = 5 \* GB3 \* MERGEFORMAT </w:instrText>
            </w:r>
            <w:r>
              <w:rPr>
                <w:rFonts w:cs="Times New Roman"/>
                <w:snapToGrid w:val="0"/>
                <w:color w:val="000000"/>
                <w:spacing w:val="-16"/>
                <w:kern w:val="21"/>
                <w:sz w:val="24"/>
                <w:szCs w:val="24"/>
                <w:u w:val="single"/>
              </w:rPr>
              <w:fldChar w:fldCharType="separate"/>
            </w:r>
            <w:r>
              <w:rPr>
                <w:rFonts w:cs="Times New Roman"/>
                <w:sz w:val="24"/>
                <w:szCs w:val="24"/>
                <w:u w:val="single"/>
              </w:rPr>
              <w:t>⑤</w:t>
            </w:r>
            <w:r>
              <w:rPr>
                <w:rFonts w:cs="Times New Roman"/>
                <w:snapToGrid w:val="0"/>
                <w:color w:val="000000"/>
                <w:spacing w:val="-16"/>
                <w:kern w:val="21"/>
                <w:sz w:val="24"/>
                <w:szCs w:val="24"/>
                <w:u w:val="single"/>
              </w:rPr>
              <w:fldChar w:fldCharType="end"/>
            </w:r>
          </w:p>
        </w:tc>
        <w:tc>
          <w:tcPr>
            <w:tcW w:w="1629" w:type="dxa"/>
            <w:tcMar>
              <w:left w:w="28" w:type="dxa"/>
              <w:right w:w="28" w:type="dxa"/>
            </w:tcMar>
            <w:vAlign w:val="center"/>
          </w:tcPr>
          <w:p w14:paraId="6533B5B3">
            <w:pPr>
              <w:pStyle w:val="120"/>
              <w:spacing w:line="240" w:lineRule="auto"/>
              <w:ind w:firstLine="0" w:firstLineChars="0"/>
              <w:jc w:val="center"/>
              <w:rPr>
                <w:rFonts w:cs="Times New Roman"/>
                <w:snapToGrid w:val="0"/>
                <w:color w:val="000000"/>
                <w:spacing w:val="-16"/>
                <w:kern w:val="21"/>
                <w:sz w:val="24"/>
                <w:szCs w:val="24"/>
                <w:u w:val="single"/>
              </w:rPr>
            </w:pPr>
            <w:r>
              <w:rPr>
                <w:rFonts w:cs="Times New Roman"/>
                <w:snapToGrid w:val="0"/>
                <w:color w:val="000000"/>
                <w:spacing w:val="-16"/>
                <w:kern w:val="21"/>
                <w:sz w:val="24"/>
                <w:szCs w:val="24"/>
                <w:u w:val="single"/>
              </w:rPr>
              <w:t>本项目建成后全厂排放量（固体废物产生量）</w:t>
            </w:r>
            <w:r>
              <w:rPr>
                <w:rFonts w:cs="Times New Roman"/>
                <w:snapToGrid w:val="0"/>
                <w:color w:val="000000"/>
                <w:spacing w:val="-16"/>
                <w:kern w:val="21"/>
                <w:sz w:val="24"/>
                <w:szCs w:val="24"/>
                <w:u w:val="single"/>
              </w:rPr>
              <w:fldChar w:fldCharType="begin"/>
            </w:r>
            <w:r>
              <w:rPr>
                <w:rFonts w:cs="Times New Roman"/>
                <w:snapToGrid w:val="0"/>
                <w:color w:val="000000"/>
                <w:spacing w:val="-16"/>
                <w:kern w:val="21"/>
                <w:sz w:val="24"/>
                <w:szCs w:val="24"/>
                <w:u w:val="single"/>
              </w:rPr>
              <w:instrText xml:space="preserve"> = 6 \* GB3 \* MERGEFORMAT </w:instrText>
            </w:r>
            <w:r>
              <w:rPr>
                <w:rFonts w:cs="Times New Roman"/>
                <w:snapToGrid w:val="0"/>
                <w:color w:val="000000"/>
                <w:spacing w:val="-16"/>
                <w:kern w:val="21"/>
                <w:sz w:val="24"/>
                <w:szCs w:val="24"/>
                <w:u w:val="single"/>
              </w:rPr>
              <w:fldChar w:fldCharType="separate"/>
            </w:r>
            <w:r>
              <w:rPr>
                <w:rFonts w:cs="Times New Roman"/>
                <w:sz w:val="24"/>
                <w:szCs w:val="24"/>
                <w:u w:val="single"/>
              </w:rPr>
              <w:t>⑥</w:t>
            </w:r>
            <w:r>
              <w:rPr>
                <w:rFonts w:cs="Times New Roman"/>
                <w:snapToGrid w:val="0"/>
                <w:color w:val="000000"/>
                <w:spacing w:val="-16"/>
                <w:kern w:val="21"/>
                <w:sz w:val="24"/>
                <w:szCs w:val="24"/>
                <w:u w:val="single"/>
              </w:rPr>
              <w:fldChar w:fldCharType="end"/>
            </w:r>
          </w:p>
        </w:tc>
        <w:tc>
          <w:tcPr>
            <w:tcW w:w="1156" w:type="dxa"/>
            <w:tcMar>
              <w:left w:w="28" w:type="dxa"/>
              <w:right w:w="28" w:type="dxa"/>
            </w:tcMar>
            <w:vAlign w:val="center"/>
          </w:tcPr>
          <w:p w14:paraId="0BCE870C">
            <w:pPr>
              <w:pStyle w:val="120"/>
              <w:spacing w:line="240" w:lineRule="auto"/>
              <w:ind w:firstLine="0" w:firstLineChars="0"/>
              <w:jc w:val="center"/>
              <w:rPr>
                <w:rFonts w:cs="Times New Roman"/>
                <w:snapToGrid w:val="0"/>
                <w:color w:val="000000"/>
                <w:spacing w:val="-6"/>
                <w:kern w:val="21"/>
                <w:sz w:val="24"/>
                <w:szCs w:val="24"/>
                <w:u w:val="single"/>
              </w:rPr>
            </w:pPr>
            <w:r>
              <w:rPr>
                <w:rFonts w:cs="Times New Roman"/>
                <w:snapToGrid w:val="0"/>
                <w:color w:val="000000"/>
                <w:spacing w:val="-6"/>
                <w:kern w:val="21"/>
                <w:sz w:val="24"/>
                <w:szCs w:val="24"/>
                <w:u w:val="single"/>
              </w:rPr>
              <w:t>变化量</w:t>
            </w:r>
            <w:r>
              <w:rPr>
                <w:rFonts w:cs="Times New Roman"/>
                <w:snapToGrid w:val="0"/>
                <w:color w:val="000000"/>
                <w:spacing w:val="-6"/>
                <w:kern w:val="21"/>
                <w:sz w:val="24"/>
                <w:szCs w:val="24"/>
                <w:u w:val="single"/>
              </w:rPr>
              <w:fldChar w:fldCharType="begin"/>
            </w:r>
            <w:r>
              <w:rPr>
                <w:rFonts w:cs="Times New Roman"/>
                <w:snapToGrid w:val="0"/>
                <w:color w:val="000000"/>
                <w:spacing w:val="-6"/>
                <w:kern w:val="21"/>
                <w:sz w:val="24"/>
                <w:szCs w:val="24"/>
                <w:u w:val="single"/>
              </w:rPr>
              <w:instrText xml:space="preserve"> = 7 \* GB3 \* MERGEFORMAT </w:instrText>
            </w:r>
            <w:r>
              <w:rPr>
                <w:rFonts w:cs="Times New Roman"/>
                <w:snapToGrid w:val="0"/>
                <w:color w:val="000000"/>
                <w:spacing w:val="-6"/>
                <w:kern w:val="21"/>
                <w:sz w:val="24"/>
                <w:szCs w:val="24"/>
                <w:u w:val="single"/>
              </w:rPr>
              <w:fldChar w:fldCharType="separate"/>
            </w:r>
            <w:r>
              <w:rPr>
                <w:rFonts w:cs="Times New Roman"/>
                <w:sz w:val="24"/>
                <w:szCs w:val="24"/>
                <w:u w:val="single"/>
              </w:rPr>
              <w:t>⑦</w:t>
            </w:r>
            <w:r>
              <w:rPr>
                <w:rFonts w:cs="Times New Roman"/>
                <w:snapToGrid w:val="0"/>
                <w:color w:val="000000"/>
                <w:spacing w:val="-6"/>
                <w:kern w:val="21"/>
                <w:sz w:val="24"/>
                <w:szCs w:val="24"/>
                <w:u w:val="single"/>
              </w:rPr>
              <w:fldChar w:fldCharType="end"/>
            </w:r>
          </w:p>
        </w:tc>
      </w:tr>
      <w:tr w14:paraId="723546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588" w:type="dxa"/>
            <w:vMerge w:val="restart"/>
            <w:vAlign w:val="center"/>
          </w:tcPr>
          <w:p w14:paraId="0D12B172">
            <w:pPr>
              <w:pStyle w:val="120"/>
              <w:spacing w:line="240" w:lineRule="auto"/>
              <w:ind w:firstLine="0" w:firstLineChars="0"/>
              <w:jc w:val="center"/>
              <w:rPr>
                <w:rFonts w:cs="Times New Roman"/>
                <w:snapToGrid w:val="0"/>
                <w:color w:val="000000"/>
                <w:kern w:val="21"/>
                <w:sz w:val="24"/>
                <w:szCs w:val="24"/>
                <w:highlight w:val="none"/>
                <w:u w:val="single"/>
              </w:rPr>
            </w:pPr>
            <w:r>
              <w:rPr>
                <w:rFonts w:cs="Times New Roman"/>
                <w:snapToGrid w:val="0"/>
                <w:color w:val="000000"/>
                <w:kern w:val="21"/>
                <w:sz w:val="24"/>
                <w:szCs w:val="24"/>
                <w:highlight w:val="none"/>
                <w:u w:val="single"/>
              </w:rPr>
              <w:t>废气</w:t>
            </w:r>
          </w:p>
        </w:tc>
        <w:tc>
          <w:tcPr>
            <w:tcW w:w="1417" w:type="dxa"/>
            <w:vAlign w:val="center"/>
          </w:tcPr>
          <w:p w14:paraId="212E1511">
            <w:pPr>
              <w:pStyle w:val="120"/>
              <w:spacing w:line="240" w:lineRule="auto"/>
              <w:ind w:firstLine="0" w:firstLineChars="0"/>
              <w:jc w:val="center"/>
              <w:rPr>
                <w:rFonts w:cs="Times New Roman"/>
                <w:snapToGrid w:val="0"/>
                <w:color w:val="000000"/>
                <w:kern w:val="21"/>
                <w:sz w:val="24"/>
                <w:szCs w:val="24"/>
                <w:highlight w:val="none"/>
                <w:u w:val="single"/>
              </w:rPr>
            </w:pPr>
            <w:r>
              <w:rPr>
                <w:rFonts w:hint="eastAsia" w:cs="Times New Roman"/>
                <w:snapToGrid w:val="0"/>
                <w:color w:val="000000"/>
                <w:kern w:val="21"/>
                <w:sz w:val="24"/>
                <w:szCs w:val="24"/>
                <w:highlight w:val="none"/>
                <w:u w:val="single"/>
              </w:rPr>
              <w:t>颗粒物</w:t>
            </w:r>
          </w:p>
        </w:tc>
        <w:tc>
          <w:tcPr>
            <w:tcW w:w="1701" w:type="dxa"/>
            <w:vAlign w:val="center"/>
          </w:tcPr>
          <w:p w14:paraId="7FEAFEEB">
            <w:pPr>
              <w:pStyle w:val="120"/>
              <w:spacing w:line="240" w:lineRule="auto"/>
              <w:ind w:firstLine="0" w:firstLineChars="0"/>
              <w:jc w:val="center"/>
              <w:rPr>
                <w:rFonts w:hint="default" w:eastAsia="宋体"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132.849</w:t>
            </w:r>
          </w:p>
        </w:tc>
        <w:tc>
          <w:tcPr>
            <w:tcW w:w="1276" w:type="dxa"/>
            <w:vAlign w:val="center"/>
          </w:tcPr>
          <w:p w14:paraId="75428417">
            <w:pPr>
              <w:pStyle w:val="120"/>
              <w:spacing w:line="240" w:lineRule="auto"/>
              <w:ind w:firstLine="0" w:firstLineChars="0"/>
              <w:jc w:val="center"/>
              <w:rPr>
                <w:rFonts w:cs="Times New Roman"/>
                <w:snapToGrid w:val="0"/>
                <w:kern w:val="21"/>
                <w:sz w:val="24"/>
                <w:szCs w:val="24"/>
                <w:highlight w:val="none"/>
                <w:u w:val="single"/>
              </w:rPr>
            </w:pPr>
            <w:r>
              <w:rPr>
                <w:rFonts w:hint="eastAsia" w:cs="Times New Roman"/>
                <w:snapToGrid w:val="0"/>
                <w:kern w:val="21"/>
                <w:sz w:val="24"/>
                <w:szCs w:val="24"/>
                <w:highlight w:val="none"/>
                <w:u w:val="single"/>
              </w:rPr>
              <w:t>/</w:t>
            </w:r>
          </w:p>
        </w:tc>
        <w:tc>
          <w:tcPr>
            <w:tcW w:w="1701" w:type="dxa"/>
            <w:vAlign w:val="center"/>
          </w:tcPr>
          <w:p w14:paraId="13D256FA">
            <w:pPr>
              <w:pStyle w:val="120"/>
              <w:spacing w:line="240" w:lineRule="auto"/>
              <w:ind w:firstLine="0" w:firstLineChars="0"/>
              <w:jc w:val="center"/>
              <w:rPr>
                <w:rFonts w:cs="Times New Roman"/>
                <w:snapToGrid w:val="0"/>
                <w:kern w:val="21"/>
                <w:sz w:val="24"/>
                <w:szCs w:val="24"/>
                <w:highlight w:val="none"/>
                <w:u w:val="single"/>
              </w:rPr>
            </w:pPr>
            <w:r>
              <w:rPr>
                <w:rFonts w:hint="eastAsia" w:cs="Times New Roman"/>
                <w:snapToGrid w:val="0"/>
                <w:kern w:val="21"/>
                <w:sz w:val="24"/>
                <w:szCs w:val="24"/>
                <w:highlight w:val="none"/>
                <w:u w:val="single"/>
              </w:rPr>
              <w:t>/</w:t>
            </w:r>
          </w:p>
        </w:tc>
        <w:tc>
          <w:tcPr>
            <w:tcW w:w="1559" w:type="dxa"/>
            <w:vAlign w:val="center"/>
          </w:tcPr>
          <w:p w14:paraId="075F6899">
            <w:pPr>
              <w:pStyle w:val="120"/>
              <w:spacing w:line="240" w:lineRule="auto"/>
              <w:ind w:firstLine="0" w:firstLineChars="0"/>
              <w:jc w:val="center"/>
              <w:rPr>
                <w:rFonts w:hint="default" w:eastAsia="宋体"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w:t>
            </w:r>
          </w:p>
        </w:tc>
        <w:tc>
          <w:tcPr>
            <w:tcW w:w="1761" w:type="dxa"/>
            <w:vAlign w:val="center"/>
          </w:tcPr>
          <w:p w14:paraId="723C7CC3">
            <w:pPr>
              <w:pStyle w:val="120"/>
              <w:spacing w:line="240" w:lineRule="auto"/>
              <w:ind w:firstLine="0" w:firstLineChars="0"/>
              <w:jc w:val="center"/>
              <w:rPr>
                <w:rFonts w:cs="Times New Roman"/>
                <w:snapToGrid w:val="0"/>
                <w:kern w:val="21"/>
                <w:sz w:val="24"/>
                <w:szCs w:val="24"/>
                <w:highlight w:val="none"/>
                <w:u w:val="single"/>
              </w:rPr>
            </w:pPr>
            <w:r>
              <w:rPr>
                <w:rFonts w:hint="eastAsia" w:cs="Times New Roman"/>
                <w:snapToGrid w:val="0"/>
                <w:kern w:val="21"/>
                <w:sz w:val="24"/>
                <w:szCs w:val="24"/>
                <w:highlight w:val="none"/>
                <w:u w:val="single"/>
              </w:rPr>
              <w:t>/</w:t>
            </w:r>
          </w:p>
        </w:tc>
        <w:tc>
          <w:tcPr>
            <w:tcW w:w="1629" w:type="dxa"/>
            <w:vAlign w:val="center"/>
          </w:tcPr>
          <w:p w14:paraId="158B341C">
            <w:pPr>
              <w:pStyle w:val="120"/>
              <w:spacing w:line="240" w:lineRule="auto"/>
              <w:ind w:firstLine="0" w:firstLineChars="0"/>
              <w:jc w:val="center"/>
              <w:rPr>
                <w:rFonts w:hint="default" w:eastAsia="宋体"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132.849</w:t>
            </w:r>
          </w:p>
        </w:tc>
        <w:tc>
          <w:tcPr>
            <w:tcW w:w="1156" w:type="dxa"/>
            <w:vAlign w:val="center"/>
          </w:tcPr>
          <w:p w14:paraId="185AE5F9">
            <w:pPr>
              <w:pStyle w:val="120"/>
              <w:spacing w:line="240" w:lineRule="auto"/>
              <w:ind w:firstLine="0" w:firstLineChars="0"/>
              <w:jc w:val="center"/>
              <w:rPr>
                <w:rFonts w:hint="default" w:eastAsia="宋体"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+0</w:t>
            </w:r>
          </w:p>
        </w:tc>
      </w:tr>
      <w:tr w14:paraId="267A99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588" w:type="dxa"/>
            <w:vMerge w:val="continue"/>
            <w:vAlign w:val="center"/>
          </w:tcPr>
          <w:p w14:paraId="5888A552">
            <w:pPr>
              <w:pStyle w:val="120"/>
              <w:spacing w:line="240" w:lineRule="auto"/>
              <w:ind w:firstLine="0" w:firstLineChars="0"/>
              <w:jc w:val="center"/>
              <w:rPr>
                <w:rFonts w:cs="Times New Roman"/>
                <w:snapToGrid w:val="0"/>
                <w:color w:val="000000"/>
                <w:kern w:val="21"/>
                <w:sz w:val="24"/>
                <w:szCs w:val="24"/>
                <w:highlight w:val="none"/>
                <w:u w:val="single"/>
              </w:rPr>
            </w:pPr>
          </w:p>
        </w:tc>
        <w:tc>
          <w:tcPr>
            <w:tcW w:w="1417" w:type="dxa"/>
            <w:vAlign w:val="center"/>
          </w:tcPr>
          <w:p w14:paraId="36688789">
            <w:pPr>
              <w:pStyle w:val="120"/>
              <w:spacing w:line="240" w:lineRule="auto"/>
              <w:ind w:firstLine="0" w:firstLineChars="0"/>
              <w:jc w:val="center"/>
              <w:rPr>
                <w:rFonts w:hint="eastAsia" w:eastAsia="宋体" w:cs="Times New Roman"/>
                <w:snapToGrid w:val="0"/>
                <w:color w:val="000000"/>
                <w:kern w:val="21"/>
                <w:sz w:val="24"/>
                <w:szCs w:val="24"/>
                <w:highlight w:val="none"/>
                <w:u w:val="single"/>
                <w:lang w:val="en-US" w:eastAsia="zh-CN"/>
              </w:rPr>
            </w:pPr>
            <w:r>
              <w:rPr>
                <w:rFonts w:hint="eastAsia" w:cs="Times New Roman"/>
                <w:snapToGrid w:val="0"/>
                <w:color w:val="000000"/>
                <w:kern w:val="21"/>
                <w:sz w:val="24"/>
                <w:szCs w:val="24"/>
                <w:highlight w:val="none"/>
                <w:u w:val="single"/>
                <w:lang w:val="en-US" w:eastAsia="zh-CN"/>
              </w:rPr>
              <w:t>二氧化硫</w:t>
            </w:r>
          </w:p>
        </w:tc>
        <w:tc>
          <w:tcPr>
            <w:tcW w:w="1701" w:type="dxa"/>
            <w:vAlign w:val="center"/>
          </w:tcPr>
          <w:p w14:paraId="49073E91">
            <w:pPr>
              <w:pStyle w:val="120"/>
              <w:spacing w:line="240" w:lineRule="auto"/>
              <w:ind w:firstLine="0" w:firstLineChars="0"/>
              <w:jc w:val="center"/>
              <w:rPr>
                <w:rFonts w:hint="default"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676.3782</w:t>
            </w:r>
          </w:p>
        </w:tc>
        <w:tc>
          <w:tcPr>
            <w:tcW w:w="1276" w:type="dxa"/>
            <w:vAlign w:val="center"/>
          </w:tcPr>
          <w:p w14:paraId="2FE08D25">
            <w:pPr>
              <w:pStyle w:val="120"/>
              <w:spacing w:line="240" w:lineRule="auto"/>
              <w:ind w:firstLine="0" w:firstLineChars="0"/>
              <w:jc w:val="center"/>
              <w:rPr>
                <w:rFonts w:hint="default" w:eastAsia="宋体"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8011</w:t>
            </w:r>
          </w:p>
        </w:tc>
        <w:tc>
          <w:tcPr>
            <w:tcW w:w="1701" w:type="dxa"/>
            <w:vAlign w:val="center"/>
          </w:tcPr>
          <w:p w14:paraId="64F06209">
            <w:pPr>
              <w:pStyle w:val="120"/>
              <w:spacing w:line="240" w:lineRule="auto"/>
              <w:ind w:firstLine="0" w:firstLineChars="0"/>
              <w:jc w:val="center"/>
              <w:rPr>
                <w:rFonts w:hint="eastAsia" w:cs="Times New Roman"/>
                <w:snapToGrid w:val="0"/>
                <w:kern w:val="21"/>
                <w:sz w:val="24"/>
                <w:szCs w:val="24"/>
                <w:highlight w:val="none"/>
                <w:u w:val="single"/>
              </w:rPr>
            </w:pPr>
          </w:p>
        </w:tc>
        <w:tc>
          <w:tcPr>
            <w:tcW w:w="1559" w:type="dxa"/>
            <w:vAlign w:val="center"/>
          </w:tcPr>
          <w:p w14:paraId="369DB464">
            <w:pPr>
              <w:pStyle w:val="120"/>
              <w:spacing w:line="240" w:lineRule="auto"/>
              <w:ind w:firstLine="0" w:firstLineChars="0"/>
              <w:jc w:val="center"/>
              <w:rPr>
                <w:rFonts w:hint="default"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w:t>
            </w:r>
          </w:p>
        </w:tc>
        <w:tc>
          <w:tcPr>
            <w:tcW w:w="1761" w:type="dxa"/>
            <w:vAlign w:val="center"/>
          </w:tcPr>
          <w:p w14:paraId="0B14A21D">
            <w:pPr>
              <w:pStyle w:val="120"/>
              <w:spacing w:line="240" w:lineRule="auto"/>
              <w:ind w:firstLine="0" w:firstLineChars="0"/>
              <w:jc w:val="center"/>
              <w:rPr>
                <w:rFonts w:hint="eastAsia" w:eastAsia="宋体"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w:t>
            </w:r>
          </w:p>
        </w:tc>
        <w:tc>
          <w:tcPr>
            <w:tcW w:w="1629" w:type="dxa"/>
            <w:vAlign w:val="center"/>
          </w:tcPr>
          <w:p w14:paraId="4B2B88C2">
            <w:pPr>
              <w:pStyle w:val="120"/>
              <w:spacing w:line="240" w:lineRule="auto"/>
              <w:ind w:firstLine="0" w:firstLineChars="0"/>
              <w:jc w:val="center"/>
              <w:rPr>
                <w:rFonts w:hint="default" w:eastAsia="宋体"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676.3782</w:t>
            </w:r>
          </w:p>
        </w:tc>
        <w:tc>
          <w:tcPr>
            <w:tcW w:w="1156" w:type="dxa"/>
            <w:vAlign w:val="center"/>
          </w:tcPr>
          <w:p w14:paraId="29E75A64">
            <w:pPr>
              <w:pStyle w:val="120"/>
              <w:spacing w:line="240" w:lineRule="auto"/>
              <w:ind w:firstLine="0" w:firstLineChars="0"/>
              <w:jc w:val="center"/>
              <w:rPr>
                <w:rFonts w:cs="Times New Roman"/>
                <w:snapToGrid w:val="0"/>
                <w:kern w:val="21"/>
                <w:sz w:val="24"/>
                <w:szCs w:val="24"/>
                <w:highlight w:val="none"/>
                <w:u w:val="single"/>
              </w:rPr>
            </w:pPr>
            <w:r>
              <w:rPr>
                <w:rFonts w:hint="eastAsia" w:cs="Times New Roman"/>
                <w:snapToGrid w:val="0"/>
                <w:kern w:val="21"/>
                <w:sz w:val="24"/>
                <w:szCs w:val="24"/>
                <w:u w:val="single"/>
                <w:lang w:val="en-US" w:eastAsia="zh-CN"/>
              </w:rPr>
              <w:t>+0</w:t>
            </w:r>
          </w:p>
        </w:tc>
      </w:tr>
      <w:tr w14:paraId="034B5A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588" w:type="dxa"/>
            <w:vMerge w:val="continue"/>
            <w:vAlign w:val="center"/>
          </w:tcPr>
          <w:p w14:paraId="70F1DB29">
            <w:pPr>
              <w:pStyle w:val="120"/>
              <w:spacing w:line="240" w:lineRule="auto"/>
              <w:ind w:firstLine="0" w:firstLineChars="0"/>
              <w:jc w:val="center"/>
              <w:rPr>
                <w:rFonts w:cs="Times New Roman"/>
                <w:snapToGrid w:val="0"/>
                <w:color w:val="000000"/>
                <w:kern w:val="21"/>
                <w:sz w:val="24"/>
                <w:szCs w:val="24"/>
                <w:highlight w:val="none"/>
                <w:u w:val="single"/>
              </w:rPr>
            </w:pPr>
          </w:p>
        </w:tc>
        <w:tc>
          <w:tcPr>
            <w:tcW w:w="1417" w:type="dxa"/>
            <w:vAlign w:val="center"/>
          </w:tcPr>
          <w:p w14:paraId="7F33BED6">
            <w:pPr>
              <w:pStyle w:val="120"/>
              <w:spacing w:line="240" w:lineRule="auto"/>
              <w:ind w:firstLine="0" w:firstLineChars="0"/>
              <w:jc w:val="center"/>
              <w:rPr>
                <w:rFonts w:hint="eastAsia" w:eastAsia="宋体" w:cs="Times New Roman"/>
                <w:snapToGrid w:val="0"/>
                <w:color w:val="000000"/>
                <w:kern w:val="21"/>
                <w:sz w:val="24"/>
                <w:szCs w:val="24"/>
                <w:highlight w:val="none"/>
                <w:u w:val="single"/>
                <w:lang w:val="en-US" w:eastAsia="zh-CN"/>
              </w:rPr>
            </w:pPr>
            <w:r>
              <w:rPr>
                <w:rFonts w:hint="eastAsia" w:cs="Times New Roman"/>
                <w:snapToGrid w:val="0"/>
                <w:color w:val="000000"/>
                <w:kern w:val="21"/>
                <w:sz w:val="24"/>
                <w:szCs w:val="24"/>
                <w:highlight w:val="none"/>
                <w:u w:val="single"/>
                <w:lang w:val="en-US" w:eastAsia="zh-CN"/>
              </w:rPr>
              <w:t>氮氧化物</w:t>
            </w:r>
          </w:p>
        </w:tc>
        <w:tc>
          <w:tcPr>
            <w:tcW w:w="1701" w:type="dxa"/>
            <w:vAlign w:val="center"/>
          </w:tcPr>
          <w:p w14:paraId="4B70B4A8">
            <w:pPr>
              <w:pStyle w:val="120"/>
              <w:spacing w:line="240" w:lineRule="auto"/>
              <w:ind w:firstLine="0" w:firstLineChars="0"/>
              <w:jc w:val="center"/>
              <w:rPr>
                <w:rFonts w:hint="default"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1255.7016</w:t>
            </w:r>
          </w:p>
        </w:tc>
        <w:tc>
          <w:tcPr>
            <w:tcW w:w="1276" w:type="dxa"/>
            <w:vAlign w:val="center"/>
          </w:tcPr>
          <w:p w14:paraId="1801CDF9">
            <w:pPr>
              <w:pStyle w:val="120"/>
              <w:spacing w:line="240" w:lineRule="auto"/>
              <w:ind w:firstLine="0" w:firstLineChars="0"/>
              <w:jc w:val="center"/>
              <w:rPr>
                <w:rFonts w:hint="default" w:eastAsia="宋体"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6123</w:t>
            </w:r>
          </w:p>
        </w:tc>
        <w:tc>
          <w:tcPr>
            <w:tcW w:w="1701" w:type="dxa"/>
            <w:vAlign w:val="center"/>
          </w:tcPr>
          <w:p w14:paraId="0F74B545">
            <w:pPr>
              <w:pStyle w:val="120"/>
              <w:spacing w:line="240" w:lineRule="auto"/>
              <w:ind w:firstLine="0" w:firstLineChars="0"/>
              <w:jc w:val="center"/>
              <w:rPr>
                <w:rFonts w:hint="eastAsia" w:cs="Times New Roman"/>
                <w:snapToGrid w:val="0"/>
                <w:kern w:val="21"/>
                <w:sz w:val="24"/>
                <w:szCs w:val="24"/>
                <w:highlight w:val="none"/>
                <w:u w:val="single"/>
              </w:rPr>
            </w:pPr>
          </w:p>
        </w:tc>
        <w:tc>
          <w:tcPr>
            <w:tcW w:w="1559" w:type="dxa"/>
            <w:vAlign w:val="center"/>
          </w:tcPr>
          <w:p w14:paraId="71454C4F">
            <w:pPr>
              <w:pStyle w:val="120"/>
              <w:spacing w:line="240" w:lineRule="auto"/>
              <w:ind w:firstLine="0" w:firstLineChars="0"/>
              <w:jc w:val="center"/>
              <w:rPr>
                <w:rFonts w:hint="default"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w:t>
            </w:r>
          </w:p>
        </w:tc>
        <w:tc>
          <w:tcPr>
            <w:tcW w:w="1761" w:type="dxa"/>
            <w:vAlign w:val="center"/>
          </w:tcPr>
          <w:p w14:paraId="3DAAD9EA">
            <w:pPr>
              <w:pStyle w:val="120"/>
              <w:spacing w:line="240" w:lineRule="auto"/>
              <w:ind w:firstLine="0" w:firstLineChars="0"/>
              <w:jc w:val="center"/>
              <w:rPr>
                <w:rFonts w:hint="eastAsia" w:eastAsia="宋体"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w:t>
            </w:r>
          </w:p>
        </w:tc>
        <w:tc>
          <w:tcPr>
            <w:tcW w:w="1629" w:type="dxa"/>
            <w:vAlign w:val="center"/>
          </w:tcPr>
          <w:p w14:paraId="5ECA62CC">
            <w:pPr>
              <w:pStyle w:val="120"/>
              <w:spacing w:line="240" w:lineRule="auto"/>
              <w:ind w:firstLine="0" w:firstLineChars="0"/>
              <w:jc w:val="center"/>
              <w:rPr>
                <w:rFonts w:hint="default" w:eastAsia="宋体"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1255.7016</w:t>
            </w:r>
          </w:p>
        </w:tc>
        <w:tc>
          <w:tcPr>
            <w:tcW w:w="1156" w:type="dxa"/>
            <w:vAlign w:val="center"/>
          </w:tcPr>
          <w:p w14:paraId="683DCFAB">
            <w:pPr>
              <w:pStyle w:val="120"/>
              <w:spacing w:line="240" w:lineRule="auto"/>
              <w:ind w:firstLine="0" w:firstLineChars="0"/>
              <w:jc w:val="center"/>
              <w:rPr>
                <w:rFonts w:cs="Times New Roman"/>
                <w:snapToGrid w:val="0"/>
                <w:kern w:val="21"/>
                <w:sz w:val="24"/>
                <w:szCs w:val="24"/>
                <w:highlight w:val="none"/>
                <w:u w:val="single"/>
              </w:rPr>
            </w:pPr>
            <w:r>
              <w:rPr>
                <w:rFonts w:hint="eastAsia" w:cs="Times New Roman"/>
                <w:snapToGrid w:val="0"/>
                <w:kern w:val="21"/>
                <w:sz w:val="24"/>
                <w:szCs w:val="24"/>
                <w:u w:val="single"/>
                <w:lang w:val="en-US" w:eastAsia="zh-CN"/>
              </w:rPr>
              <w:t>+0</w:t>
            </w:r>
          </w:p>
        </w:tc>
      </w:tr>
      <w:tr w14:paraId="615689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588" w:type="dxa"/>
            <w:vMerge w:val="continue"/>
            <w:vAlign w:val="center"/>
          </w:tcPr>
          <w:p w14:paraId="62C88F70">
            <w:pPr>
              <w:pStyle w:val="120"/>
              <w:spacing w:line="240" w:lineRule="auto"/>
              <w:ind w:firstLine="0" w:firstLineChars="0"/>
              <w:jc w:val="center"/>
              <w:rPr>
                <w:rFonts w:cs="Times New Roman"/>
                <w:snapToGrid w:val="0"/>
                <w:color w:val="000000"/>
                <w:kern w:val="21"/>
                <w:sz w:val="24"/>
                <w:szCs w:val="24"/>
                <w:highlight w:val="none"/>
                <w:u w:val="single"/>
              </w:rPr>
            </w:pPr>
          </w:p>
        </w:tc>
        <w:tc>
          <w:tcPr>
            <w:tcW w:w="1417" w:type="dxa"/>
            <w:vAlign w:val="center"/>
          </w:tcPr>
          <w:p w14:paraId="25109071">
            <w:pPr>
              <w:pStyle w:val="120"/>
              <w:spacing w:line="240" w:lineRule="auto"/>
              <w:ind w:firstLine="0" w:firstLineChars="0"/>
              <w:jc w:val="center"/>
              <w:rPr>
                <w:rFonts w:hint="default" w:cs="Times New Roman"/>
                <w:snapToGrid w:val="0"/>
                <w:color w:val="000000"/>
                <w:kern w:val="21"/>
                <w:sz w:val="24"/>
                <w:szCs w:val="24"/>
                <w:highlight w:val="none"/>
                <w:u w:val="single"/>
                <w:lang w:val="en-US" w:eastAsia="zh-CN"/>
              </w:rPr>
            </w:pPr>
            <w:r>
              <w:rPr>
                <w:rFonts w:hint="eastAsia" w:cs="Times New Roman"/>
                <w:snapToGrid w:val="0"/>
                <w:color w:val="000000"/>
                <w:kern w:val="21"/>
                <w:sz w:val="24"/>
                <w:szCs w:val="24"/>
                <w:highlight w:val="none"/>
                <w:u w:val="single"/>
                <w:lang w:val="en-US" w:eastAsia="zh-CN"/>
              </w:rPr>
              <w:t>汞及其化合物</w:t>
            </w:r>
          </w:p>
        </w:tc>
        <w:tc>
          <w:tcPr>
            <w:tcW w:w="1701" w:type="dxa"/>
            <w:vAlign w:val="center"/>
          </w:tcPr>
          <w:p w14:paraId="7C87D2A5">
            <w:pPr>
              <w:pStyle w:val="120"/>
              <w:spacing w:line="240" w:lineRule="auto"/>
              <w:ind w:firstLine="0" w:firstLineChars="0"/>
              <w:jc w:val="center"/>
              <w:rPr>
                <w:rFonts w:hint="default"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0.04609</w:t>
            </w:r>
          </w:p>
        </w:tc>
        <w:tc>
          <w:tcPr>
            <w:tcW w:w="1276" w:type="dxa"/>
            <w:vAlign w:val="center"/>
          </w:tcPr>
          <w:p w14:paraId="454DAE7E">
            <w:pPr>
              <w:pStyle w:val="120"/>
              <w:spacing w:line="240" w:lineRule="auto"/>
              <w:ind w:firstLine="0" w:firstLineChars="0"/>
              <w:jc w:val="center"/>
              <w:rPr>
                <w:rFonts w:hint="eastAsia" w:eastAsia="宋体"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w:t>
            </w:r>
          </w:p>
        </w:tc>
        <w:tc>
          <w:tcPr>
            <w:tcW w:w="1701" w:type="dxa"/>
            <w:vAlign w:val="center"/>
          </w:tcPr>
          <w:p w14:paraId="4C904FAA">
            <w:pPr>
              <w:pStyle w:val="120"/>
              <w:spacing w:line="240" w:lineRule="auto"/>
              <w:ind w:firstLine="0" w:firstLineChars="0"/>
              <w:jc w:val="center"/>
              <w:rPr>
                <w:rFonts w:hint="eastAsia" w:eastAsia="宋体"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w:t>
            </w:r>
          </w:p>
        </w:tc>
        <w:tc>
          <w:tcPr>
            <w:tcW w:w="1559" w:type="dxa"/>
            <w:vAlign w:val="center"/>
          </w:tcPr>
          <w:p w14:paraId="401F6309">
            <w:pPr>
              <w:pStyle w:val="120"/>
              <w:spacing w:line="240" w:lineRule="auto"/>
              <w:ind w:firstLine="0" w:firstLineChars="0"/>
              <w:jc w:val="center"/>
              <w:rPr>
                <w:rFonts w:hint="default"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w:t>
            </w:r>
          </w:p>
        </w:tc>
        <w:tc>
          <w:tcPr>
            <w:tcW w:w="1761" w:type="dxa"/>
            <w:vAlign w:val="center"/>
          </w:tcPr>
          <w:p w14:paraId="0E52282F">
            <w:pPr>
              <w:pStyle w:val="120"/>
              <w:spacing w:line="240" w:lineRule="auto"/>
              <w:ind w:firstLine="0" w:firstLineChars="0"/>
              <w:jc w:val="center"/>
              <w:rPr>
                <w:rFonts w:hint="default"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w:t>
            </w:r>
          </w:p>
        </w:tc>
        <w:tc>
          <w:tcPr>
            <w:tcW w:w="1629" w:type="dxa"/>
            <w:vAlign w:val="center"/>
          </w:tcPr>
          <w:p w14:paraId="482E319D">
            <w:pPr>
              <w:pStyle w:val="120"/>
              <w:spacing w:line="240" w:lineRule="auto"/>
              <w:ind w:firstLine="0" w:firstLineChars="0"/>
              <w:jc w:val="center"/>
              <w:rPr>
                <w:rFonts w:hint="default"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0.04609</w:t>
            </w:r>
          </w:p>
        </w:tc>
        <w:tc>
          <w:tcPr>
            <w:tcW w:w="1156" w:type="dxa"/>
            <w:vAlign w:val="center"/>
          </w:tcPr>
          <w:p w14:paraId="08A0F14D">
            <w:pPr>
              <w:pStyle w:val="120"/>
              <w:spacing w:line="240" w:lineRule="auto"/>
              <w:ind w:firstLine="0" w:firstLineChars="0"/>
              <w:jc w:val="center"/>
              <w:rPr>
                <w:rFonts w:hint="eastAsia"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+0</w:t>
            </w:r>
          </w:p>
        </w:tc>
      </w:tr>
      <w:tr w14:paraId="76DB25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588" w:type="dxa"/>
            <w:vMerge w:val="restart"/>
            <w:vAlign w:val="center"/>
          </w:tcPr>
          <w:p w14:paraId="598C77F2">
            <w:pPr>
              <w:pStyle w:val="120"/>
              <w:spacing w:line="240" w:lineRule="auto"/>
              <w:ind w:firstLine="0" w:firstLineChars="0"/>
              <w:jc w:val="center"/>
              <w:rPr>
                <w:rFonts w:cs="Times New Roman"/>
                <w:snapToGrid w:val="0"/>
                <w:color w:val="000000"/>
                <w:kern w:val="21"/>
                <w:sz w:val="24"/>
                <w:szCs w:val="24"/>
                <w:u w:val="single"/>
              </w:rPr>
            </w:pPr>
            <w:r>
              <w:rPr>
                <w:rFonts w:hint="eastAsia" w:cs="Times New Roman"/>
                <w:snapToGrid w:val="0"/>
                <w:color w:val="000000"/>
                <w:kern w:val="21"/>
                <w:sz w:val="24"/>
                <w:szCs w:val="24"/>
                <w:u w:val="single"/>
              </w:rPr>
              <w:t>废水</w:t>
            </w:r>
          </w:p>
        </w:tc>
        <w:tc>
          <w:tcPr>
            <w:tcW w:w="1417" w:type="dxa"/>
            <w:vAlign w:val="center"/>
          </w:tcPr>
          <w:p w14:paraId="7CE25767">
            <w:pPr>
              <w:pStyle w:val="120"/>
              <w:spacing w:line="240" w:lineRule="auto"/>
              <w:ind w:firstLine="0" w:firstLineChars="0"/>
              <w:jc w:val="center"/>
              <w:rPr>
                <w:rFonts w:cs="Times New Roman"/>
                <w:snapToGrid w:val="0"/>
                <w:color w:val="000000"/>
                <w:kern w:val="21"/>
                <w:sz w:val="24"/>
                <w:szCs w:val="24"/>
                <w:u w:val="single"/>
              </w:rPr>
            </w:pPr>
            <w:r>
              <w:rPr>
                <w:rFonts w:hint="eastAsia" w:cs="Times New Roman"/>
                <w:snapToGrid w:val="0"/>
                <w:color w:val="000000"/>
                <w:kern w:val="21"/>
                <w:sz w:val="24"/>
                <w:szCs w:val="24"/>
                <w:u w:val="single"/>
              </w:rPr>
              <w:t>COD</w:t>
            </w:r>
          </w:p>
        </w:tc>
        <w:tc>
          <w:tcPr>
            <w:tcW w:w="1701" w:type="dxa"/>
            <w:vAlign w:val="center"/>
          </w:tcPr>
          <w:p w14:paraId="123FF81E">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14.8867</w:t>
            </w:r>
          </w:p>
        </w:tc>
        <w:tc>
          <w:tcPr>
            <w:tcW w:w="1276" w:type="dxa"/>
            <w:vAlign w:val="center"/>
          </w:tcPr>
          <w:p w14:paraId="3B1E4761">
            <w:pPr>
              <w:pStyle w:val="120"/>
              <w:spacing w:line="240" w:lineRule="auto"/>
              <w:ind w:firstLine="0" w:firstLineChars="0"/>
              <w:jc w:val="center"/>
              <w:rPr>
                <w:rFonts w:hint="default" w:eastAsia="宋体" w:cs="Times New Roman"/>
                <w:snapToGrid w:val="0"/>
                <w:color w:val="000000"/>
                <w:kern w:val="21"/>
                <w:sz w:val="24"/>
                <w:szCs w:val="24"/>
                <w:u w:val="single"/>
                <w:lang w:val="en-US" w:eastAsia="zh-CN"/>
              </w:rPr>
            </w:pPr>
            <w:r>
              <w:rPr>
                <w:rFonts w:hint="eastAsia" w:cs="Times New Roman"/>
                <w:snapToGrid w:val="0"/>
                <w:color w:val="000000"/>
                <w:kern w:val="21"/>
                <w:sz w:val="24"/>
                <w:szCs w:val="24"/>
                <w:u w:val="single"/>
                <w:lang w:val="en-US" w:eastAsia="zh-CN"/>
              </w:rPr>
              <w:t>140</w:t>
            </w:r>
          </w:p>
        </w:tc>
        <w:tc>
          <w:tcPr>
            <w:tcW w:w="1701" w:type="dxa"/>
            <w:vAlign w:val="center"/>
          </w:tcPr>
          <w:p w14:paraId="13A51BB9">
            <w:pPr>
              <w:pStyle w:val="120"/>
              <w:spacing w:line="240" w:lineRule="auto"/>
              <w:ind w:firstLine="0" w:firstLineChars="0"/>
              <w:jc w:val="center"/>
              <w:rPr>
                <w:rFonts w:cs="Times New Roman"/>
                <w:snapToGrid w:val="0"/>
                <w:color w:val="000000"/>
                <w:kern w:val="21"/>
                <w:sz w:val="24"/>
                <w:szCs w:val="24"/>
                <w:u w:val="single"/>
              </w:rPr>
            </w:pPr>
            <w:r>
              <w:rPr>
                <w:rFonts w:hint="eastAsia" w:cs="Times New Roman"/>
                <w:snapToGrid w:val="0"/>
                <w:color w:val="000000"/>
                <w:kern w:val="21"/>
                <w:sz w:val="24"/>
                <w:szCs w:val="24"/>
                <w:u w:val="single"/>
              </w:rPr>
              <w:t>/</w:t>
            </w:r>
          </w:p>
        </w:tc>
        <w:tc>
          <w:tcPr>
            <w:tcW w:w="1559" w:type="dxa"/>
            <w:vAlign w:val="center"/>
          </w:tcPr>
          <w:p w14:paraId="4025469F">
            <w:pPr>
              <w:pStyle w:val="120"/>
              <w:spacing w:line="240" w:lineRule="auto"/>
              <w:ind w:firstLine="0" w:firstLineChars="0"/>
              <w:jc w:val="center"/>
              <w:rPr>
                <w:rFonts w:hint="eastAsia"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w:t>
            </w:r>
          </w:p>
        </w:tc>
        <w:tc>
          <w:tcPr>
            <w:tcW w:w="1761" w:type="dxa"/>
            <w:vAlign w:val="center"/>
          </w:tcPr>
          <w:p w14:paraId="7113275D">
            <w:pPr>
              <w:pStyle w:val="120"/>
              <w:spacing w:line="240" w:lineRule="auto"/>
              <w:ind w:firstLine="0" w:firstLineChars="0"/>
              <w:jc w:val="center"/>
              <w:rPr>
                <w:rFonts w:cs="Times New Roman"/>
                <w:snapToGrid w:val="0"/>
                <w:kern w:val="21"/>
                <w:sz w:val="24"/>
                <w:szCs w:val="24"/>
                <w:u w:val="single"/>
              </w:rPr>
            </w:pPr>
            <w:r>
              <w:rPr>
                <w:rFonts w:hint="eastAsia" w:cs="Times New Roman"/>
                <w:snapToGrid w:val="0"/>
                <w:kern w:val="21"/>
                <w:sz w:val="24"/>
                <w:szCs w:val="24"/>
                <w:u w:val="single"/>
              </w:rPr>
              <w:t>/</w:t>
            </w:r>
          </w:p>
        </w:tc>
        <w:tc>
          <w:tcPr>
            <w:tcW w:w="1629" w:type="dxa"/>
            <w:vAlign w:val="center"/>
          </w:tcPr>
          <w:p w14:paraId="06DA0051">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14.8867</w:t>
            </w:r>
          </w:p>
        </w:tc>
        <w:tc>
          <w:tcPr>
            <w:tcW w:w="1156" w:type="dxa"/>
            <w:vAlign w:val="center"/>
          </w:tcPr>
          <w:p w14:paraId="744ADBB2">
            <w:pPr>
              <w:pStyle w:val="120"/>
              <w:spacing w:line="240" w:lineRule="auto"/>
              <w:ind w:firstLine="0" w:firstLineChars="0"/>
              <w:jc w:val="center"/>
              <w:rPr>
                <w:rFonts w:cs="Times New Roman"/>
                <w:snapToGrid w:val="0"/>
                <w:kern w:val="21"/>
                <w:sz w:val="24"/>
                <w:szCs w:val="24"/>
                <w:u w:val="single"/>
              </w:rPr>
            </w:pPr>
            <w:r>
              <w:rPr>
                <w:rFonts w:hint="eastAsia" w:cs="Times New Roman"/>
                <w:snapToGrid w:val="0"/>
                <w:kern w:val="21"/>
                <w:sz w:val="24"/>
                <w:szCs w:val="24"/>
                <w:u w:val="single"/>
                <w:lang w:val="en-US" w:eastAsia="zh-CN"/>
              </w:rPr>
              <w:t>+0</w:t>
            </w:r>
          </w:p>
        </w:tc>
      </w:tr>
      <w:tr w14:paraId="3CE76A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588" w:type="dxa"/>
            <w:vMerge w:val="continue"/>
            <w:vAlign w:val="center"/>
          </w:tcPr>
          <w:p w14:paraId="50334C66">
            <w:pPr>
              <w:pStyle w:val="120"/>
              <w:spacing w:line="240" w:lineRule="auto"/>
              <w:ind w:firstLine="0" w:firstLineChars="0"/>
              <w:jc w:val="center"/>
              <w:rPr>
                <w:rFonts w:cs="Times New Roman"/>
                <w:snapToGrid w:val="0"/>
                <w:color w:val="000000"/>
                <w:kern w:val="21"/>
                <w:sz w:val="24"/>
                <w:szCs w:val="24"/>
                <w:u w:val="single"/>
              </w:rPr>
            </w:pPr>
          </w:p>
        </w:tc>
        <w:tc>
          <w:tcPr>
            <w:tcW w:w="1417" w:type="dxa"/>
            <w:vAlign w:val="center"/>
          </w:tcPr>
          <w:p w14:paraId="5B06B2E7">
            <w:pPr>
              <w:pStyle w:val="120"/>
              <w:spacing w:line="240" w:lineRule="auto"/>
              <w:ind w:firstLine="0" w:firstLineChars="0"/>
              <w:jc w:val="center"/>
              <w:rPr>
                <w:rFonts w:cs="Times New Roman"/>
                <w:snapToGrid w:val="0"/>
                <w:color w:val="000000"/>
                <w:kern w:val="21"/>
                <w:sz w:val="24"/>
                <w:szCs w:val="24"/>
                <w:u w:val="single"/>
              </w:rPr>
            </w:pPr>
            <w:r>
              <w:rPr>
                <w:rFonts w:hint="eastAsia" w:cs="Times New Roman"/>
                <w:snapToGrid w:val="0"/>
                <w:color w:val="000000"/>
                <w:kern w:val="21"/>
                <w:sz w:val="24"/>
                <w:szCs w:val="24"/>
                <w:u w:val="single"/>
              </w:rPr>
              <w:t>氨氮</w:t>
            </w:r>
          </w:p>
        </w:tc>
        <w:tc>
          <w:tcPr>
            <w:tcW w:w="1701" w:type="dxa"/>
            <w:vAlign w:val="center"/>
          </w:tcPr>
          <w:p w14:paraId="2B0A3D8F">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3.123</w:t>
            </w:r>
          </w:p>
        </w:tc>
        <w:tc>
          <w:tcPr>
            <w:tcW w:w="1276" w:type="dxa"/>
            <w:vAlign w:val="center"/>
          </w:tcPr>
          <w:p w14:paraId="42E8512B">
            <w:pPr>
              <w:pStyle w:val="120"/>
              <w:spacing w:line="240" w:lineRule="auto"/>
              <w:ind w:firstLine="0" w:firstLineChars="0"/>
              <w:jc w:val="center"/>
              <w:rPr>
                <w:rFonts w:hint="default" w:eastAsia="宋体" w:cs="Times New Roman"/>
                <w:snapToGrid w:val="0"/>
                <w:color w:val="000000"/>
                <w:kern w:val="21"/>
                <w:sz w:val="24"/>
                <w:szCs w:val="24"/>
                <w:u w:val="single"/>
                <w:lang w:val="en-US" w:eastAsia="zh-CN"/>
              </w:rPr>
            </w:pPr>
            <w:r>
              <w:rPr>
                <w:rFonts w:hint="eastAsia" w:cs="Times New Roman"/>
                <w:snapToGrid w:val="0"/>
                <w:color w:val="000000"/>
                <w:kern w:val="21"/>
                <w:sz w:val="24"/>
                <w:szCs w:val="24"/>
                <w:u w:val="single"/>
                <w:lang w:val="en-US" w:eastAsia="zh-CN"/>
              </w:rPr>
              <w:t>21</w:t>
            </w:r>
          </w:p>
        </w:tc>
        <w:tc>
          <w:tcPr>
            <w:tcW w:w="1701" w:type="dxa"/>
            <w:vAlign w:val="center"/>
          </w:tcPr>
          <w:p w14:paraId="657EBDA1">
            <w:pPr>
              <w:pStyle w:val="120"/>
              <w:spacing w:line="240" w:lineRule="auto"/>
              <w:ind w:firstLine="0" w:firstLineChars="0"/>
              <w:jc w:val="center"/>
              <w:rPr>
                <w:rFonts w:cs="Times New Roman"/>
                <w:snapToGrid w:val="0"/>
                <w:color w:val="000000"/>
                <w:kern w:val="21"/>
                <w:sz w:val="24"/>
                <w:szCs w:val="24"/>
                <w:u w:val="single"/>
              </w:rPr>
            </w:pPr>
            <w:r>
              <w:rPr>
                <w:rFonts w:hint="eastAsia" w:cs="Times New Roman"/>
                <w:snapToGrid w:val="0"/>
                <w:color w:val="000000"/>
                <w:kern w:val="21"/>
                <w:sz w:val="24"/>
                <w:szCs w:val="24"/>
                <w:u w:val="single"/>
              </w:rPr>
              <w:t>/</w:t>
            </w:r>
          </w:p>
        </w:tc>
        <w:tc>
          <w:tcPr>
            <w:tcW w:w="1559" w:type="dxa"/>
            <w:vAlign w:val="center"/>
          </w:tcPr>
          <w:p w14:paraId="4A3DAF9E">
            <w:pPr>
              <w:pStyle w:val="120"/>
              <w:spacing w:line="240" w:lineRule="auto"/>
              <w:ind w:firstLine="0" w:firstLineChars="0"/>
              <w:jc w:val="center"/>
              <w:rPr>
                <w:rFonts w:hint="eastAsia"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w:t>
            </w:r>
          </w:p>
        </w:tc>
        <w:tc>
          <w:tcPr>
            <w:tcW w:w="1761" w:type="dxa"/>
            <w:vAlign w:val="center"/>
          </w:tcPr>
          <w:p w14:paraId="3B8709FB">
            <w:pPr>
              <w:pStyle w:val="120"/>
              <w:spacing w:line="240" w:lineRule="auto"/>
              <w:ind w:firstLine="0" w:firstLineChars="0"/>
              <w:jc w:val="center"/>
              <w:rPr>
                <w:rFonts w:cs="Times New Roman"/>
                <w:snapToGrid w:val="0"/>
                <w:kern w:val="21"/>
                <w:sz w:val="24"/>
                <w:szCs w:val="24"/>
                <w:u w:val="single"/>
              </w:rPr>
            </w:pPr>
            <w:r>
              <w:rPr>
                <w:rFonts w:hint="eastAsia" w:cs="Times New Roman"/>
                <w:snapToGrid w:val="0"/>
                <w:kern w:val="21"/>
                <w:sz w:val="24"/>
                <w:szCs w:val="24"/>
                <w:u w:val="single"/>
              </w:rPr>
              <w:t>/</w:t>
            </w:r>
          </w:p>
        </w:tc>
        <w:tc>
          <w:tcPr>
            <w:tcW w:w="1629" w:type="dxa"/>
            <w:vAlign w:val="center"/>
          </w:tcPr>
          <w:p w14:paraId="4696A3E5">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3.123</w:t>
            </w:r>
          </w:p>
        </w:tc>
        <w:tc>
          <w:tcPr>
            <w:tcW w:w="1156" w:type="dxa"/>
            <w:vAlign w:val="center"/>
          </w:tcPr>
          <w:p w14:paraId="1C1A6D7F">
            <w:pPr>
              <w:pStyle w:val="120"/>
              <w:spacing w:line="240" w:lineRule="auto"/>
              <w:ind w:firstLine="0" w:firstLineChars="0"/>
              <w:jc w:val="center"/>
              <w:rPr>
                <w:rFonts w:cs="Times New Roman"/>
                <w:snapToGrid w:val="0"/>
                <w:kern w:val="21"/>
                <w:sz w:val="24"/>
                <w:szCs w:val="24"/>
                <w:u w:val="single"/>
              </w:rPr>
            </w:pPr>
            <w:r>
              <w:rPr>
                <w:rFonts w:hint="eastAsia" w:cs="Times New Roman"/>
                <w:snapToGrid w:val="0"/>
                <w:kern w:val="21"/>
                <w:sz w:val="24"/>
                <w:szCs w:val="24"/>
                <w:u w:val="single"/>
                <w:lang w:val="en-US" w:eastAsia="zh-CN"/>
              </w:rPr>
              <w:t>+0</w:t>
            </w:r>
          </w:p>
        </w:tc>
      </w:tr>
      <w:tr w14:paraId="386FCF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588" w:type="dxa"/>
            <w:vAlign w:val="center"/>
          </w:tcPr>
          <w:p w14:paraId="14F8B66E">
            <w:pPr>
              <w:pStyle w:val="120"/>
              <w:spacing w:line="240" w:lineRule="auto"/>
              <w:ind w:firstLine="0" w:firstLineChars="0"/>
              <w:jc w:val="center"/>
              <w:rPr>
                <w:rFonts w:cs="Times New Roman"/>
                <w:snapToGrid w:val="0"/>
                <w:color w:val="000000"/>
                <w:kern w:val="21"/>
                <w:sz w:val="24"/>
                <w:szCs w:val="24"/>
                <w:u w:val="single"/>
              </w:rPr>
            </w:pPr>
            <w:r>
              <w:rPr>
                <w:rFonts w:hint="eastAsia" w:cs="Times New Roman"/>
                <w:snapToGrid w:val="0"/>
                <w:color w:val="000000"/>
                <w:kern w:val="21"/>
                <w:sz w:val="24"/>
                <w:szCs w:val="24"/>
                <w:u w:val="single"/>
              </w:rPr>
              <w:t>生活垃圾</w:t>
            </w:r>
          </w:p>
        </w:tc>
        <w:tc>
          <w:tcPr>
            <w:tcW w:w="1417" w:type="dxa"/>
            <w:vAlign w:val="center"/>
          </w:tcPr>
          <w:p w14:paraId="247B54C8">
            <w:pPr>
              <w:pStyle w:val="120"/>
              <w:spacing w:line="240" w:lineRule="auto"/>
              <w:ind w:firstLine="0" w:firstLineChars="0"/>
              <w:jc w:val="center"/>
              <w:rPr>
                <w:rFonts w:cs="Times New Roman"/>
                <w:snapToGrid w:val="0"/>
                <w:color w:val="000000"/>
                <w:kern w:val="21"/>
                <w:sz w:val="24"/>
                <w:szCs w:val="24"/>
                <w:u w:val="single"/>
              </w:rPr>
            </w:pPr>
            <w:r>
              <w:rPr>
                <w:rFonts w:cs="Times New Roman"/>
                <w:snapToGrid w:val="0"/>
                <w:color w:val="000000"/>
                <w:kern w:val="21"/>
                <w:sz w:val="24"/>
                <w:szCs w:val="24"/>
                <w:u w:val="single"/>
              </w:rPr>
              <w:t>生活垃圾</w:t>
            </w:r>
          </w:p>
        </w:tc>
        <w:tc>
          <w:tcPr>
            <w:tcW w:w="1701" w:type="dxa"/>
            <w:vAlign w:val="center"/>
          </w:tcPr>
          <w:p w14:paraId="2A7046B0">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157.68</w:t>
            </w:r>
          </w:p>
        </w:tc>
        <w:tc>
          <w:tcPr>
            <w:tcW w:w="1276" w:type="dxa"/>
            <w:vAlign w:val="center"/>
          </w:tcPr>
          <w:p w14:paraId="30549319">
            <w:pPr>
              <w:pStyle w:val="120"/>
              <w:spacing w:line="240" w:lineRule="auto"/>
              <w:ind w:firstLine="0" w:firstLineChars="0"/>
              <w:jc w:val="center"/>
              <w:rPr>
                <w:rFonts w:cs="Times New Roman"/>
                <w:snapToGrid w:val="0"/>
                <w:color w:val="000000"/>
                <w:kern w:val="21"/>
                <w:sz w:val="24"/>
                <w:szCs w:val="24"/>
                <w:u w:val="single"/>
              </w:rPr>
            </w:pPr>
            <w:r>
              <w:rPr>
                <w:rFonts w:hint="eastAsia" w:cs="Times New Roman"/>
                <w:snapToGrid w:val="0"/>
                <w:color w:val="000000"/>
                <w:kern w:val="21"/>
                <w:sz w:val="24"/>
                <w:szCs w:val="24"/>
                <w:u w:val="single"/>
              </w:rPr>
              <w:t>/</w:t>
            </w:r>
          </w:p>
        </w:tc>
        <w:tc>
          <w:tcPr>
            <w:tcW w:w="1701" w:type="dxa"/>
            <w:vAlign w:val="center"/>
          </w:tcPr>
          <w:p w14:paraId="379BF2A9">
            <w:pPr>
              <w:pStyle w:val="120"/>
              <w:spacing w:line="240" w:lineRule="auto"/>
              <w:ind w:firstLine="0" w:firstLineChars="0"/>
              <w:jc w:val="center"/>
              <w:rPr>
                <w:rFonts w:cs="Times New Roman"/>
                <w:snapToGrid w:val="0"/>
                <w:color w:val="000000"/>
                <w:kern w:val="21"/>
                <w:sz w:val="24"/>
                <w:szCs w:val="24"/>
                <w:u w:val="single"/>
              </w:rPr>
            </w:pPr>
            <w:r>
              <w:rPr>
                <w:rFonts w:hint="eastAsia" w:cs="Times New Roman"/>
                <w:snapToGrid w:val="0"/>
                <w:color w:val="000000"/>
                <w:kern w:val="21"/>
                <w:sz w:val="24"/>
                <w:szCs w:val="24"/>
                <w:u w:val="single"/>
              </w:rPr>
              <w:t>/</w:t>
            </w:r>
          </w:p>
        </w:tc>
        <w:tc>
          <w:tcPr>
            <w:tcW w:w="1559" w:type="dxa"/>
            <w:vAlign w:val="center"/>
          </w:tcPr>
          <w:p w14:paraId="74B9094B">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w:t>
            </w:r>
          </w:p>
        </w:tc>
        <w:tc>
          <w:tcPr>
            <w:tcW w:w="1761" w:type="dxa"/>
            <w:vAlign w:val="center"/>
          </w:tcPr>
          <w:p w14:paraId="79A68285">
            <w:pPr>
              <w:pStyle w:val="120"/>
              <w:spacing w:line="240" w:lineRule="auto"/>
              <w:ind w:firstLine="0" w:firstLineChars="0"/>
              <w:jc w:val="center"/>
              <w:rPr>
                <w:rFonts w:cs="Times New Roman"/>
                <w:snapToGrid w:val="0"/>
                <w:kern w:val="21"/>
                <w:sz w:val="24"/>
                <w:szCs w:val="24"/>
                <w:u w:val="single"/>
              </w:rPr>
            </w:pPr>
            <w:r>
              <w:rPr>
                <w:rFonts w:hint="eastAsia" w:cs="Times New Roman"/>
                <w:snapToGrid w:val="0"/>
                <w:kern w:val="21"/>
                <w:sz w:val="24"/>
                <w:szCs w:val="24"/>
                <w:u w:val="single"/>
              </w:rPr>
              <w:t>/</w:t>
            </w:r>
          </w:p>
        </w:tc>
        <w:tc>
          <w:tcPr>
            <w:tcW w:w="1629" w:type="dxa"/>
            <w:vAlign w:val="center"/>
          </w:tcPr>
          <w:p w14:paraId="03EA2753">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157.68</w:t>
            </w:r>
          </w:p>
        </w:tc>
        <w:tc>
          <w:tcPr>
            <w:tcW w:w="1156" w:type="dxa"/>
            <w:vAlign w:val="center"/>
          </w:tcPr>
          <w:p w14:paraId="48F34A22">
            <w:pPr>
              <w:pStyle w:val="120"/>
              <w:spacing w:line="240" w:lineRule="auto"/>
              <w:ind w:firstLine="0" w:firstLineChars="0"/>
              <w:jc w:val="center"/>
              <w:rPr>
                <w:rFonts w:hint="default" w:cs="Times New Roman"/>
                <w:snapToGrid w:val="0"/>
                <w:kern w:val="21"/>
                <w:sz w:val="24"/>
                <w:szCs w:val="24"/>
                <w:u w:val="single"/>
                <w:lang w:val="en-US"/>
              </w:rPr>
            </w:pPr>
            <w:r>
              <w:rPr>
                <w:rFonts w:hint="eastAsia" w:cs="Times New Roman"/>
                <w:snapToGrid w:val="0"/>
                <w:kern w:val="21"/>
                <w:sz w:val="24"/>
                <w:szCs w:val="24"/>
                <w:u w:val="single"/>
                <w:lang w:val="en-US" w:eastAsia="zh-CN"/>
              </w:rPr>
              <w:t>+0</w:t>
            </w:r>
          </w:p>
        </w:tc>
      </w:tr>
      <w:tr w14:paraId="5798F0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588" w:type="dxa"/>
            <w:vMerge w:val="restart"/>
            <w:vAlign w:val="center"/>
          </w:tcPr>
          <w:p w14:paraId="5EA42163">
            <w:pPr>
              <w:pStyle w:val="120"/>
              <w:spacing w:line="240" w:lineRule="auto"/>
              <w:ind w:firstLine="0" w:firstLineChars="0"/>
              <w:jc w:val="center"/>
              <w:rPr>
                <w:rFonts w:cs="Times New Roman"/>
                <w:snapToGrid w:val="0"/>
                <w:color w:val="000000"/>
                <w:kern w:val="21"/>
                <w:sz w:val="24"/>
                <w:szCs w:val="24"/>
                <w:u w:val="single"/>
              </w:rPr>
            </w:pPr>
            <w:r>
              <w:rPr>
                <w:rFonts w:hint="eastAsia" w:cs="Times New Roman"/>
                <w:snapToGrid w:val="0"/>
                <w:color w:val="000000"/>
                <w:kern w:val="21"/>
                <w:sz w:val="24"/>
                <w:szCs w:val="24"/>
                <w:u w:val="single"/>
              </w:rPr>
              <w:t>一般</w:t>
            </w:r>
            <w:r>
              <w:rPr>
                <w:rFonts w:cs="Times New Roman"/>
                <w:snapToGrid w:val="0"/>
                <w:color w:val="000000"/>
                <w:kern w:val="21"/>
                <w:sz w:val="24"/>
                <w:szCs w:val="24"/>
                <w:u w:val="single"/>
              </w:rPr>
              <w:t>工业</w:t>
            </w:r>
          </w:p>
          <w:p w14:paraId="697607EE">
            <w:pPr>
              <w:pStyle w:val="120"/>
              <w:spacing w:line="240" w:lineRule="auto"/>
              <w:ind w:firstLine="0" w:firstLineChars="0"/>
              <w:jc w:val="center"/>
              <w:rPr>
                <w:rFonts w:cs="Times New Roman"/>
                <w:snapToGrid w:val="0"/>
                <w:color w:val="000000"/>
                <w:kern w:val="21"/>
                <w:sz w:val="24"/>
                <w:szCs w:val="24"/>
                <w:u w:val="single"/>
              </w:rPr>
            </w:pPr>
            <w:r>
              <w:rPr>
                <w:rFonts w:cs="Times New Roman"/>
                <w:snapToGrid w:val="0"/>
                <w:color w:val="000000"/>
                <w:kern w:val="21"/>
                <w:sz w:val="24"/>
                <w:szCs w:val="24"/>
                <w:u w:val="single"/>
              </w:rPr>
              <w:t>固体废物</w:t>
            </w:r>
          </w:p>
        </w:tc>
        <w:tc>
          <w:tcPr>
            <w:tcW w:w="1417" w:type="dxa"/>
            <w:vAlign w:val="center"/>
          </w:tcPr>
          <w:p w14:paraId="1E3F3639">
            <w:pPr>
              <w:pStyle w:val="120"/>
              <w:spacing w:line="240" w:lineRule="auto"/>
              <w:ind w:firstLine="0" w:firstLineChars="0"/>
              <w:jc w:val="center"/>
              <w:rPr>
                <w:rFonts w:hint="default" w:eastAsia="宋体" w:cs="Times New Roman"/>
                <w:snapToGrid w:val="0"/>
                <w:color w:val="000000"/>
                <w:kern w:val="21"/>
                <w:sz w:val="24"/>
                <w:szCs w:val="24"/>
                <w:highlight w:val="none"/>
                <w:u w:val="single"/>
                <w:lang w:val="en-US" w:eastAsia="zh-CN"/>
              </w:rPr>
            </w:pPr>
            <w:r>
              <w:rPr>
                <w:rFonts w:hint="eastAsia" w:cs="Times New Roman"/>
                <w:snapToGrid w:val="0"/>
                <w:color w:val="000000"/>
                <w:kern w:val="21"/>
                <w:sz w:val="24"/>
                <w:szCs w:val="24"/>
                <w:highlight w:val="none"/>
                <w:u w:val="single"/>
                <w:lang w:val="en-US" w:eastAsia="zh-CN"/>
              </w:rPr>
              <w:t>炉渣</w:t>
            </w:r>
          </w:p>
        </w:tc>
        <w:tc>
          <w:tcPr>
            <w:tcW w:w="1701" w:type="dxa"/>
            <w:vAlign w:val="center"/>
          </w:tcPr>
          <w:p w14:paraId="59C97087">
            <w:pPr>
              <w:pStyle w:val="120"/>
              <w:spacing w:line="240" w:lineRule="auto"/>
              <w:ind w:firstLine="0" w:firstLineChars="0"/>
              <w:jc w:val="center"/>
              <w:rPr>
                <w:rFonts w:hint="default" w:eastAsia="宋体"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150000</w:t>
            </w:r>
          </w:p>
        </w:tc>
        <w:tc>
          <w:tcPr>
            <w:tcW w:w="1276" w:type="dxa"/>
            <w:vAlign w:val="center"/>
          </w:tcPr>
          <w:p w14:paraId="2E6DA210">
            <w:pPr>
              <w:pStyle w:val="120"/>
              <w:spacing w:line="240" w:lineRule="auto"/>
              <w:ind w:firstLine="0" w:firstLineChars="0"/>
              <w:jc w:val="center"/>
              <w:rPr>
                <w:rFonts w:hint="eastAsia" w:eastAsia="宋体" w:cs="Times New Roman"/>
                <w:snapToGrid w:val="0"/>
                <w:color w:val="000000"/>
                <w:kern w:val="21"/>
                <w:sz w:val="24"/>
                <w:szCs w:val="24"/>
                <w:u w:val="single"/>
                <w:lang w:val="en-US" w:eastAsia="zh-CN"/>
              </w:rPr>
            </w:pPr>
            <w:r>
              <w:rPr>
                <w:rFonts w:hint="eastAsia" w:cs="Times New Roman"/>
                <w:snapToGrid w:val="0"/>
                <w:color w:val="000000"/>
                <w:kern w:val="21"/>
                <w:sz w:val="24"/>
                <w:szCs w:val="24"/>
                <w:u w:val="single"/>
                <w:lang w:val="en-US" w:eastAsia="zh-CN"/>
              </w:rPr>
              <w:t>/</w:t>
            </w:r>
          </w:p>
        </w:tc>
        <w:tc>
          <w:tcPr>
            <w:tcW w:w="1701" w:type="dxa"/>
            <w:vAlign w:val="center"/>
          </w:tcPr>
          <w:p w14:paraId="38B323AE">
            <w:pPr>
              <w:pStyle w:val="120"/>
              <w:spacing w:line="240" w:lineRule="auto"/>
              <w:ind w:firstLine="0" w:firstLineChars="0"/>
              <w:jc w:val="center"/>
              <w:rPr>
                <w:rFonts w:hint="eastAsia" w:eastAsia="宋体" w:cs="Times New Roman"/>
                <w:snapToGrid w:val="0"/>
                <w:color w:val="000000"/>
                <w:kern w:val="21"/>
                <w:sz w:val="24"/>
                <w:szCs w:val="24"/>
                <w:u w:val="single"/>
                <w:lang w:val="en-US" w:eastAsia="zh-CN"/>
              </w:rPr>
            </w:pPr>
            <w:r>
              <w:rPr>
                <w:rFonts w:hint="eastAsia" w:cs="Times New Roman"/>
                <w:snapToGrid w:val="0"/>
                <w:color w:val="000000"/>
                <w:kern w:val="21"/>
                <w:sz w:val="24"/>
                <w:szCs w:val="24"/>
                <w:u w:val="single"/>
                <w:lang w:val="en-US" w:eastAsia="zh-CN"/>
              </w:rPr>
              <w:t>/</w:t>
            </w:r>
          </w:p>
        </w:tc>
        <w:tc>
          <w:tcPr>
            <w:tcW w:w="1559" w:type="dxa"/>
            <w:vAlign w:val="center"/>
          </w:tcPr>
          <w:p w14:paraId="2AD730E9">
            <w:pPr>
              <w:pStyle w:val="120"/>
              <w:spacing w:line="240" w:lineRule="auto"/>
              <w:ind w:firstLine="0" w:firstLineChars="0"/>
              <w:jc w:val="center"/>
              <w:rPr>
                <w:rFonts w:hint="default"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w:t>
            </w:r>
          </w:p>
        </w:tc>
        <w:tc>
          <w:tcPr>
            <w:tcW w:w="1761" w:type="dxa"/>
            <w:vAlign w:val="center"/>
          </w:tcPr>
          <w:p w14:paraId="28DB84A9">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w:t>
            </w:r>
          </w:p>
        </w:tc>
        <w:tc>
          <w:tcPr>
            <w:tcW w:w="1629" w:type="dxa"/>
            <w:vAlign w:val="center"/>
          </w:tcPr>
          <w:p w14:paraId="129FA575">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150000</w:t>
            </w:r>
          </w:p>
        </w:tc>
        <w:tc>
          <w:tcPr>
            <w:tcW w:w="1156" w:type="dxa"/>
            <w:vAlign w:val="center"/>
          </w:tcPr>
          <w:p w14:paraId="7B73E2A9">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+0</w:t>
            </w:r>
          </w:p>
        </w:tc>
      </w:tr>
      <w:tr w14:paraId="6B3D56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588" w:type="dxa"/>
            <w:vMerge w:val="continue"/>
            <w:vAlign w:val="center"/>
          </w:tcPr>
          <w:p w14:paraId="0C4F0CB9">
            <w:pPr>
              <w:pStyle w:val="120"/>
              <w:spacing w:line="240" w:lineRule="auto"/>
              <w:ind w:firstLine="0" w:firstLineChars="0"/>
              <w:jc w:val="center"/>
              <w:rPr>
                <w:rFonts w:cs="Times New Roman"/>
                <w:snapToGrid w:val="0"/>
                <w:color w:val="000000"/>
                <w:kern w:val="21"/>
                <w:sz w:val="24"/>
                <w:szCs w:val="24"/>
                <w:u w:val="single"/>
              </w:rPr>
            </w:pPr>
          </w:p>
        </w:tc>
        <w:tc>
          <w:tcPr>
            <w:tcW w:w="1417" w:type="dxa"/>
            <w:vAlign w:val="center"/>
          </w:tcPr>
          <w:p w14:paraId="3FA243ED">
            <w:pPr>
              <w:pStyle w:val="120"/>
              <w:spacing w:line="240" w:lineRule="auto"/>
              <w:ind w:firstLine="0" w:firstLineChars="0"/>
              <w:jc w:val="center"/>
              <w:rPr>
                <w:rFonts w:hint="default" w:eastAsia="宋体" w:cs="Times New Roman"/>
                <w:snapToGrid w:val="0"/>
                <w:color w:val="000000"/>
                <w:kern w:val="21"/>
                <w:sz w:val="24"/>
                <w:szCs w:val="24"/>
                <w:highlight w:val="none"/>
                <w:u w:val="single"/>
                <w:lang w:val="en-US" w:eastAsia="zh-CN"/>
              </w:rPr>
            </w:pPr>
            <w:r>
              <w:rPr>
                <w:rFonts w:hint="eastAsia" w:cs="Times New Roman"/>
                <w:snapToGrid w:val="0"/>
                <w:color w:val="000000"/>
                <w:kern w:val="21"/>
                <w:sz w:val="24"/>
                <w:szCs w:val="24"/>
                <w:highlight w:val="none"/>
                <w:u w:val="single"/>
                <w:lang w:val="en-US" w:eastAsia="zh-CN"/>
              </w:rPr>
              <w:t>脱硫石膏</w:t>
            </w:r>
          </w:p>
        </w:tc>
        <w:tc>
          <w:tcPr>
            <w:tcW w:w="1701" w:type="dxa"/>
            <w:vAlign w:val="center"/>
          </w:tcPr>
          <w:p w14:paraId="50F8B5BA">
            <w:pPr>
              <w:pStyle w:val="120"/>
              <w:spacing w:line="240" w:lineRule="auto"/>
              <w:ind w:left="0" w:leftChars="0" w:right="0" w:rightChars="0" w:firstLine="0" w:firstLineChars="0"/>
              <w:jc w:val="center"/>
              <w:rPr>
                <w:rFonts w:hint="default" w:eastAsia="宋体"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300000</w:t>
            </w:r>
          </w:p>
        </w:tc>
        <w:tc>
          <w:tcPr>
            <w:tcW w:w="1276" w:type="dxa"/>
            <w:vAlign w:val="center"/>
          </w:tcPr>
          <w:p w14:paraId="2A15BD4D">
            <w:pPr>
              <w:pStyle w:val="120"/>
              <w:spacing w:line="240" w:lineRule="auto"/>
              <w:ind w:firstLine="0" w:firstLineChars="0"/>
              <w:jc w:val="center"/>
              <w:rPr>
                <w:rFonts w:hint="eastAsia" w:eastAsia="宋体" w:cs="Times New Roman"/>
                <w:snapToGrid w:val="0"/>
                <w:color w:val="000000"/>
                <w:kern w:val="21"/>
                <w:sz w:val="24"/>
                <w:szCs w:val="24"/>
                <w:highlight w:val="none"/>
                <w:u w:val="single"/>
                <w:lang w:val="en-US" w:eastAsia="zh-CN"/>
              </w:rPr>
            </w:pPr>
            <w:r>
              <w:rPr>
                <w:rFonts w:hint="eastAsia" w:cs="Times New Roman"/>
                <w:snapToGrid w:val="0"/>
                <w:color w:val="000000"/>
                <w:kern w:val="21"/>
                <w:sz w:val="24"/>
                <w:szCs w:val="24"/>
                <w:highlight w:val="none"/>
                <w:u w:val="single"/>
                <w:lang w:val="en-US" w:eastAsia="zh-CN"/>
              </w:rPr>
              <w:t>/</w:t>
            </w:r>
          </w:p>
        </w:tc>
        <w:tc>
          <w:tcPr>
            <w:tcW w:w="1701" w:type="dxa"/>
            <w:vAlign w:val="center"/>
          </w:tcPr>
          <w:p w14:paraId="148876EE">
            <w:pPr>
              <w:pStyle w:val="120"/>
              <w:spacing w:line="240" w:lineRule="auto"/>
              <w:ind w:firstLine="0" w:firstLineChars="0"/>
              <w:jc w:val="center"/>
              <w:rPr>
                <w:rFonts w:hint="eastAsia" w:eastAsia="宋体" w:cs="Times New Roman"/>
                <w:snapToGrid w:val="0"/>
                <w:color w:val="000000"/>
                <w:kern w:val="21"/>
                <w:sz w:val="24"/>
                <w:szCs w:val="24"/>
                <w:highlight w:val="none"/>
                <w:u w:val="single"/>
                <w:lang w:val="en-US" w:eastAsia="zh-CN"/>
              </w:rPr>
            </w:pPr>
            <w:r>
              <w:rPr>
                <w:rFonts w:hint="eastAsia" w:cs="Times New Roman"/>
                <w:snapToGrid w:val="0"/>
                <w:color w:val="000000"/>
                <w:kern w:val="21"/>
                <w:sz w:val="24"/>
                <w:szCs w:val="24"/>
                <w:highlight w:val="none"/>
                <w:u w:val="single"/>
                <w:lang w:val="en-US" w:eastAsia="zh-CN"/>
              </w:rPr>
              <w:t>/</w:t>
            </w:r>
          </w:p>
        </w:tc>
        <w:tc>
          <w:tcPr>
            <w:tcW w:w="1559" w:type="dxa"/>
            <w:vAlign w:val="center"/>
          </w:tcPr>
          <w:p w14:paraId="058E542D">
            <w:pPr>
              <w:pStyle w:val="120"/>
              <w:spacing w:line="240" w:lineRule="auto"/>
              <w:ind w:firstLine="0" w:firstLineChars="0"/>
              <w:jc w:val="center"/>
              <w:rPr>
                <w:rFonts w:hint="default" w:cs="Times New Roman"/>
                <w:snapToGrid w:val="0"/>
                <w:kern w:val="21"/>
                <w:sz w:val="24"/>
                <w:szCs w:val="24"/>
                <w:highlight w:val="none"/>
                <w:u w:val="single"/>
                <w:lang w:val="en-US" w:eastAsia="zh-CN"/>
              </w:rPr>
            </w:pPr>
            <w:r>
              <w:rPr>
                <w:rFonts w:hint="eastAsia" w:cs="Times New Roman"/>
                <w:snapToGrid w:val="0"/>
                <w:kern w:val="21"/>
                <w:sz w:val="24"/>
                <w:szCs w:val="24"/>
                <w:highlight w:val="none"/>
                <w:u w:val="single"/>
                <w:lang w:val="en-US" w:eastAsia="zh-CN"/>
              </w:rPr>
              <w:t>/</w:t>
            </w:r>
          </w:p>
        </w:tc>
        <w:tc>
          <w:tcPr>
            <w:tcW w:w="1761" w:type="dxa"/>
            <w:vAlign w:val="center"/>
          </w:tcPr>
          <w:p w14:paraId="4038C984">
            <w:pPr>
              <w:pStyle w:val="120"/>
              <w:spacing w:line="240" w:lineRule="auto"/>
              <w:ind w:firstLine="0" w:firstLineChars="0"/>
              <w:jc w:val="center"/>
              <w:rPr>
                <w:rFonts w:hint="eastAsia"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w:t>
            </w:r>
          </w:p>
        </w:tc>
        <w:tc>
          <w:tcPr>
            <w:tcW w:w="1629" w:type="dxa"/>
            <w:vAlign w:val="center"/>
          </w:tcPr>
          <w:p w14:paraId="21743C44">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300000</w:t>
            </w:r>
          </w:p>
        </w:tc>
        <w:tc>
          <w:tcPr>
            <w:tcW w:w="1156" w:type="dxa"/>
            <w:vAlign w:val="center"/>
          </w:tcPr>
          <w:p w14:paraId="5B56D6AB">
            <w:pPr>
              <w:pStyle w:val="120"/>
              <w:spacing w:line="240" w:lineRule="auto"/>
              <w:ind w:firstLine="0" w:firstLineChars="0"/>
              <w:jc w:val="center"/>
              <w:rPr>
                <w:rFonts w:cs="Times New Roman"/>
                <w:snapToGrid w:val="0"/>
                <w:kern w:val="21"/>
                <w:sz w:val="24"/>
                <w:szCs w:val="24"/>
                <w:u w:val="single"/>
              </w:rPr>
            </w:pPr>
            <w:r>
              <w:rPr>
                <w:rFonts w:hint="eastAsia" w:cs="Times New Roman"/>
                <w:snapToGrid w:val="0"/>
                <w:kern w:val="21"/>
                <w:sz w:val="24"/>
                <w:szCs w:val="24"/>
                <w:u w:val="single"/>
                <w:lang w:val="en-US" w:eastAsia="zh-CN"/>
              </w:rPr>
              <w:t>+0</w:t>
            </w:r>
          </w:p>
        </w:tc>
      </w:tr>
      <w:tr w14:paraId="35B9E9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88" w:type="dxa"/>
            <w:vMerge w:val="continue"/>
            <w:vAlign w:val="center"/>
          </w:tcPr>
          <w:p w14:paraId="6D2BC094">
            <w:pPr>
              <w:pStyle w:val="120"/>
              <w:spacing w:line="240" w:lineRule="auto"/>
              <w:ind w:firstLine="0" w:firstLineChars="0"/>
              <w:jc w:val="center"/>
              <w:rPr>
                <w:rFonts w:cs="Times New Roman"/>
                <w:snapToGrid w:val="0"/>
                <w:color w:val="000000"/>
                <w:kern w:val="21"/>
                <w:sz w:val="24"/>
                <w:szCs w:val="24"/>
                <w:u w:val="single"/>
              </w:rPr>
            </w:pPr>
          </w:p>
        </w:tc>
        <w:tc>
          <w:tcPr>
            <w:tcW w:w="1417" w:type="dxa"/>
            <w:vAlign w:val="center"/>
          </w:tcPr>
          <w:p w14:paraId="4287CD00">
            <w:pPr>
              <w:pStyle w:val="120"/>
              <w:spacing w:line="240" w:lineRule="auto"/>
              <w:ind w:firstLine="0" w:firstLineChars="0"/>
              <w:jc w:val="center"/>
              <w:rPr>
                <w:rFonts w:hint="eastAsia" w:eastAsia="宋体" w:cs="Times New Roman"/>
                <w:snapToGrid w:val="0"/>
                <w:color w:val="000000"/>
                <w:kern w:val="21"/>
                <w:sz w:val="24"/>
                <w:szCs w:val="24"/>
                <w:u w:val="single"/>
                <w:lang w:eastAsia="zh-CN"/>
              </w:rPr>
            </w:pPr>
            <w:r>
              <w:rPr>
                <w:rFonts w:hint="eastAsia" w:cs="Times New Roman"/>
                <w:snapToGrid w:val="0"/>
                <w:color w:val="000000"/>
                <w:kern w:val="21"/>
                <w:sz w:val="24"/>
                <w:szCs w:val="24"/>
                <w:u w:val="single"/>
                <w:lang w:val="en-US" w:eastAsia="zh-CN"/>
              </w:rPr>
              <w:t>粉煤灰</w:t>
            </w:r>
          </w:p>
        </w:tc>
        <w:tc>
          <w:tcPr>
            <w:tcW w:w="1701" w:type="dxa"/>
            <w:vAlign w:val="center"/>
          </w:tcPr>
          <w:p w14:paraId="6ED04DBE">
            <w:pPr>
              <w:pStyle w:val="120"/>
              <w:spacing w:line="240" w:lineRule="auto"/>
              <w:ind w:left="0" w:leftChars="0" w:right="0" w:rightChars="0"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900000</w:t>
            </w:r>
          </w:p>
        </w:tc>
        <w:tc>
          <w:tcPr>
            <w:tcW w:w="1276" w:type="dxa"/>
            <w:vAlign w:val="center"/>
          </w:tcPr>
          <w:p w14:paraId="48435C92">
            <w:pPr>
              <w:pStyle w:val="120"/>
              <w:spacing w:line="240" w:lineRule="auto"/>
              <w:ind w:firstLine="0" w:firstLineChars="0"/>
              <w:jc w:val="center"/>
              <w:rPr>
                <w:rFonts w:cs="Times New Roman"/>
                <w:snapToGrid w:val="0"/>
                <w:color w:val="000000"/>
                <w:kern w:val="21"/>
                <w:sz w:val="24"/>
                <w:szCs w:val="24"/>
                <w:u w:val="single"/>
              </w:rPr>
            </w:pPr>
            <w:r>
              <w:rPr>
                <w:rFonts w:hint="eastAsia" w:cs="Times New Roman"/>
                <w:snapToGrid w:val="0"/>
                <w:color w:val="000000"/>
                <w:kern w:val="21"/>
                <w:sz w:val="24"/>
                <w:szCs w:val="24"/>
                <w:u w:val="single"/>
              </w:rPr>
              <w:t>/</w:t>
            </w:r>
          </w:p>
        </w:tc>
        <w:tc>
          <w:tcPr>
            <w:tcW w:w="1701" w:type="dxa"/>
            <w:vAlign w:val="center"/>
          </w:tcPr>
          <w:p w14:paraId="5B433244">
            <w:pPr>
              <w:pStyle w:val="120"/>
              <w:spacing w:line="240" w:lineRule="auto"/>
              <w:ind w:firstLine="0" w:firstLineChars="0"/>
              <w:jc w:val="center"/>
              <w:rPr>
                <w:rFonts w:cs="Times New Roman"/>
                <w:snapToGrid w:val="0"/>
                <w:color w:val="000000"/>
                <w:kern w:val="21"/>
                <w:sz w:val="24"/>
                <w:szCs w:val="24"/>
                <w:u w:val="single"/>
              </w:rPr>
            </w:pPr>
            <w:r>
              <w:rPr>
                <w:rFonts w:hint="eastAsia" w:cs="Times New Roman"/>
                <w:snapToGrid w:val="0"/>
                <w:color w:val="000000"/>
                <w:kern w:val="21"/>
                <w:sz w:val="24"/>
                <w:szCs w:val="24"/>
                <w:u w:val="single"/>
              </w:rPr>
              <w:t>/</w:t>
            </w:r>
          </w:p>
        </w:tc>
        <w:tc>
          <w:tcPr>
            <w:tcW w:w="1559" w:type="dxa"/>
            <w:vAlign w:val="center"/>
          </w:tcPr>
          <w:p w14:paraId="3BEC43C1">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w:t>
            </w:r>
          </w:p>
        </w:tc>
        <w:tc>
          <w:tcPr>
            <w:tcW w:w="1761" w:type="dxa"/>
            <w:vAlign w:val="center"/>
          </w:tcPr>
          <w:p w14:paraId="71F00FE9">
            <w:pPr>
              <w:pStyle w:val="120"/>
              <w:spacing w:line="240" w:lineRule="auto"/>
              <w:ind w:firstLine="0" w:firstLineChars="0"/>
              <w:jc w:val="center"/>
              <w:rPr>
                <w:rFonts w:cs="Times New Roman"/>
                <w:snapToGrid w:val="0"/>
                <w:kern w:val="21"/>
                <w:sz w:val="24"/>
                <w:szCs w:val="24"/>
                <w:u w:val="single"/>
              </w:rPr>
            </w:pPr>
            <w:r>
              <w:rPr>
                <w:rFonts w:hint="eastAsia" w:cs="Times New Roman"/>
                <w:snapToGrid w:val="0"/>
                <w:kern w:val="21"/>
                <w:sz w:val="24"/>
                <w:szCs w:val="24"/>
                <w:u w:val="single"/>
              </w:rPr>
              <w:t>/</w:t>
            </w:r>
          </w:p>
        </w:tc>
        <w:tc>
          <w:tcPr>
            <w:tcW w:w="1629" w:type="dxa"/>
            <w:vAlign w:val="center"/>
          </w:tcPr>
          <w:p w14:paraId="219F64D1">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900000</w:t>
            </w:r>
          </w:p>
        </w:tc>
        <w:tc>
          <w:tcPr>
            <w:tcW w:w="1156" w:type="dxa"/>
            <w:vAlign w:val="center"/>
          </w:tcPr>
          <w:p w14:paraId="7AEB7379">
            <w:pPr>
              <w:pStyle w:val="120"/>
              <w:spacing w:line="240" w:lineRule="auto"/>
              <w:ind w:firstLine="0" w:firstLineChars="0"/>
              <w:jc w:val="center"/>
              <w:rPr>
                <w:rFonts w:hint="default" w:cs="Times New Roman"/>
                <w:snapToGrid w:val="0"/>
                <w:kern w:val="21"/>
                <w:sz w:val="24"/>
                <w:szCs w:val="24"/>
                <w:u w:val="single"/>
                <w:lang w:val="en-US"/>
              </w:rPr>
            </w:pPr>
            <w:r>
              <w:rPr>
                <w:rFonts w:hint="eastAsia" w:cs="Times New Roman"/>
                <w:snapToGrid w:val="0"/>
                <w:kern w:val="21"/>
                <w:sz w:val="24"/>
                <w:szCs w:val="24"/>
                <w:u w:val="single"/>
                <w:lang w:val="en-US" w:eastAsia="zh-CN"/>
              </w:rPr>
              <w:t>+0</w:t>
            </w:r>
          </w:p>
        </w:tc>
      </w:tr>
      <w:tr w14:paraId="0F6CD8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88" w:type="dxa"/>
            <w:vMerge w:val="restart"/>
            <w:vAlign w:val="center"/>
          </w:tcPr>
          <w:p w14:paraId="5974B2F4">
            <w:pPr>
              <w:pStyle w:val="120"/>
              <w:spacing w:line="240" w:lineRule="auto"/>
              <w:ind w:firstLine="0" w:firstLineChars="0"/>
              <w:jc w:val="center"/>
              <w:rPr>
                <w:rFonts w:cs="Times New Roman"/>
                <w:snapToGrid w:val="0"/>
                <w:color w:val="000000"/>
                <w:kern w:val="21"/>
                <w:sz w:val="24"/>
                <w:szCs w:val="24"/>
                <w:u w:val="single"/>
              </w:rPr>
            </w:pPr>
            <w:r>
              <w:rPr>
                <w:rFonts w:cs="Times New Roman"/>
                <w:snapToGrid w:val="0"/>
                <w:color w:val="000000"/>
                <w:kern w:val="21"/>
                <w:sz w:val="24"/>
                <w:szCs w:val="24"/>
                <w:u w:val="single"/>
              </w:rPr>
              <w:t>危险废物</w:t>
            </w:r>
          </w:p>
        </w:tc>
        <w:tc>
          <w:tcPr>
            <w:tcW w:w="1417" w:type="dxa"/>
            <w:vAlign w:val="center"/>
          </w:tcPr>
          <w:p w14:paraId="6D0212C1">
            <w:pPr>
              <w:adjustRightInd w:val="0"/>
              <w:snapToGrid w:val="0"/>
              <w:spacing w:line="240" w:lineRule="auto"/>
              <w:ind w:firstLine="0" w:firstLineChars="0"/>
              <w:jc w:val="center"/>
              <w:rPr>
                <w:snapToGrid w:val="0"/>
                <w:kern w:val="21"/>
                <w:highlight w:val="none"/>
                <w:u w:val="single"/>
              </w:rPr>
            </w:pPr>
            <w:r>
              <w:rPr>
                <w:snapToGrid w:val="0"/>
                <w:kern w:val="21"/>
                <w:highlight w:val="none"/>
                <w:u w:val="single"/>
              </w:rPr>
              <w:t>废润滑油</w:t>
            </w:r>
          </w:p>
        </w:tc>
        <w:tc>
          <w:tcPr>
            <w:tcW w:w="1701" w:type="dxa"/>
            <w:shd w:val="clear" w:color="auto" w:fill="auto"/>
            <w:vAlign w:val="center"/>
          </w:tcPr>
          <w:p w14:paraId="03966755">
            <w:pPr>
              <w:widowControl w:val="0"/>
              <w:adjustRightInd w:val="0"/>
              <w:snapToGrid w:val="0"/>
              <w:spacing w:line="240" w:lineRule="auto"/>
              <w:ind w:firstLine="0" w:firstLineChars="0"/>
              <w:jc w:val="center"/>
              <w:rPr>
                <w:rFonts w:hint="eastAsia" w:ascii="Times New Roman" w:hAnsi="Times New Roman" w:eastAsia="宋体" w:cs="Times New Roman"/>
                <w:sz w:val="21"/>
                <w:szCs w:val="21"/>
                <w:highlight w:val="none"/>
                <w:u w:val="single"/>
                <w:lang w:val="en-US" w:eastAsia="zh-CN" w:bidi="ar-SA"/>
              </w:rPr>
            </w:pPr>
            <w:r>
              <w:rPr>
                <w:rFonts w:hint="eastAsia"/>
                <w:snapToGrid w:val="0"/>
                <w:kern w:val="21"/>
                <w:sz w:val="21"/>
                <w:szCs w:val="21"/>
                <w:highlight w:val="none"/>
                <w:u w:val="single"/>
                <w:lang w:val="en-US" w:eastAsia="zh-CN"/>
              </w:rPr>
              <w:t>55</w:t>
            </w:r>
          </w:p>
        </w:tc>
        <w:tc>
          <w:tcPr>
            <w:tcW w:w="1276" w:type="dxa"/>
            <w:vAlign w:val="center"/>
          </w:tcPr>
          <w:p w14:paraId="3C06ED0A">
            <w:pPr>
              <w:adjustRightInd w:val="0"/>
              <w:snapToGrid w:val="0"/>
              <w:spacing w:line="240" w:lineRule="auto"/>
              <w:ind w:firstLine="0" w:firstLineChars="0"/>
              <w:jc w:val="center"/>
              <w:rPr>
                <w:snapToGrid w:val="0"/>
                <w:kern w:val="21"/>
                <w:u w:val="single"/>
              </w:rPr>
            </w:pPr>
            <w:r>
              <w:rPr>
                <w:rFonts w:hint="eastAsia"/>
                <w:snapToGrid w:val="0"/>
                <w:kern w:val="21"/>
                <w:u w:val="single"/>
              </w:rPr>
              <w:t>/</w:t>
            </w:r>
          </w:p>
        </w:tc>
        <w:tc>
          <w:tcPr>
            <w:tcW w:w="1701" w:type="dxa"/>
            <w:vAlign w:val="center"/>
          </w:tcPr>
          <w:p w14:paraId="70C06535">
            <w:pPr>
              <w:adjustRightInd w:val="0"/>
              <w:snapToGrid w:val="0"/>
              <w:spacing w:line="240" w:lineRule="auto"/>
              <w:ind w:firstLine="0" w:firstLineChars="0"/>
              <w:jc w:val="center"/>
              <w:rPr>
                <w:snapToGrid w:val="0"/>
                <w:kern w:val="21"/>
                <w:u w:val="single"/>
              </w:rPr>
            </w:pPr>
            <w:r>
              <w:rPr>
                <w:rFonts w:hint="eastAsia"/>
                <w:snapToGrid w:val="0"/>
                <w:kern w:val="21"/>
                <w:u w:val="single"/>
              </w:rPr>
              <w:t>/</w:t>
            </w:r>
          </w:p>
        </w:tc>
        <w:tc>
          <w:tcPr>
            <w:tcW w:w="1559" w:type="dxa"/>
            <w:vAlign w:val="center"/>
          </w:tcPr>
          <w:p w14:paraId="1FF79486">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0.1</w:t>
            </w:r>
          </w:p>
        </w:tc>
        <w:tc>
          <w:tcPr>
            <w:tcW w:w="1761" w:type="dxa"/>
            <w:vAlign w:val="center"/>
          </w:tcPr>
          <w:p w14:paraId="78098C4D">
            <w:pPr>
              <w:adjustRightInd w:val="0"/>
              <w:snapToGrid w:val="0"/>
              <w:spacing w:line="240" w:lineRule="auto"/>
              <w:ind w:firstLine="0" w:firstLineChars="0"/>
              <w:jc w:val="center"/>
              <w:rPr>
                <w:snapToGrid w:val="0"/>
                <w:kern w:val="21"/>
                <w:u w:val="single"/>
              </w:rPr>
            </w:pPr>
            <w:r>
              <w:rPr>
                <w:rFonts w:hint="eastAsia"/>
                <w:snapToGrid w:val="0"/>
                <w:kern w:val="21"/>
                <w:u w:val="single"/>
              </w:rPr>
              <w:t>/</w:t>
            </w:r>
          </w:p>
        </w:tc>
        <w:tc>
          <w:tcPr>
            <w:tcW w:w="1629" w:type="dxa"/>
            <w:vAlign w:val="center"/>
          </w:tcPr>
          <w:p w14:paraId="21586BF2">
            <w:pPr>
              <w:adjustRightInd w:val="0"/>
              <w:snapToGrid w:val="0"/>
              <w:spacing w:line="240" w:lineRule="auto"/>
              <w:ind w:firstLine="0" w:firstLineChars="0"/>
              <w:jc w:val="center"/>
              <w:rPr>
                <w:rFonts w:hint="eastAsia" w:eastAsia="宋体"/>
                <w:snapToGrid w:val="0"/>
                <w:kern w:val="21"/>
                <w:u w:val="single"/>
                <w:lang w:val="en-US" w:eastAsia="zh-CN"/>
              </w:rPr>
            </w:pPr>
            <w:r>
              <w:rPr>
                <w:rFonts w:hint="eastAsia"/>
                <w:snapToGrid w:val="0"/>
                <w:kern w:val="21"/>
                <w:u w:val="single"/>
                <w:lang w:val="en-US" w:eastAsia="zh-CN"/>
              </w:rPr>
              <w:t>/</w:t>
            </w:r>
          </w:p>
        </w:tc>
        <w:tc>
          <w:tcPr>
            <w:tcW w:w="1156" w:type="dxa"/>
            <w:vAlign w:val="center"/>
          </w:tcPr>
          <w:p w14:paraId="5831F40F">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+0.1</w:t>
            </w:r>
          </w:p>
        </w:tc>
      </w:tr>
      <w:tr w14:paraId="5F8B85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88" w:type="dxa"/>
            <w:vMerge w:val="continue"/>
            <w:vAlign w:val="center"/>
          </w:tcPr>
          <w:p w14:paraId="5DC58217">
            <w:pPr>
              <w:pStyle w:val="120"/>
              <w:spacing w:line="240" w:lineRule="auto"/>
              <w:ind w:firstLine="0" w:firstLineChars="0"/>
              <w:jc w:val="center"/>
              <w:rPr>
                <w:rFonts w:cs="Times New Roman"/>
                <w:sz w:val="24"/>
                <w:szCs w:val="24"/>
                <w:u w:val="single"/>
              </w:rPr>
            </w:pPr>
          </w:p>
        </w:tc>
        <w:tc>
          <w:tcPr>
            <w:tcW w:w="1417" w:type="dxa"/>
            <w:vAlign w:val="center"/>
          </w:tcPr>
          <w:p w14:paraId="7D1C9BD8">
            <w:pPr>
              <w:pStyle w:val="120"/>
              <w:spacing w:line="240" w:lineRule="auto"/>
              <w:ind w:firstLine="0" w:firstLineChars="0"/>
              <w:jc w:val="center"/>
              <w:rPr>
                <w:rFonts w:cs="Times New Roman"/>
                <w:snapToGrid w:val="0"/>
                <w:kern w:val="21"/>
                <w:sz w:val="24"/>
                <w:szCs w:val="24"/>
                <w:highlight w:val="none"/>
                <w:u w:val="single"/>
              </w:rPr>
            </w:pPr>
            <w:r>
              <w:rPr>
                <w:rFonts w:cs="Times New Roman"/>
                <w:snapToGrid w:val="0"/>
                <w:kern w:val="21"/>
                <w:sz w:val="24"/>
                <w:szCs w:val="24"/>
                <w:highlight w:val="none"/>
                <w:u w:val="single"/>
              </w:rPr>
              <w:t>废油桶</w:t>
            </w:r>
          </w:p>
        </w:tc>
        <w:tc>
          <w:tcPr>
            <w:tcW w:w="1701" w:type="dxa"/>
            <w:shd w:val="clear" w:color="auto" w:fill="auto"/>
            <w:vAlign w:val="center"/>
          </w:tcPr>
          <w:p w14:paraId="4D93B876">
            <w:pPr>
              <w:widowControl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single"/>
                <w:lang w:val="en-US" w:eastAsia="zh-CN" w:bidi="ar-SA"/>
              </w:rPr>
            </w:pPr>
            <w:r>
              <w:rPr>
                <w:rFonts w:hint="eastAsia"/>
                <w:snapToGrid w:val="0"/>
                <w:kern w:val="21"/>
                <w:sz w:val="21"/>
                <w:szCs w:val="21"/>
                <w:highlight w:val="none"/>
                <w:u w:val="single"/>
                <w:lang w:val="en-US" w:eastAsia="zh-CN"/>
              </w:rPr>
              <w:t>3</w:t>
            </w:r>
          </w:p>
        </w:tc>
        <w:tc>
          <w:tcPr>
            <w:tcW w:w="1276" w:type="dxa"/>
            <w:vAlign w:val="center"/>
          </w:tcPr>
          <w:p w14:paraId="37185E9C">
            <w:pPr>
              <w:adjustRightInd w:val="0"/>
              <w:snapToGrid w:val="0"/>
              <w:spacing w:line="240" w:lineRule="auto"/>
              <w:ind w:firstLine="0" w:firstLineChars="0"/>
              <w:jc w:val="center"/>
              <w:rPr>
                <w:snapToGrid w:val="0"/>
                <w:kern w:val="21"/>
                <w:u w:val="single"/>
              </w:rPr>
            </w:pPr>
            <w:r>
              <w:rPr>
                <w:rFonts w:hint="eastAsia"/>
                <w:snapToGrid w:val="0"/>
                <w:kern w:val="21"/>
                <w:u w:val="single"/>
              </w:rPr>
              <w:t>/</w:t>
            </w:r>
          </w:p>
        </w:tc>
        <w:tc>
          <w:tcPr>
            <w:tcW w:w="1701" w:type="dxa"/>
            <w:vAlign w:val="center"/>
          </w:tcPr>
          <w:p w14:paraId="3CF2550C">
            <w:pPr>
              <w:adjustRightInd w:val="0"/>
              <w:snapToGrid w:val="0"/>
              <w:spacing w:line="240" w:lineRule="auto"/>
              <w:ind w:firstLine="0" w:firstLineChars="0"/>
              <w:jc w:val="center"/>
              <w:rPr>
                <w:snapToGrid w:val="0"/>
                <w:kern w:val="21"/>
                <w:u w:val="single"/>
              </w:rPr>
            </w:pPr>
            <w:r>
              <w:rPr>
                <w:rFonts w:hint="eastAsia"/>
                <w:snapToGrid w:val="0"/>
                <w:kern w:val="21"/>
                <w:u w:val="single"/>
              </w:rPr>
              <w:t>/</w:t>
            </w:r>
          </w:p>
        </w:tc>
        <w:tc>
          <w:tcPr>
            <w:tcW w:w="1559" w:type="dxa"/>
            <w:vAlign w:val="center"/>
          </w:tcPr>
          <w:p w14:paraId="37B5870D">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0.04</w:t>
            </w:r>
          </w:p>
        </w:tc>
        <w:tc>
          <w:tcPr>
            <w:tcW w:w="1761" w:type="dxa"/>
            <w:vAlign w:val="center"/>
          </w:tcPr>
          <w:p w14:paraId="4A0AC175">
            <w:pPr>
              <w:adjustRightInd w:val="0"/>
              <w:snapToGrid w:val="0"/>
              <w:spacing w:line="240" w:lineRule="auto"/>
              <w:ind w:firstLine="0" w:firstLineChars="0"/>
              <w:jc w:val="center"/>
              <w:rPr>
                <w:snapToGrid w:val="0"/>
                <w:kern w:val="21"/>
                <w:u w:val="single"/>
              </w:rPr>
            </w:pPr>
            <w:r>
              <w:rPr>
                <w:rFonts w:hint="eastAsia"/>
                <w:snapToGrid w:val="0"/>
                <w:kern w:val="21"/>
                <w:u w:val="single"/>
              </w:rPr>
              <w:t>/</w:t>
            </w:r>
          </w:p>
        </w:tc>
        <w:tc>
          <w:tcPr>
            <w:tcW w:w="1629" w:type="dxa"/>
            <w:vAlign w:val="center"/>
          </w:tcPr>
          <w:p w14:paraId="19AC8723">
            <w:pPr>
              <w:adjustRightInd w:val="0"/>
              <w:snapToGrid w:val="0"/>
              <w:spacing w:line="240" w:lineRule="auto"/>
              <w:ind w:firstLine="0" w:firstLineChars="0"/>
              <w:jc w:val="center"/>
              <w:rPr>
                <w:rFonts w:hint="eastAsia" w:eastAsia="宋体"/>
                <w:snapToGrid w:val="0"/>
                <w:kern w:val="21"/>
                <w:u w:val="single"/>
                <w:lang w:val="en-US" w:eastAsia="zh-CN"/>
              </w:rPr>
            </w:pPr>
            <w:r>
              <w:rPr>
                <w:rFonts w:hint="eastAsia"/>
                <w:snapToGrid w:val="0"/>
                <w:kern w:val="21"/>
                <w:u w:val="single"/>
                <w:lang w:val="en-US" w:eastAsia="zh-CN"/>
              </w:rPr>
              <w:t>/</w:t>
            </w:r>
          </w:p>
        </w:tc>
        <w:tc>
          <w:tcPr>
            <w:tcW w:w="1156" w:type="dxa"/>
            <w:vAlign w:val="center"/>
          </w:tcPr>
          <w:p w14:paraId="0AC91732">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+0.04</w:t>
            </w:r>
          </w:p>
        </w:tc>
      </w:tr>
      <w:tr w14:paraId="4D77B1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88" w:type="dxa"/>
            <w:vMerge w:val="continue"/>
            <w:vAlign w:val="center"/>
          </w:tcPr>
          <w:p w14:paraId="06910D69">
            <w:pPr>
              <w:pStyle w:val="120"/>
              <w:spacing w:line="240" w:lineRule="auto"/>
              <w:ind w:firstLine="0" w:firstLineChars="0"/>
              <w:jc w:val="center"/>
              <w:rPr>
                <w:rFonts w:cs="Times New Roman"/>
                <w:snapToGrid w:val="0"/>
                <w:color w:val="000000"/>
                <w:kern w:val="21"/>
                <w:sz w:val="24"/>
                <w:szCs w:val="24"/>
                <w:u w:val="single"/>
              </w:rPr>
            </w:pPr>
          </w:p>
        </w:tc>
        <w:tc>
          <w:tcPr>
            <w:tcW w:w="1417" w:type="dxa"/>
            <w:vAlign w:val="center"/>
          </w:tcPr>
          <w:p w14:paraId="05BC2BEC">
            <w:pPr>
              <w:pStyle w:val="120"/>
              <w:spacing w:line="240" w:lineRule="auto"/>
              <w:ind w:firstLine="0" w:firstLineChars="0"/>
              <w:jc w:val="center"/>
              <w:rPr>
                <w:rFonts w:cs="Times New Roman"/>
                <w:snapToGrid w:val="0"/>
                <w:kern w:val="21"/>
                <w:sz w:val="24"/>
                <w:szCs w:val="24"/>
                <w:highlight w:val="none"/>
                <w:u w:val="single"/>
              </w:rPr>
            </w:pPr>
            <w:r>
              <w:rPr>
                <w:rFonts w:cs="Times New Roman"/>
                <w:sz w:val="24"/>
                <w:szCs w:val="24"/>
                <w:highlight w:val="none"/>
                <w:u w:val="single"/>
              </w:rPr>
              <w:t>废含油抹布、手套</w:t>
            </w:r>
          </w:p>
        </w:tc>
        <w:tc>
          <w:tcPr>
            <w:tcW w:w="1701" w:type="dxa"/>
            <w:shd w:val="clear" w:color="auto" w:fill="auto"/>
            <w:vAlign w:val="center"/>
          </w:tcPr>
          <w:p w14:paraId="1EEDA7BF">
            <w:pPr>
              <w:widowControl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single"/>
                <w:lang w:val="en-US" w:eastAsia="zh-CN" w:bidi="ar-SA"/>
              </w:rPr>
            </w:pPr>
            <w:r>
              <w:rPr>
                <w:rFonts w:hint="eastAsia"/>
                <w:snapToGrid w:val="0"/>
                <w:kern w:val="21"/>
                <w:sz w:val="21"/>
                <w:szCs w:val="21"/>
                <w:highlight w:val="none"/>
                <w:u w:val="single"/>
                <w:lang w:val="en-US" w:eastAsia="zh-CN"/>
              </w:rPr>
              <w:t>0.6</w:t>
            </w:r>
          </w:p>
        </w:tc>
        <w:tc>
          <w:tcPr>
            <w:tcW w:w="1276" w:type="dxa"/>
            <w:vAlign w:val="center"/>
          </w:tcPr>
          <w:p w14:paraId="1E4907E8">
            <w:pPr>
              <w:adjustRightInd w:val="0"/>
              <w:snapToGrid w:val="0"/>
              <w:spacing w:line="240" w:lineRule="auto"/>
              <w:ind w:firstLine="0" w:firstLineChars="0"/>
              <w:jc w:val="center"/>
              <w:rPr>
                <w:snapToGrid w:val="0"/>
                <w:kern w:val="21"/>
                <w:u w:val="single"/>
              </w:rPr>
            </w:pPr>
            <w:r>
              <w:rPr>
                <w:rFonts w:hint="eastAsia"/>
                <w:snapToGrid w:val="0"/>
                <w:kern w:val="21"/>
                <w:u w:val="single"/>
              </w:rPr>
              <w:t>/</w:t>
            </w:r>
          </w:p>
        </w:tc>
        <w:tc>
          <w:tcPr>
            <w:tcW w:w="1701" w:type="dxa"/>
            <w:vAlign w:val="center"/>
          </w:tcPr>
          <w:p w14:paraId="72C107A0">
            <w:pPr>
              <w:adjustRightInd w:val="0"/>
              <w:snapToGrid w:val="0"/>
              <w:spacing w:line="240" w:lineRule="auto"/>
              <w:ind w:firstLine="0" w:firstLineChars="0"/>
              <w:jc w:val="center"/>
              <w:rPr>
                <w:snapToGrid w:val="0"/>
                <w:kern w:val="21"/>
                <w:u w:val="single"/>
              </w:rPr>
            </w:pPr>
            <w:r>
              <w:rPr>
                <w:rFonts w:hint="eastAsia"/>
                <w:snapToGrid w:val="0"/>
                <w:kern w:val="21"/>
                <w:u w:val="single"/>
              </w:rPr>
              <w:t>/</w:t>
            </w:r>
          </w:p>
        </w:tc>
        <w:tc>
          <w:tcPr>
            <w:tcW w:w="1559" w:type="dxa"/>
            <w:vAlign w:val="center"/>
          </w:tcPr>
          <w:p w14:paraId="724E75BD">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0.005</w:t>
            </w:r>
          </w:p>
        </w:tc>
        <w:tc>
          <w:tcPr>
            <w:tcW w:w="1761" w:type="dxa"/>
            <w:vAlign w:val="center"/>
          </w:tcPr>
          <w:p w14:paraId="4707D429">
            <w:pPr>
              <w:adjustRightInd w:val="0"/>
              <w:snapToGrid w:val="0"/>
              <w:spacing w:line="240" w:lineRule="auto"/>
              <w:ind w:firstLine="0" w:firstLineChars="0"/>
              <w:jc w:val="center"/>
              <w:rPr>
                <w:snapToGrid w:val="0"/>
                <w:kern w:val="21"/>
                <w:u w:val="single"/>
              </w:rPr>
            </w:pPr>
            <w:r>
              <w:rPr>
                <w:rFonts w:hint="eastAsia"/>
                <w:snapToGrid w:val="0"/>
                <w:kern w:val="21"/>
                <w:u w:val="single"/>
              </w:rPr>
              <w:t>/</w:t>
            </w:r>
          </w:p>
        </w:tc>
        <w:tc>
          <w:tcPr>
            <w:tcW w:w="1629" w:type="dxa"/>
            <w:vAlign w:val="center"/>
          </w:tcPr>
          <w:p w14:paraId="12631685">
            <w:pPr>
              <w:adjustRightInd w:val="0"/>
              <w:snapToGrid w:val="0"/>
              <w:spacing w:line="240" w:lineRule="auto"/>
              <w:ind w:firstLine="0" w:firstLineChars="0"/>
              <w:jc w:val="center"/>
              <w:rPr>
                <w:rFonts w:hint="eastAsia" w:eastAsia="宋体"/>
                <w:snapToGrid w:val="0"/>
                <w:kern w:val="21"/>
                <w:u w:val="single"/>
                <w:lang w:val="en-US" w:eastAsia="zh-CN"/>
              </w:rPr>
            </w:pPr>
            <w:r>
              <w:rPr>
                <w:rFonts w:hint="eastAsia"/>
                <w:snapToGrid w:val="0"/>
                <w:kern w:val="21"/>
                <w:u w:val="single"/>
                <w:lang w:val="en-US" w:eastAsia="zh-CN"/>
              </w:rPr>
              <w:t>/</w:t>
            </w:r>
          </w:p>
        </w:tc>
        <w:tc>
          <w:tcPr>
            <w:tcW w:w="1156" w:type="dxa"/>
            <w:vAlign w:val="center"/>
          </w:tcPr>
          <w:p w14:paraId="7E6395D3">
            <w:pPr>
              <w:pStyle w:val="120"/>
              <w:spacing w:line="240" w:lineRule="auto"/>
              <w:ind w:firstLine="0" w:firstLineChars="0"/>
              <w:jc w:val="center"/>
              <w:rPr>
                <w:rFonts w:hint="default" w:eastAsia="宋体" w:cs="Times New Roman"/>
                <w:snapToGrid w:val="0"/>
                <w:kern w:val="21"/>
                <w:sz w:val="24"/>
                <w:szCs w:val="24"/>
                <w:u w:val="single"/>
                <w:lang w:val="en-US" w:eastAsia="zh-CN"/>
              </w:rPr>
            </w:pPr>
            <w:r>
              <w:rPr>
                <w:rFonts w:hint="eastAsia" w:cs="Times New Roman"/>
                <w:snapToGrid w:val="0"/>
                <w:kern w:val="21"/>
                <w:sz w:val="24"/>
                <w:szCs w:val="24"/>
                <w:u w:val="single"/>
                <w:lang w:val="en-US" w:eastAsia="zh-CN"/>
              </w:rPr>
              <w:t>+0.005</w:t>
            </w:r>
          </w:p>
        </w:tc>
      </w:tr>
    </w:tbl>
    <w:p w14:paraId="03E5DEE2">
      <w:pPr>
        <w:pStyle w:val="120"/>
        <w:spacing w:before="192" w:beforeLines="80" w:after="24"/>
        <w:ind w:firstLine="420"/>
        <w:rPr>
          <w:rFonts w:cs="Times New Roman"/>
          <w:snapToGrid w:val="0"/>
          <w:color w:val="000000"/>
          <w:spacing w:val="-6"/>
          <w:kern w:val="21"/>
        </w:rPr>
        <w:sectPr>
          <w:pgSz w:w="16838" w:h="11906" w:orient="landscape"/>
          <w:pgMar w:top="1701" w:right="1418" w:bottom="1418" w:left="1417" w:header="851" w:footer="992" w:gutter="0"/>
          <w:pgBorders>
            <w:top w:val="none" w:sz="0" w:space="0"/>
            <w:left w:val="none" w:sz="0" w:space="0"/>
            <w:bottom w:val="none" w:sz="0" w:space="0"/>
            <w:right w:val="none" w:sz="0" w:space="0"/>
          </w:pgBorders>
          <w:cols w:space="720" w:num="1"/>
          <w:docGrid w:linePitch="326" w:charSpace="0"/>
        </w:sectPr>
      </w:pPr>
      <w:r>
        <w:rPr>
          <w:rFonts w:cs="Times New Roman"/>
          <w:snapToGrid w:val="0"/>
          <w:color w:val="000000"/>
          <w:kern w:val="21"/>
        </w:rPr>
        <w:t>注：</w:t>
      </w:r>
      <w:r>
        <w:rPr>
          <w:rFonts w:cs="Times New Roman"/>
          <w:snapToGrid w:val="0"/>
          <w:color w:val="000000"/>
          <w:spacing w:val="-16"/>
          <w:kern w:val="21"/>
        </w:rPr>
        <w:fldChar w:fldCharType="begin"/>
      </w:r>
      <w:r>
        <w:rPr>
          <w:rFonts w:cs="Times New Roman"/>
          <w:snapToGrid w:val="0"/>
          <w:color w:val="000000"/>
          <w:spacing w:val="-16"/>
          <w:kern w:val="21"/>
        </w:rPr>
        <w:instrText xml:space="preserve"> = 6 \* GB3 \* MERGEFORMAT </w:instrText>
      </w:r>
      <w:r>
        <w:rPr>
          <w:rFonts w:cs="Times New Roman"/>
          <w:snapToGrid w:val="0"/>
          <w:color w:val="000000"/>
          <w:spacing w:val="-16"/>
          <w:kern w:val="21"/>
        </w:rPr>
        <w:fldChar w:fldCharType="separate"/>
      </w:r>
      <w:r>
        <w:rPr>
          <w:rFonts w:hint="eastAsia" w:cs="宋体"/>
        </w:rPr>
        <w:t>⑥</w:t>
      </w:r>
      <w:r>
        <w:rPr>
          <w:rFonts w:cs="Times New Roman"/>
          <w:snapToGrid w:val="0"/>
          <w:color w:val="000000"/>
          <w:spacing w:val="-16"/>
          <w:kern w:val="21"/>
        </w:rPr>
        <w:fldChar w:fldCharType="end"/>
      </w:r>
      <w:r>
        <w:rPr>
          <w:rFonts w:cs="Times New Roman"/>
          <w:snapToGrid w:val="0"/>
          <w:color w:val="000000"/>
          <w:spacing w:val="-16"/>
          <w:kern w:val="21"/>
        </w:rPr>
        <w:t>=</w:t>
      </w:r>
      <w:r>
        <w:rPr>
          <w:rFonts w:cs="Times New Roman"/>
          <w:snapToGrid w:val="0"/>
          <w:color w:val="000000"/>
          <w:spacing w:val="-6"/>
          <w:kern w:val="21"/>
        </w:rPr>
        <w:fldChar w:fldCharType="begin"/>
      </w:r>
      <w:r>
        <w:rPr>
          <w:rFonts w:cs="Times New Roman"/>
          <w:snapToGrid w:val="0"/>
          <w:color w:val="000000"/>
          <w:spacing w:val="-6"/>
          <w:kern w:val="21"/>
        </w:rPr>
        <w:instrText xml:space="preserve"> = 1 \* GB3 \* MERGEFORMAT </w:instrText>
      </w:r>
      <w:r>
        <w:rPr>
          <w:rFonts w:cs="Times New Roman"/>
          <w:snapToGrid w:val="0"/>
          <w:color w:val="000000"/>
          <w:spacing w:val="-6"/>
          <w:kern w:val="21"/>
        </w:rPr>
        <w:fldChar w:fldCharType="separate"/>
      </w:r>
      <w:r>
        <w:rPr>
          <w:rFonts w:hint="eastAsia" w:cs="宋体"/>
        </w:rPr>
        <w:t>①</w:t>
      </w:r>
      <w:r>
        <w:rPr>
          <w:rFonts w:cs="Times New Roman"/>
          <w:snapToGrid w:val="0"/>
          <w:color w:val="000000"/>
          <w:spacing w:val="-6"/>
          <w:kern w:val="21"/>
        </w:rPr>
        <w:fldChar w:fldCharType="end"/>
      </w:r>
      <w:r>
        <w:rPr>
          <w:rFonts w:cs="Times New Roman"/>
          <w:snapToGrid w:val="0"/>
          <w:color w:val="000000"/>
          <w:spacing w:val="-6"/>
          <w:kern w:val="21"/>
        </w:rPr>
        <w:t>+</w:t>
      </w:r>
      <w:r>
        <w:rPr>
          <w:rFonts w:cs="Times New Roman"/>
          <w:snapToGrid w:val="0"/>
          <w:color w:val="000000"/>
          <w:spacing w:val="-6"/>
          <w:kern w:val="21"/>
        </w:rPr>
        <w:fldChar w:fldCharType="begin"/>
      </w:r>
      <w:r>
        <w:rPr>
          <w:rFonts w:cs="Times New Roman"/>
          <w:snapToGrid w:val="0"/>
          <w:color w:val="000000"/>
          <w:spacing w:val="-6"/>
          <w:kern w:val="21"/>
        </w:rPr>
        <w:instrText xml:space="preserve"> = 3 \* GB3 \* MERGEFORMAT </w:instrText>
      </w:r>
      <w:r>
        <w:rPr>
          <w:rFonts w:cs="Times New Roman"/>
          <w:snapToGrid w:val="0"/>
          <w:color w:val="000000"/>
          <w:spacing w:val="-6"/>
          <w:kern w:val="21"/>
        </w:rPr>
        <w:fldChar w:fldCharType="separate"/>
      </w:r>
      <w:r>
        <w:rPr>
          <w:rFonts w:hint="eastAsia" w:cs="宋体"/>
        </w:rPr>
        <w:t>③</w:t>
      </w:r>
      <w:r>
        <w:rPr>
          <w:rFonts w:cs="Times New Roman"/>
          <w:snapToGrid w:val="0"/>
          <w:color w:val="000000"/>
          <w:spacing w:val="-6"/>
          <w:kern w:val="21"/>
        </w:rPr>
        <w:fldChar w:fldCharType="end"/>
      </w:r>
      <w:r>
        <w:rPr>
          <w:rFonts w:cs="Times New Roman"/>
          <w:snapToGrid w:val="0"/>
          <w:color w:val="000000"/>
          <w:spacing w:val="-6"/>
          <w:kern w:val="21"/>
        </w:rPr>
        <w:t>+</w:t>
      </w:r>
      <w:r>
        <w:rPr>
          <w:rFonts w:cs="Times New Roman"/>
          <w:snapToGrid w:val="0"/>
          <w:color w:val="000000"/>
          <w:spacing w:val="-6"/>
          <w:kern w:val="21"/>
        </w:rPr>
        <w:fldChar w:fldCharType="begin"/>
      </w:r>
      <w:r>
        <w:rPr>
          <w:rFonts w:cs="Times New Roman"/>
          <w:snapToGrid w:val="0"/>
          <w:color w:val="000000"/>
          <w:spacing w:val="-6"/>
          <w:kern w:val="21"/>
        </w:rPr>
        <w:instrText xml:space="preserve"> = 4 \* GB3 \* MERGEFORMAT </w:instrText>
      </w:r>
      <w:r>
        <w:rPr>
          <w:rFonts w:cs="Times New Roman"/>
          <w:snapToGrid w:val="0"/>
          <w:color w:val="000000"/>
          <w:spacing w:val="-6"/>
          <w:kern w:val="21"/>
        </w:rPr>
        <w:fldChar w:fldCharType="separate"/>
      </w:r>
      <w:r>
        <w:rPr>
          <w:rFonts w:hint="eastAsia" w:cs="宋体"/>
        </w:rPr>
        <w:t>④</w:t>
      </w:r>
      <w:r>
        <w:rPr>
          <w:rFonts w:cs="Times New Roman"/>
          <w:snapToGrid w:val="0"/>
          <w:color w:val="000000"/>
          <w:spacing w:val="-6"/>
          <w:kern w:val="21"/>
        </w:rPr>
        <w:fldChar w:fldCharType="end"/>
      </w:r>
      <w:r>
        <w:rPr>
          <w:rFonts w:cs="Times New Roman"/>
          <w:snapToGrid w:val="0"/>
          <w:color w:val="000000"/>
          <w:spacing w:val="-6"/>
          <w:kern w:val="21"/>
        </w:rPr>
        <w:t>-</w:t>
      </w:r>
      <w:r>
        <w:rPr>
          <w:rFonts w:cs="Times New Roman"/>
          <w:snapToGrid w:val="0"/>
          <w:color w:val="000000"/>
          <w:spacing w:val="-16"/>
          <w:kern w:val="21"/>
        </w:rPr>
        <w:fldChar w:fldCharType="begin"/>
      </w:r>
      <w:r>
        <w:rPr>
          <w:rFonts w:cs="Times New Roman"/>
          <w:snapToGrid w:val="0"/>
          <w:color w:val="000000"/>
          <w:spacing w:val="-16"/>
          <w:kern w:val="21"/>
        </w:rPr>
        <w:instrText xml:space="preserve"> = 5 \* GB3 \* MERGEFORMAT </w:instrText>
      </w:r>
      <w:r>
        <w:rPr>
          <w:rFonts w:cs="Times New Roman"/>
          <w:snapToGrid w:val="0"/>
          <w:color w:val="000000"/>
          <w:spacing w:val="-16"/>
          <w:kern w:val="21"/>
        </w:rPr>
        <w:fldChar w:fldCharType="separate"/>
      </w:r>
      <w:r>
        <w:rPr>
          <w:rFonts w:hint="eastAsia" w:cs="宋体"/>
        </w:rPr>
        <w:t>⑤</w:t>
      </w:r>
      <w:r>
        <w:rPr>
          <w:rFonts w:cs="Times New Roman"/>
          <w:snapToGrid w:val="0"/>
          <w:color w:val="000000"/>
          <w:spacing w:val="-16"/>
          <w:kern w:val="21"/>
        </w:rPr>
        <w:fldChar w:fldCharType="end"/>
      </w:r>
      <w:r>
        <w:rPr>
          <w:rFonts w:cs="Times New Roman"/>
          <w:snapToGrid w:val="0"/>
          <w:color w:val="000000"/>
          <w:spacing w:val="-16"/>
          <w:kern w:val="21"/>
        </w:rPr>
        <w:t>；</w:t>
      </w:r>
      <w:r>
        <w:rPr>
          <w:rFonts w:cs="Times New Roman"/>
          <w:snapToGrid w:val="0"/>
          <w:color w:val="000000"/>
          <w:spacing w:val="-6"/>
          <w:kern w:val="21"/>
        </w:rPr>
        <w:fldChar w:fldCharType="begin"/>
      </w:r>
      <w:r>
        <w:rPr>
          <w:rFonts w:cs="Times New Roman"/>
          <w:snapToGrid w:val="0"/>
          <w:color w:val="000000"/>
          <w:spacing w:val="-6"/>
          <w:kern w:val="21"/>
        </w:rPr>
        <w:instrText xml:space="preserve"> = 7 \* GB3 \* MERGEFORMAT </w:instrText>
      </w:r>
      <w:r>
        <w:rPr>
          <w:rFonts w:cs="Times New Roman"/>
          <w:snapToGrid w:val="0"/>
          <w:color w:val="000000"/>
          <w:spacing w:val="-6"/>
          <w:kern w:val="21"/>
        </w:rPr>
        <w:fldChar w:fldCharType="separate"/>
      </w:r>
      <w:r>
        <w:rPr>
          <w:rFonts w:hint="eastAsia" w:cs="宋体"/>
        </w:rPr>
        <w:t>⑦</w:t>
      </w:r>
      <w:r>
        <w:rPr>
          <w:rFonts w:cs="Times New Roman"/>
          <w:snapToGrid w:val="0"/>
          <w:color w:val="000000"/>
          <w:spacing w:val="-6"/>
          <w:kern w:val="21"/>
        </w:rPr>
        <w:fldChar w:fldCharType="end"/>
      </w:r>
      <w:r>
        <w:rPr>
          <w:rFonts w:cs="Times New Roman"/>
          <w:snapToGrid w:val="0"/>
          <w:color w:val="000000"/>
          <w:spacing w:val="-6"/>
          <w:kern w:val="21"/>
        </w:rPr>
        <w:t>=</w:t>
      </w:r>
      <w:r>
        <w:rPr>
          <w:rFonts w:cs="Times New Roman"/>
          <w:snapToGrid w:val="0"/>
          <w:color w:val="000000"/>
          <w:spacing w:val="-16"/>
          <w:kern w:val="21"/>
        </w:rPr>
        <w:fldChar w:fldCharType="begin"/>
      </w:r>
      <w:r>
        <w:rPr>
          <w:rFonts w:cs="Times New Roman"/>
          <w:snapToGrid w:val="0"/>
          <w:color w:val="000000"/>
          <w:spacing w:val="-16"/>
          <w:kern w:val="21"/>
        </w:rPr>
        <w:instrText xml:space="preserve"> = 6 \* GB3 \* MERGEFORMAT </w:instrText>
      </w:r>
      <w:r>
        <w:rPr>
          <w:rFonts w:cs="Times New Roman"/>
          <w:snapToGrid w:val="0"/>
          <w:color w:val="000000"/>
          <w:spacing w:val="-16"/>
          <w:kern w:val="21"/>
        </w:rPr>
        <w:fldChar w:fldCharType="separate"/>
      </w:r>
      <w:r>
        <w:rPr>
          <w:rFonts w:hint="eastAsia" w:cs="宋体"/>
        </w:rPr>
        <w:t>⑥</w:t>
      </w:r>
      <w:r>
        <w:rPr>
          <w:rFonts w:cs="Times New Roman"/>
          <w:snapToGrid w:val="0"/>
          <w:color w:val="000000"/>
          <w:spacing w:val="-16"/>
          <w:kern w:val="21"/>
        </w:rPr>
        <w:fldChar w:fldCharType="end"/>
      </w:r>
      <w:r>
        <w:rPr>
          <w:rFonts w:cs="Times New Roman"/>
          <w:snapToGrid w:val="0"/>
          <w:color w:val="000000"/>
          <w:spacing w:val="-16"/>
          <w:kern w:val="21"/>
        </w:rPr>
        <w:t>-</w:t>
      </w:r>
      <w:r>
        <w:rPr>
          <w:rFonts w:cs="Times New Roman"/>
          <w:snapToGrid w:val="0"/>
          <w:color w:val="000000"/>
          <w:spacing w:val="-6"/>
          <w:kern w:val="21"/>
        </w:rPr>
        <w:fldChar w:fldCharType="begin"/>
      </w:r>
      <w:r>
        <w:rPr>
          <w:rFonts w:cs="Times New Roman"/>
          <w:snapToGrid w:val="0"/>
          <w:color w:val="000000"/>
          <w:spacing w:val="-6"/>
          <w:kern w:val="21"/>
        </w:rPr>
        <w:instrText xml:space="preserve"> = 1 \* GB3 \* MERGEFORMAT </w:instrText>
      </w:r>
      <w:r>
        <w:rPr>
          <w:rFonts w:cs="Times New Roman"/>
          <w:snapToGrid w:val="0"/>
          <w:color w:val="000000"/>
          <w:spacing w:val="-6"/>
          <w:kern w:val="21"/>
        </w:rPr>
        <w:fldChar w:fldCharType="separate"/>
      </w:r>
      <w:r>
        <w:rPr>
          <w:rFonts w:hint="eastAsia" w:cs="宋体"/>
        </w:rPr>
        <w:t>①</w:t>
      </w:r>
      <w:r>
        <w:rPr>
          <w:rFonts w:cs="Times New Roman"/>
          <w:snapToGrid w:val="0"/>
          <w:color w:val="000000"/>
          <w:spacing w:val="-6"/>
          <w:kern w:val="21"/>
        </w:rPr>
        <w:fldChar w:fldCharType="end"/>
      </w:r>
    </w:p>
    <w:p w14:paraId="5C067B98">
      <w:pPr>
        <w:pStyle w:val="14"/>
        <w:widowControl w:val="0"/>
        <w:numPr>
          <w:ilvl w:val="0"/>
          <w:numId w:val="32"/>
        </w:numPr>
        <w:tabs>
          <w:tab w:val="left" w:pos="283"/>
        </w:tabs>
        <w:spacing w:line="240" w:lineRule="auto"/>
        <w:ind w:firstLineChars="0"/>
        <w:jc w:val="left"/>
        <w:outlineLvl w:val="0"/>
      </w:pPr>
      <w:bookmarkStart w:id="173" w:name="_Toc11705"/>
      <w:bookmarkStart w:id="174" w:name="_Toc5448"/>
      <w:bookmarkStart w:id="175" w:name="_Toc28527"/>
      <w:bookmarkStart w:id="176" w:name="_Toc5711"/>
      <w:bookmarkStart w:id="177" w:name="_Toc8432"/>
      <w:bookmarkStart w:id="178" w:name="_Toc29176"/>
      <w:bookmarkStart w:id="179" w:name="_Toc31349"/>
      <w:bookmarkStart w:id="180" w:name="_Toc986"/>
      <w:bookmarkStart w:id="181" w:name="_Toc20189"/>
      <w:bookmarkStart w:id="182" w:name="_Toc23933"/>
      <w:bookmarkStart w:id="183" w:name="_Toc25673"/>
      <w:bookmarkStart w:id="184" w:name="_Toc26329"/>
      <w:bookmarkStart w:id="185" w:name="_Toc16989"/>
      <w:bookmarkStart w:id="186" w:name="_Toc20229"/>
      <w:bookmarkStart w:id="187" w:name="_Toc23425"/>
      <w:r>
        <w:rPr>
          <w:b/>
          <w:bCs/>
          <w:sz w:val="28"/>
          <w:szCs w:val="28"/>
        </w:rPr>
        <w:t>环评委托书</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2"/>
      </w:tblGrid>
      <w:tr w14:paraId="3A7D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3" w:hRule="atLeast"/>
        </w:trPr>
        <w:tc>
          <w:tcPr>
            <w:tcW w:w="9002" w:type="dxa"/>
            <w:vAlign w:val="center"/>
          </w:tcPr>
          <w:p w14:paraId="346D089B">
            <w:pPr>
              <w:widowControl w:val="0"/>
              <w:autoSpaceDE w:val="0"/>
              <w:autoSpaceDN w:val="0"/>
              <w:ind w:firstLine="0" w:firstLineChars="0"/>
              <w:jc w:val="center"/>
              <w:rPr>
                <w:rFonts w:hint="eastAsia" w:eastAsia="宋体"/>
                <w:lang w:eastAsia="zh-CN"/>
              </w:rPr>
            </w:pPr>
            <w:r>
              <w:drawing>
                <wp:inline distT="0" distB="0" distL="114300" distR="114300">
                  <wp:extent cx="5574665" cy="7885430"/>
                  <wp:effectExtent l="0" t="0" r="6985" b="1270"/>
                  <wp:docPr id="9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4"/>
                          <pic:cNvPicPr>
                            <a:picLocks noChangeAspect="1"/>
                          </pic:cNvPicPr>
                        </pic:nvPicPr>
                        <pic:blipFill>
                          <a:blip r:embed="rId35"/>
                          <a:stretch>
                            <a:fillRect/>
                          </a:stretch>
                        </pic:blipFill>
                        <pic:spPr>
                          <a:xfrm>
                            <a:off x="0" y="0"/>
                            <a:ext cx="5574665" cy="7885430"/>
                          </a:xfrm>
                          <a:prstGeom prst="rect">
                            <a:avLst/>
                          </a:prstGeom>
                          <a:noFill/>
                          <a:ln>
                            <a:noFill/>
                          </a:ln>
                        </pic:spPr>
                      </pic:pic>
                    </a:graphicData>
                  </a:graphic>
                </wp:inline>
              </w:drawing>
            </w:r>
          </w:p>
        </w:tc>
      </w:tr>
    </w:tbl>
    <w:p w14:paraId="48912871">
      <w:pPr>
        <w:widowControl w:val="0"/>
        <w:numPr>
          <w:ilvl w:val="0"/>
          <w:numId w:val="33"/>
        </w:numPr>
        <w:adjustRightInd w:val="0"/>
        <w:snapToGrid w:val="0"/>
        <w:ind w:left="0" w:firstLine="480"/>
        <w:outlineLvl w:val="0"/>
        <w:sectPr>
          <w:headerReference r:id="rId17" w:type="default"/>
          <w:footerReference r:id="rId18" w:type="even"/>
          <w:pgSz w:w="11905" w:h="16840"/>
          <w:pgMar w:top="1418" w:right="1418" w:bottom="1418" w:left="1701" w:header="851" w:footer="992" w:gutter="0"/>
          <w:pgBorders>
            <w:top w:val="none" w:sz="0" w:space="0"/>
            <w:left w:val="none" w:sz="0" w:space="0"/>
            <w:bottom w:val="none" w:sz="0" w:space="0"/>
            <w:right w:val="none" w:sz="0" w:space="0"/>
          </w:pgBorders>
          <w:cols w:space="720" w:num="1"/>
          <w:docGrid w:linePitch="326" w:charSpace="0"/>
        </w:sectPr>
      </w:pPr>
    </w:p>
    <w:p w14:paraId="181897D0">
      <w:pPr>
        <w:pStyle w:val="14"/>
        <w:widowControl w:val="0"/>
        <w:numPr>
          <w:ilvl w:val="0"/>
          <w:numId w:val="32"/>
        </w:numPr>
        <w:tabs>
          <w:tab w:val="left" w:pos="283"/>
        </w:tabs>
        <w:ind w:firstLineChars="0"/>
        <w:outlineLvl w:val="0"/>
        <w:rPr>
          <w:b/>
          <w:bCs/>
          <w:sz w:val="28"/>
          <w:szCs w:val="28"/>
        </w:rPr>
      </w:pPr>
      <w:bookmarkStart w:id="188" w:name="_Toc27672"/>
      <w:bookmarkStart w:id="189" w:name="_Toc7918"/>
      <w:bookmarkStart w:id="190" w:name="_Toc4485"/>
      <w:bookmarkStart w:id="191" w:name="_Toc23273"/>
      <w:bookmarkStart w:id="192" w:name="_Toc5837"/>
      <w:bookmarkStart w:id="193" w:name="_Toc28115"/>
      <w:r>
        <w:rPr>
          <w:rFonts w:hint="eastAsia"/>
          <w:b/>
          <w:bCs/>
          <w:sz w:val="28"/>
          <w:szCs w:val="28"/>
        </w:rPr>
        <w:t>营业执照</w:t>
      </w:r>
      <w:bookmarkEnd w:id="188"/>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3"/>
      </w:tblGrid>
      <w:tr w14:paraId="42E5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05BE72AD">
            <w:pPr>
              <w:widowControl w:val="0"/>
              <w:ind w:firstLine="0" w:firstLineChars="0"/>
              <w:rPr>
                <w:rFonts w:hint="eastAsia" w:eastAsia="宋体"/>
                <w:lang w:eastAsia="zh-CN"/>
              </w:rPr>
            </w:pPr>
            <w:r>
              <w:rPr>
                <w:rFonts w:hint="eastAsia" w:eastAsia="宋体"/>
                <w:lang w:eastAsia="zh-CN"/>
              </w:rPr>
              <w:drawing>
                <wp:inline distT="0" distB="0" distL="114300" distR="114300">
                  <wp:extent cx="5276850" cy="7458075"/>
                  <wp:effectExtent l="0" t="0" r="0" b="9525"/>
                  <wp:docPr id="9" name="图片 9" descr="岳阳电厂营业执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岳阳电厂营业执照"/>
                          <pic:cNvPicPr>
                            <a:picLocks noChangeAspect="1"/>
                          </pic:cNvPicPr>
                        </pic:nvPicPr>
                        <pic:blipFill>
                          <a:blip r:embed="rId36"/>
                          <a:stretch>
                            <a:fillRect/>
                          </a:stretch>
                        </pic:blipFill>
                        <pic:spPr>
                          <a:xfrm>
                            <a:off x="0" y="0"/>
                            <a:ext cx="5276850" cy="7458075"/>
                          </a:xfrm>
                          <a:prstGeom prst="rect">
                            <a:avLst/>
                          </a:prstGeom>
                        </pic:spPr>
                      </pic:pic>
                    </a:graphicData>
                  </a:graphic>
                </wp:inline>
              </w:drawing>
            </w:r>
          </w:p>
        </w:tc>
      </w:tr>
    </w:tbl>
    <w:p w14:paraId="4107D004">
      <w:pPr>
        <w:ind w:firstLine="480"/>
        <w:sectPr>
          <w:pgSz w:w="11905" w:h="16840"/>
          <w:pgMar w:top="1418" w:right="1417" w:bottom="1418" w:left="1701" w:header="851" w:footer="992" w:gutter="0"/>
          <w:pgBorders>
            <w:top w:val="none" w:sz="0" w:space="0"/>
            <w:left w:val="none" w:sz="0" w:space="0"/>
            <w:bottom w:val="none" w:sz="0" w:space="0"/>
            <w:right w:val="none" w:sz="0" w:space="0"/>
          </w:pgBorders>
          <w:cols w:space="0" w:num="1"/>
          <w:docGrid w:linePitch="326" w:charSpace="0"/>
        </w:sectPr>
      </w:pPr>
    </w:p>
    <w:p w14:paraId="22AD85EB">
      <w:pPr>
        <w:pStyle w:val="14"/>
        <w:widowControl w:val="0"/>
        <w:numPr>
          <w:ilvl w:val="0"/>
          <w:numId w:val="32"/>
        </w:numPr>
        <w:tabs>
          <w:tab w:val="left" w:pos="283"/>
        </w:tabs>
        <w:ind w:firstLineChars="0"/>
        <w:outlineLvl w:val="0"/>
        <w:rPr>
          <w:b/>
          <w:bCs/>
          <w:sz w:val="28"/>
          <w:szCs w:val="28"/>
        </w:rPr>
      </w:pPr>
      <w:bookmarkStart w:id="194" w:name="_Toc11761"/>
      <w:r>
        <w:rPr>
          <w:rFonts w:hint="eastAsia"/>
          <w:b/>
          <w:bCs/>
          <w:sz w:val="28"/>
          <w:szCs w:val="28"/>
          <w:lang w:val="en-US" w:eastAsia="zh-CN"/>
        </w:rPr>
        <w:t>排污许可证</w:t>
      </w:r>
      <w:bookmarkEnd w:id="194"/>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00"/>
      </w:tblGrid>
      <w:tr w14:paraId="2596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00" w:type="dxa"/>
            <w:vAlign w:val="center"/>
          </w:tcPr>
          <w:p w14:paraId="71DDD30F">
            <w:pPr>
              <w:widowControl/>
              <w:ind w:left="0" w:leftChars="0" w:right="0" w:rightChars="0" w:firstLine="0" w:firstLineChars="0"/>
              <w:jc w:val="center"/>
              <w:rPr>
                <w:rFonts w:hint="eastAsia" w:eastAsia="宋体"/>
                <w:lang w:eastAsia="zh-CN"/>
              </w:rPr>
            </w:pPr>
            <w:r>
              <w:rPr>
                <w:rFonts w:hint="eastAsia" w:eastAsia="宋体"/>
                <w:lang w:eastAsia="zh-CN"/>
              </w:rPr>
              <w:drawing>
                <wp:inline distT="0" distB="0" distL="114300" distR="114300">
                  <wp:extent cx="6725920" cy="4759325"/>
                  <wp:effectExtent l="0" t="0" r="17780" b="3175"/>
                  <wp:docPr id="5" name="图片 5" descr="岳阳电厂排污许可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岳阳电厂排污许可证"/>
                          <pic:cNvPicPr>
                            <a:picLocks noChangeAspect="1"/>
                          </pic:cNvPicPr>
                        </pic:nvPicPr>
                        <pic:blipFill>
                          <a:blip r:embed="rId37"/>
                          <a:stretch>
                            <a:fillRect/>
                          </a:stretch>
                        </pic:blipFill>
                        <pic:spPr>
                          <a:xfrm>
                            <a:off x="0" y="0"/>
                            <a:ext cx="6725920" cy="4759325"/>
                          </a:xfrm>
                          <a:prstGeom prst="rect">
                            <a:avLst/>
                          </a:prstGeom>
                        </pic:spPr>
                      </pic:pic>
                    </a:graphicData>
                  </a:graphic>
                </wp:inline>
              </w:drawing>
            </w:r>
          </w:p>
        </w:tc>
      </w:tr>
    </w:tbl>
    <w:p w14:paraId="46F6B548">
      <w:pPr>
        <w:ind w:firstLine="480"/>
        <w:sectPr>
          <w:pgSz w:w="16840" w:h="11905" w:orient="landscape"/>
          <w:pgMar w:top="1701" w:right="1418" w:bottom="1417" w:left="1418" w:header="851" w:footer="992" w:gutter="0"/>
          <w:pgBorders>
            <w:top w:val="none" w:sz="0" w:space="0"/>
            <w:left w:val="none" w:sz="0" w:space="0"/>
            <w:bottom w:val="none" w:sz="0" w:space="0"/>
            <w:right w:val="none" w:sz="0" w:space="0"/>
          </w:pgBorders>
          <w:cols w:space="0" w:num="1"/>
          <w:docGrid w:linePitch="326" w:charSpace="0"/>
        </w:sectPr>
      </w:pPr>
    </w:p>
    <w:p w14:paraId="3E541E14">
      <w:pPr>
        <w:pStyle w:val="14"/>
        <w:widowControl w:val="0"/>
        <w:numPr>
          <w:ilvl w:val="0"/>
          <w:numId w:val="32"/>
        </w:numPr>
        <w:tabs>
          <w:tab w:val="left" w:pos="283"/>
        </w:tabs>
        <w:ind w:firstLineChars="0"/>
        <w:outlineLvl w:val="0"/>
        <w:rPr>
          <w:rFonts w:hint="eastAsia"/>
          <w:b/>
          <w:bCs/>
          <w:sz w:val="28"/>
          <w:szCs w:val="28"/>
          <w:lang w:val="en-US" w:eastAsia="zh-CN"/>
        </w:rPr>
      </w:pPr>
      <w:bookmarkStart w:id="195" w:name="_Toc4379"/>
      <w:r>
        <w:rPr>
          <w:rFonts w:hint="eastAsia"/>
          <w:b/>
          <w:bCs/>
          <w:sz w:val="28"/>
          <w:szCs w:val="28"/>
          <w:lang w:val="en-US" w:eastAsia="zh-CN"/>
        </w:rPr>
        <w:t>排污权总量指标</w:t>
      </w:r>
      <w:bookmarkEnd w:id="195"/>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3"/>
      </w:tblGrid>
      <w:tr w14:paraId="1175B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03" w:type="dxa"/>
          </w:tcPr>
          <w:p w14:paraId="790916A9">
            <w:pPr>
              <w:widowControl w:val="0"/>
              <w:ind w:left="0" w:leftChars="0" w:firstLine="0" w:firstLineChars="0"/>
              <w:rPr>
                <w:rFonts w:hint="eastAsia"/>
                <w:vertAlign w:val="baseline"/>
                <w:lang w:val="en-US" w:eastAsia="zh-CN"/>
              </w:rPr>
            </w:pPr>
            <w:r>
              <w:drawing>
                <wp:inline distT="0" distB="0" distL="114300" distR="114300">
                  <wp:extent cx="5579110" cy="7880985"/>
                  <wp:effectExtent l="0" t="0" r="2540" b="5715"/>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pic:cNvPicPr>
                            <a:picLocks noChangeAspect="1"/>
                          </pic:cNvPicPr>
                        </pic:nvPicPr>
                        <pic:blipFill>
                          <a:blip r:embed="rId38"/>
                          <a:stretch>
                            <a:fillRect/>
                          </a:stretch>
                        </pic:blipFill>
                        <pic:spPr>
                          <a:xfrm>
                            <a:off x="0" y="0"/>
                            <a:ext cx="5579110" cy="7880985"/>
                          </a:xfrm>
                          <a:prstGeom prst="rect">
                            <a:avLst/>
                          </a:prstGeom>
                          <a:noFill/>
                          <a:ln>
                            <a:noFill/>
                          </a:ln>
                        </pic:spPr>
                      </pic:pic>
                    </a:graphicData>
                  </a:graphic>
                </wp:inline>
              </w:drawing>
            </w:r>
          </w:p>
        </w:tc>
      </w:tr>
      <w:tr w14:paraId="318B5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5441BB78">
            <w:pPr>
              <w:widowControl w:val="0"/>
              <w:ind w:left="0" w:leftChars="0" w:firstLine="0" w:firstLineChars="0"/>
            </w:pPr>
            <w:r>
              <w:drawing>
                <wp:inline distT="0" distB="0" distL="114300" distR="114300">
                  <wp:extent cx="5579110" cy="7880985"/>
                  <wp:effectExtent l="0" t="0" r="2540" b="5715"/>
                  <wp:docPr id="7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5"/>
                          <pic:cNvPicPr>
                            <a:picLocks noChangeAspect="1"/>
                          </pic:cNvPicPr>
                        </pic:nvPicPr>
                        <pic:blipFill>
                          <a:blip r:embed="rId39"/>
                          <a:stretch>
                            <a:fillRect/>
                          </a:stretch>
                        </pic:blipFill>
                        <pic:spPr>
                          <a:xfrm>
                            <a:off x="0" y="0"/>
                            <a:ext cx="5579110" cy="7880985"/>
                          </a:xfrm>
                          <a:prstGeom prst="rect">
                            <a:avLst/>
                          </a:prstGeom>
                          <a:noFill/>
                          <a:ln>
                            <a:noFill/>
                          </a:ln>
                        </pic:spPr>
                      </pic:pic>
                    </a:graphicData>
                  </a:graphic>
                </wp:inline>
              </w:drawing>
            </w:r>
          </w:p>
        </w:tc>
      </w:tr>
    </w:tbl>
    <w:p w14:paraId="43F97D37">
      <w:pPr>
        <w:rPr>
          <w:rFonts w:hint="eastAsia"/>
          <w:lang w:val="en-US" w:eastAsia="zh-CN"/>
        </w:rPr>
      </w:pPr>
    </w:p>
    <w:p w14:paraId="348A1FE3">
      <w:pPr>
        <w:pStyle w:val="14"/>
        <w:widowControl w:val="0"/>
        <w:numPr>
          <w:ilvl w:val="0"/>
          <w:numId w:val="32"/>
        </w:numPr>
        <w:tabs>
          <w:tab w:val="left" w:pos="283"/>
        </w:tabs>
        <w:ind w:firstLineChars="0"/>
        <w:outlineLvl w:val="0"/>
        <w:rPr>
          <w:rFonts w:hint="eastAsia"/>
          <w:b/>
          <w:bCs/>
          <w:sz w:val="28"/>
          <w:szCs w:val="28"/>
          <w:lang w:val="en-US" w:eastAsia="zh-CN"/>
        </w:rPr>
        <w:sectPr>
          <w:pgSz w:w="11905" w:h="16840"/>
          <w:pgMar w:top="1418" w:right="1417" w:bottom="1418" w:left="1701" w:header="851" w:footer="992" w:gutter="0"/>
          <w:pgBorders>
            <w:top w:val="none" w:sz="0" w:space="0"/>
            <w:left w:val="none" w:sz="0" w:space="0"/>
            <w:bottom w:val="none" w:sz="0" w:space="0"/>
            <w:right w:val="none" w:sz="0" w:space="0"/>
          </w:pgBorders>
          <w:cols w:space="0" w:num="1"/>
          <w:docGrid w:linePitch="326" w:charSpace="0"/>
        </w:sectPr>
      </w:pPr>
    </w:p>
    <w:p w14:paraId="31862918">
      <w:pPr>
        <w:pStyle w:val="14"/>
        <w:widowControl w:val="0"/>
        <w:numPr>
          <w:ilvl w:val="0"/>
          <w:numId w:val="32"/>
        </w:numPr>
        <w:tabs>
          <w:tab w:val="left" w:pos="283"/>
        </w:tabs>
        <w:ind w:firstLineChars="0"/>
        <w:outlineLvl w:val="0"/>
        <w:rPr>
          <w:b/>
          <w:bCs/>
          <w:sz w:val="28"/>
          <w:szCs w:val="28"/>
        </w:rPr>
      </w:pPr>
      <w:bookmarkStart w:id="196" w:name="_Toc1872"/>
      <w:r>
        <w:rPr>
          <w:rFonts w:hint="eastAsia"/>
          <w:b/>
          <w:bCs/>
          <w:sz w:val="28"/>
          <w:szCs w:val="28"/>
          <w:lang w:val="en-US" w:eastAsia="zh-CN"/>
        </w:rPr>
        <w:t>粉煤灰</w:t>
      </w:r>
      <w:r>
        <w:rPr>
          <w:rFonts w:hint="eastAsia"/>
          <w:b/>
          <w:bCs/>
          <w:sz w:val="28"/>
          <w:szCs w:val="28"/>
        </w:rPr>
        <w:t>检测报告</w:t>
      </w:r>
      <w:bookmarkEnd w:id="196"/>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3"/>
      </w:tblGrid>
      <w:tr w14:paraId="7E86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03" w:type="dxa"/>
          </w:tcPr>
          <w:p w14:paraId="2E8A54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lang w:val="en-US" w:eastAsia="zh-CN"/>
              </w:rPr>
            </w:pPr>
            <w:r>
              <w:rPr>
                <w:rFonts w:hint="eastAsia"/>
                <w:b/>
                <w:bCs/>
                <w:lang w:val="en-US" w:eastAsia="zh-CN"/>
              </w:rPr>
              <w:t>粉煤灰检测报告</w:t>
            </w:r>
          </w:p>
        </w:tc>
      </w:tr>
      <w:tr w14:paraId="0C1D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7DD863CE">
            <w:pPr>
              <w:widowControl w:val="0"/>
              <w:ind w:firstLine="0" w:firstLineChars="0"/>
              <w:rPr>
                <w:rFonts w:hint="eastAsia" w:eastAsia="宋体"/>
                <w:lang w:eastAsia="zh-CN"/>
              </w:rPr>
            </w:pPr>
            <w:r>
              <w:rPr>
                <w:rFonts w:hint="eastAsia" w:eastAsia="宋体"/>
                <w:lang w:eastAsia="zh-CN"/>
              </w:rPr>
              <w:drawing>
                <wp:inline distT="0" distB="0" distL="114300" distR="114300">
                  <wp:extent cx="5577840" cy="7888605"/>
                  <wp:effectExtent l="0" t="0" r="3810" b="17145"/>
                  <wp:docPr id="52" name="图片 52" descr="2024年一期粉煤灰检验报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2024年一期粉煤灰检验报告_01"/>
                          <pic:cNvPicPr>
                            <a:picLocks noChangeAspect="1"/>
                          </pic:cNvPicPr>
                        </pic:nvPicPr>
                        <pic:blipFill>
                          <a:blip r:embed="rId40"/>
                          <a:stretch>
                            <a:fillRect/>
                          </a:stretch>
                        </pic:blipFill>
                        <pic:spPr>
                          <a:xfrm>
                            <a:off x="0" y="0"/>
                            <a:ext cx="5577840" cy="7888605"/>
                          </a:xfrm>
                          <a:prstGeom prst="rect">
                            <a:avLst/>
                          </a:prstGeom>
                        </pic:spPr>
                      </pic:pic>
                    </a:graphicData>
                  </a:graphic>
                </wp:inline>
              </w:drawing>
            </w:r>
          </w:p>
        </w:tc>
      </w:tr>
      <w:tr w14:paraId="1A93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59E8F55F">
            <w:pPr>
              <w:widowControl w:val="0"/>
              <w:ind w:firstLine="0" w:firstLineChars="0"/>
              <w:rPr>
                <w:rFonts w:hint="eastAsia" w:eastAsia="宋体"/>
                <w:lang w:eastAsia="zh-CN"/>
              </w:rPr>
            </w:pPr>
            <w:r>
              <w:rPr>
                <w:rFonts w:hint="eastAsia" w:eastAsia="宋体"/>
                <w:lang w:eastAsia="zh-CN"/>
              </w:rPr>
              <w:drawing>
                <wp:inline distT="0" distB="0" distL="114300" distR="114300">
                  <wp:extent cx="5577840" cy="7888605"/>
                  <wp:effectExtent l="0" t="0" r="3810" b="17145"/>
                  <wp:docPr id="53" name="图片 53" descr="2024年一期粉煤灰检验报告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2024年一期粉煤灰检验报告_02"/>
                          <pic:cNvPicPr>
                            <a:picLocks noChangeAspect="1"/>
                          </pic:cNvPicPr>
                        </pic:nvPicPr>
                        <pic:blipFill>
                          <a:blip r:embed="rId41"/>
                          <a:stretch>
                            <a:fillRect/>
                          </a:stretch>
                        </pic:blipFill>
                        <pic:spPr>
                          <a:xfrm>
                            <a:off x="0" y="0"/>
                            <a:ext cx="5577840" cy="7888605"/>
                          </a:xfrm>
                          <a:prstGeom prst="rect">
                            <a:avLst/>
                          </a:prstGeom>
                        </pic:spPr>
                      </pic:pic>
                    </a:graphicData>
                  </a:graphic>
                </wp:inline>
              </w:drawing>
            </w:r>
          </w:p>
        </w:tc>
      </w:tr>
      <w:tr w14:paraId="466F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152E5C2B">
            <w:pPr>
              <w:widowControl w:val="0"/>
              <w:ind w:firstLine="0" w:firstLineChars="0"/>
              <w:rPr>
                <w:rFonts w:hint="eastAsia" w:eastAsia="宋体"/>
                <w:lang w:eastAsia="zh-CN"/>
              </w:rPr>
            </w:pPr>
            <w:r>
              <w:rPr>
                <w:rFonts w:hint="eastAsia" w:eastAsia="宋体"/>
                <w:lang w:eastAsia="zh-CN"/>
              </w:rPr>
              <w:drawing>
                <wp:inline distT="0" distB="0" distL="114300" distR="114300">
                  <wp:extent cx="5577840" cy="7888605"/>
                  <wp:effectExtent l="0" t="0" r="3810" b="17145"/>
                  <wp:docPr id="54" name="图片 54" descr="2024年一期粉煤灰检验报告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2024年一期粉煤灰检验报告_03"/>
                          <pic:cNvPicPr>
                            <a:picLocks noChangeAspect="1"/>
                          </pic:cNvPicPr>
                        </pic:nvPicPr>
                        <pic:blipFill>
                          <a:blip r:embed="rId42"/>
                          <a:stretch>
                            <a:fillRect/>
                          </a:stretch>
                        </pic:blipFill>
                        <pic:spPr>
                          <a:xfrm>
                            <a:off x="0" y="0"/>
                            <a:ext cx="5577840" cy="7888605"/>
                          </a:xfrm>
                          <a:prstGeom prst="rect">
                            <a:avLst/>
                          </a:prstGeom>
                        </pic:spPr>
                      </pic:pic>
                    </a:graphicData>
                  </a:graphic>
                </wp:inline>
              </w:drawing>
            </w:r>
          </w:p>
        </w:tc>
      </w:tr>
      <w:tr w14:paraId="7518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ACE46F8">
            <w:pPr>
              <w:widowControl w:val="0"/>
              <w:ind w:firstLine="0" w:firstLineChars="0"/>
              <w:rPr>
                <w:rFonts w:hint="eastAsia" w:eastAsia="宋体"/>
                <w:lang w:eastAsia="zh-CN"/>
              </w:rPr>
            </w:pPr>
            <w:r>
              <w:rPr>
                <w:rFonts w:hint="eastAsia" w:eastAsia="宋体"/>
                <w:lang w:eastAsia="zh-CN"/>
              </w:rPr>
              <w:drawing>
                <wp:inline distT="0" distB="0" distL="114300" distR="114300">
                  <wp:extent cx="5577840" cy="7888605"/>
                  <wp:effectExtent l="0" t="0" r="3810" b="17145"/>
                  <wp:docPr id="55" name="图片 55" descr="2024年二期粉煤灰检验报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2024年二期粉煤灰检验报告_01"/>
                          <pic:cNvPicPr>
                            <a:picLocks noChangeAspect="1"/>
                          </pic:cNvPicPr>
                        </pic:nvPicPr>
                        <pic:blipFill>
                          <a:blip r:embed="rId43"/>
                          <a:stretch>
                            <a:fillRect/>
                          </a:stretch>
                        </pic:blipFill>
                        <pic:spPr>
                          <a:xfrm>
                            <a:off x="0" y="0"/>
                            <a:ext cx="5577840" cy="7888605"/>
                          </a:xfrm>
                          <a:prstGeom prst="rect">
                            <a:avLst/>
                          </a:prstGeom>
                        </pic:spPr>
                      </pic:pic>
                    </a:graphicData>
                  </a:graphic>
                </wp:inline>
              </w:drawing>
            </w:r>
          </w:p>
        </w:tc>
      </w:tr>
      <w:tr w14:paraId="6696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A113447">
            <w:pPr>
              <w:widowControl w:val="0"/>
              <w:ind w:firstLine="0" w:firstLineChars="0"/>
              <w:rPr>
                <w:rFonts w:hint="eastAsia" w:eastAsia="宋体"/>
                <w:lang w:eastAsia="zh-CN"/>
              </w:rPr>
            </w:pPr>
            <w:r>
              <w:rPr>
                <w:rFonts w:hint="eastAsia" w:eastAsia="宋体"/>
                <w:lang w:eastAsia="zh-CN"/>
              </w:rPr>
              <w:drawing>
                <wp:inline distT="0" distB="0" distL="114300" distR="114300">
                  <wp:extent cx="5577840" cy="7888605"/>
                  <wp:effectExtent l="0" t="0" r="3810" b="17145"/>
                  <wp:docPr id="56" name="图片 56" descr="2024年二期粉煤灰检验报告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2024年二期粉煤灰检验报告_02"/>
                          <pic:cNvPicPr>
                            <a:picLocks noChangeAspect="1"/>
                          </pic:cNvPicPr>
                        </pic:nvPicPr>
                        <pic:blipFill>
                          <a:blip r:embed="rId44"/>
                          <a:stretch>
                            <a:fillRect/>
                          </a:stretch>
                        </pic:blipFill>
                        <pic:spPr>
                          <a:xfrm>
                            <a:off x="0" y="0"/>
                            <a:ext cx="5577840" cy="7888605"/>
                          </a:xfrm>
                          <a:prstGeom prst="rect">
                            <a:avLst/>
                          </a:prstGeom>
                        </pic:spPr>
                      </pic:pic>
                    </a:graphicData>
                  </a:graphic>
                </wp:inline>
              </w:drawing>
            </w:r>
          </w:p>
        </w:tc>
      </w:tr>
      <w:tr w14:paraId="2F20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68ADF33E">
            <w:pPr>
              <w:widowControl w:val="0"/>
              <w:ind w:firstLine="0" w:firstLineChars="0"/>
              <w:rPr>
                <w:rFonts w:hint="eastAsia" w:eastAsia="宋体"/>
                <w:lang w:eastAsia="zh-CN"/>
              </w:rPr>
            </w:pPr>
            <w:r>
              <w:rPr>
                <w:rFonts w:hint="eastAsia" w:eastAsia="宋体"/>
                <w:lang w:eastAsia="zh-CN"/>
              </w:rPr>
              <w:drawing>
                <wp:inline distT="0" distB="0" distL="114300" distR="114300">
                  <wp:extent cx="5577840" cy="7888605"/>
                  <wp:effectExtent l="0" t="0" r="3810" b="17145"/>
                  <wp:docPr id="57" name="图片 57" descr="2024年二期粉煤灰检验报告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2024年二期粉煤灰检验报告_03"/>
                          <pic:cNvPicPr>
                            <a:picLocks noChangeAspect="1"/>
                          </pic:cNvPicPr>
                        </pic:nvPicPr>
                        <pic:blipFill>
                          <a:blip r:embed="rId45"/>
                          <a:stretch>
                            <a:fillRect/>
                          </a:stretch>
                        </pic:blipFill>
                        <pic:spPr>
                          <a:xfrm>
                            <a:off x="0" y="0"/>
                            <a:ext cx="5577840" cy="7888605"/>
                          </a:xfrm>
                          <a:prstGeom prst="rect">
                            <a:avLst/>
                          </a:prstGeom>
                        </pic:spPr>
                      </pic:pic>
                    </a:graphicData>
                  </a:graphic>
                </wp:inline>
              </w:drawing>
            </w:r>
          </w:p>
        </w:tc>
      </w:tr>
      <w:tr w14:paraId="0F20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0B74FBA">
            <w:pPr>
              <w:widowControl w:val="0"/>
              <w:ind w:firstLine="0" w:firstLineChars="0"/>
              <w:rPr>
                <w:rFonts w:hint="eastAsia" w:eastAsia="宋体"/>
                <w:lang w:eastAsia="zh-CN"/>
              </w:rPr>
            </w:pPr>
            <w:r>
              <w:rPr>
                <w:rFonts w:hint="eastAsia" w:eastAsia="宋体"/>
                <w:lang w:eastAsia="zh-CN"/>
              </w:rPr>
              <w:drawing>
                <wp:inline distT="0" distB="0" distL="114300" distR="114300">
                  <wp:extent cx="5577840" cy="7888605"/>
                  <wp:effectExtent l="0" t="0" r="3810" b="17145"/>
                  <wp:docPr id="59" name="图片 59" descr="2024年三期粉煤灰检验报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2024年三期粉煤灰检验报告_01"/>
                          <pic:cNvPicPr>
                            <a:picLocks noChangeAspect="1"/>
                          </pic:cNvPicPr>
                        </pic:nvPicPr>
                        <pic:blipFill>
                          <a:blip r:embed="rId46"/>
                          <a:stretch>
                            <a:fillRect/>
                          </a:stretch>
                        </pic:blipFill>
                        <pic:spPr>
                          <a:xfrm>
                            <a:off x="0" y="0"/>
                            <a:ext cx="5577840" cy="7888605"/>
                          </a:xfrm>
                          <a:prstGeom prst="rect">
                            <a:avLst/>
                          </a:prstGeom>
                        </pic:spPr>
                      </pic:pic>
                    </a:graphicData>
                  </a:graphic>
                </wp:inline>
              </w:drawing>
            </w:r>
          </w:p>
        </w:tc>
      </w:tr>
      <w:tr w14:paraId="407B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0E3B12F3">
            <w:pPr>
              <w:widowControl w:val="0"/>
              <w:ind w:firstLine="0" w:firstLineChars="0"/>
              <w:rPr>
                <w:rFonts w:hint="eastAsia" w:eastAsia="宋体"/>
                <w:lang w:eastAsia="zh-CN"/>
              </w:rPr>
            </w:pPr>
            <w:r>
              <w:rPr>
                <w:rFonts w:hint="eastAsia" w:eastAsia="宋体"/>
                <w:lang w:eastAsia="zh-CN"/>
              </w:rPr>
              <w:drawing>
                <wp:inline distT="0" distB="0" distL="114300" distR="114300">
                  <wp:extent cx="5577840" cy="7888605"/>
                  <wp:effectExtent l="0" t="0" r="3810" b="17145"/>
                  <wp:docPr id="60" name="图片 60" descr="2024年三期粉煤灰检验报告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2024年三期粉煤灰检验报告_02"/>
                          <pic:cNvPicPr>
                            <a:picLocks noChangeAspect="1"/>
                          </pic:cNvPicPr>
                        </pic:nvPicPr>
                        <pic:blipFill>
                          <a:blip r:embed="rId47"/>
                          <a:stretch>
                            <a:fillRect/>
                          </a:stretch>
                        </pic:blipFill>
                        <pic:spPr>
                          <a:xfrm>
                            <a:off x="0" y="0"/>
                            <a:ext cx="5577840" cy="7888605"/>
                          </a:xfrm>
                          <a:prstGeom prst="rect">
                            <a:avLst/>
                          </a:prstGeom>
                        </pic:spPr>
                      </pic:pic>
                    </a:graphicData>
                  </a:graphic>
                </wp:inline>
              </w:drawing>
            </w:r>
          </w:p>
        </w:tc>
      </w:tr>
      <w:tr w14:paraId="684E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C85D34C">
            <w:pPr>
              <w:widowControl w:val="0"/>
              <w:ind w:firstLine="0" w:firstLineChars="0"/>
              <w:rPr>
                <w:rFonts w:hint="eastAsia" w:eastAsia="宋体"/>
                <w:lang w:eastAsia="zh-CN"/>
              </w:rPr>
            </w:pPr>
            <w:r>
              <w:rPr>
                <w:rFonts w:hint="eastAsia" w:eastAsia="宋体"/>
                <w:lang w:eastAsia="zh-CN"/>
              </w:rPr>
              <w:drawing>
                <wp:inline distT="0" distB="0" distL="114300" distR="114300">
                  <wp:extent cx="5577840" cy="7888605"/>
                  <wp:effectExtent l="0" t="0" r="3810" b="17145"/>
                  <wp:docPr id="61" name="图片 61" descr="2024年三期粉煤灰检验报告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2024年三期粉煤灰检验报告_03"/>
                          <pic:cNvPicPr>
                            <a:picLocks noChangeAspect="1"/>
                          </pic:cNvPicPr>
                        </pic:nvPicPr>
                        <pic:blipFill>
                          <a:blip r:embed="rId48"/>
                          <a:stretch>
                            <a:fillRect/>
                          </a:stretch>
                        </pic:blipFill>
                        <pic:spPr>
                          <a:xfrm>
                            <a:off x="0" y="0"/>
                            <a:ext cx="5577840" cy="7888605"/>
                          </a:xfrm>
                          <a:prstGeom prst="rect">
                            <a:avLst/>
                          </a:prstGeom>
                        </pic:spPr>
                      </pic:pic>
                    </a:graphicData>
                  </a:graphic>
                </wp:inline>
              </w:drawing>
            </w:r>
          </w:p>
        </w:tc>
      </w:tr>
    </w:tbl>
    <w:p w14:paraId="4F411D87">
      <w:pPr>
        <w:ind w:left="0" w:leftChars="0" w:firstLine="0" w:firstLineChars="0"/>
        <w:sectPr>
          <w:pgSz w:w="11905" w:h="16840"/>
          <w:pgMar w:top="1418" w:right="1417" w:bottom="1418" w:left="1701" w:header="851" w:footer="992" w:gutter="0"/>
          <w:pgBorders>
            <w:top w:val="none" w:sz="0" w:space="0"/>
            <w:left w:val="none" w:sz="0" w:space="0"/>
            <w:bottom w:val="none" w:sz="0" w:space="0"/>
            <w:right w:val="none" w:sz="0" w:space="0"/>
          </w:pgBorders>
          <w:cols w:space="0" w:num="1"/>
          <w:docGrid w:linePitch="326" w:charSpace="0"/>
        </w:sectPr>
      </w:pPr>
    </w:p>
    <w:p w14:paraId="3319601A">
      <w:pPr>
        <w:pStyle w:val="14"/>
        <w:widowControl w:val="0"/>
        <w:numPr>
          <w:ilvl w:val="0"/>
          <w:numId w:val="32"/>
        </w:numPr>
        <w:tabs>
          <w:tab w:val="left" w:pos="283"/>
        </w:tabs>
        <w:ind w:firstLineChars="0"/>
        <w:outlineLvl w:val="0"/>
        <w:rPr>
          <w:rFonts w:ascii="Times New Roman" w:hAnsi="Times New Roman" w:cs="Times New Roman"/>
          <w:b/>
          <w:bCs/>
          <w:sz w:val="28"/>
          <w:szCs w:val="28"/>
        </w:rPr>
      </w:pPr>
      <w:bookmarkStart w:id="197" w:name="_Toc27799"/>
      <w:r>
        <w:rPr>
          <w:rFonts w:hint="default" w:ascii="Times New Roman" w:hAnsi="Times New Roman" w:cs="Times New Roman"/>
          <w:b/>
          <w:bCs/>
          <w:sz w:val="28"/>
          <w:szCs w:val="28"/>
          <w:lang w:eastAsia="zh-CN"/>
        </w:rPr>
        <w:t>《</w:t>
      </w:r>
      <w:r>
        <w:rPr>
          <w:rFonts w:hint="eastAsia" w:ascii="Times New Roman" w:hAnsi="Times New Roman" w:cs="Times New Roman"/>
          <w:b/>
          <w:bCs/>
          <w:sz w:val="28"/>
          <w:szCs w:val="28"/>
          <w:lang w:val="en-US" w:eastAsia="zh-CN"/>
        </w:rPr>
        <w:t>关于岳阳市工业固体废物资源综合利用评价的备案公示</w:t>
      </w:r>
      <w:r>
        <w:rPr>
          <w:rFonts w:hint="default" w:ascii="Times New Roman" w:hAnsi="Times New Roman" w:cs="Times New Roman"/>
          <w:b/>
          <w:bCs/>
          <w:sz w:val="28"/>
          <w:szCs w:val="28"/>
          <w:lang w:eastAsia="zh-CN"/>
        </w:rPr>
        <w:t>》</w:t>
      </w:r>
      <w:bookmarkEnd w:id="197"/>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20"/>
      </w:tblGrid>
      <w:tr w14:paraId="7AD6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20" w:type="dxa"/>
          </w:tcPr>
          <w:p w14:paraId="668B639D">
            <w:pPr>
              <w:widowControl w:val="0"/>
              <w:ind w:firstLine="0" w:firstLineChars="0"/>
              <w:jc w:val="center"/>
              <w:rPr>
                <w:vertAlign w:val="baseline"/>
              </w:rPr>
            </w:pPr>
            <w:r>
              <w:drawing>
                <wp:inline distT="0" distB="0" distL="114300" distR="114300">
                  <wp:extent cx="8876030" cy="4330065"/>
                  <wp:effectExtent l="0" t="0" r="1270" b="13335"/>
                  <wp:docPr id="7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4"/>
                          <pic:cNvPicPr>
                            <a:picLocks noChangeAspect="1"/>
                          </pic:cNvPicPr>
                        </pic:nvPicPr>
                        <pic:blipFill>
                          <a:blip r:embed="rId49"/>
                          <a:stretch>
                            <a:fillRect/>
                          </a:stretch>
                        </pic:blipFill>
                        <pic:spPr>
                          <a:xfrm>
                            <a:off x="0" y="0"/>
                            <a:ext cx="8876030" cy="4330065"/>
                          </a:xfrm>
                          <a:prstGeom prst="rect">
                            <a:avLst/>
                          </a:prstGeom>
                          <a:noFill/>
                          <a:ln>
                            <a:noFill/>
                          </a:ln>
                        </pic:spPr>
                      </pic:pic>
                    </a:graphicData>
                  </a:graphic>
                </wp:inline>
              </w:drawing>
            </w:r>
          </w:p>
        </w:tc>
      </w:tr>
      <w:tr w14:paraId="2E11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20" w:type="dxa"/>
          </w:tcPr>
          <w:p w14:paraId="6CEFF78B">
            <w:pPr>
              <w:widowControl w:val="0"/>
              <w:ind w:firstLine="0" w:firstLineChars="0"/>
              <w:jc w:val="center"/>
            </w:pPr>
            <w:r>
              <w:rPr>
                <w:sz w:val="24"/>
              </w:rPr>
              <mc:AlternateContent>
                <mc:Choice Requires="wps">
                  <w:drawing>
                    <wp:anchor distT="0" distB="0" distL="114300" distR="114300" simplePos="0" relativeHeight="251699200" behindDoc="0" locked="0" layoutInCell="1" allowOverlap="1">
                      <wp:simplePos x="0" y="0"/>
                      <wp:positionH relativeFrom="column">
                        <wp:posOffset>735330</wp:posOffset>
                      </wp:positionH>
                      <wp:positionV relativeFrom="paragraph">
                        <wp:posOffset>3141980</wp:posOffset>
                      </wp:positionV>
                      <wp:extent cx="2762250" cy="1099185"/>
                      <wp:effectExtent l="12700" t="12700" r="25400" b="31115"/>
                      <wp:wrapNone/>
                      <wp:docPr id="89" name="矩形 89"/>
                      <wp:cNvGraphicFramePr/>
                      <a:graphic xmlns:a="http://schemas.openxmlformats.org/drawingml/2006/main">
                        <a:graphicData uri="http://schemas.microsoft.com/office/word/2010/wordprocessingShape">
                          <wps:wsp>
                            <wps:cNvSpPr/>
                            <wps:spPr>
                              <a:xfrm>
                                <a:off x="1635760" y="4167505"/>
                                <a:ext cx="2762250" cy="109918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9pt;margin-top:247.4pt;height:86.55pt;width:217.5pt;z-index:251699200;v-text-anchor:middle;mso-width-relative:page;mso-height-relative:page;" filled="f" stroked="t" coordsize="21600,21600" o:gfxdata="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Iiee6TZAAAACwEAAA8AAAAAAAAAAQAgAAAAIgAAAGRycy9kb3ducmV2&#10;LnhtbFBLAQIUABQAAAAIAIdO4kDuY8j5bQIAAMMEAAAOAAAAAAAAAAEAIAAAACgBAABkcnMvZTJv&#10;RG9jLnhtbFBLBQYAAAAABgAGAFkBAAAHBgAAAAA=&#10;">
                      <v:fill on="f" focussize="0,0"/>
                      <v:stroke weight="2pt" color="#FF0000 [2404]" joinstyle="round"/>
                      <v:imagedata o:title=""/>
                      <o:lock v:ext="edit" aspectratio="f"/>
                    </v:rect>
                  </w:pict>
                </mc:Fallback>
              </mc:AlternateContent>
            </w:r>
            <w:r>
              <w:drawing>
                <wp:inline distT="0" distB="0" distL="114300" distR="114300">
                  <wp:extent cx="8890635" cy="4215130"/>
                  <wp:effectExtent l="0" t="0" r="5715" b="13970"/>
                  <wp:docPr id="7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5"/>
                          <pic:cNvPicPr>
                            <a:picLocks noChangeAspect="1"/>
                          </pic:cNvPicPr>
                        </pic:nvPicPr>
                        <pic:blipFill>
                          <a:blip r:embed="rId50"/>
                          <a:stretch>
                            <a:fillRect/>
                          </a:stretch>
                        </pic:blipFill>
                        <pic:spPr>
                          <a:xfrm>
                            <a:off x="0" y="0"/>
                            <a:ext cx="8890635" cy="4215130"/>
                          </a:xfrm>
                          <a:prstGeom prst="rect">
                            <a:avLst/>
                          </a:prstGeom>
                          <a:noFill/>
                          <a:ln>
                            <a:noFill/>
                          </a:ln>
                        </pic:spPr>
                      </pic:pic>
                    </a:graphicData>
                  </a:graphic>
                </wp:inline>
              </w:drawing>
            </w:r>
          </w:p>
        </w:tc>
      </w:tr>
      <w:tr w14:paraId="61FFB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20" w:type="dxa"/>
          </w:tcPr>
          <w:p w14:paraId="16E0B8FA">
            <w:pPr>
              <w:widowControl w:val="0"/>
              <w:ind w:firstLine="0" w:firstLineChars="0"/>
              <w:jc w:val="center"/>
            </w:pPr>
            <w:r>
              <w:drawing>
                <wp:inline distT="0" distB="0" distL="114300" distR="114300">
                  <wp:extent cx="8876030" cy="4625340"/>
                  <wp:effectExtent l="0" t="0" r="1270" b="3810"/>
                  <wp:docPr id="8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6"/>
                          <pic:cNvPicPr>
                            <a:picLocks noChangeAspect="1"/>
                          </pic:cNvPicPr>
                        </pic:nvPicPr>
                        <pic:blipFill>
                          <a:blip r:embed="rId51"/>
                          <a:stretch>
                            <a:fillRect/>
                          </a:stretch>
                        </pic:blipFill>
                        <pic:spPr>
                          <a:xfrm>
                            <a:off x="0" y="0"/>
                            <a:ext cx="8876030" cy="4625340"/>
                          </a:xfrm>
                          <a:prstGeom prst="rect">
                            <a:avLst/>
                          </a:prstGeom>
                          <a:noFill/>
                          <a:ln>
                            <a:noFill/>
                          </a:ln>
                        </pic:spPr>
                      </pic:pic>
                    </a:graphicData>
                  </a:graphic>
                </wp:inline>
              </w:drawing>
            </w:r>
          </w:p>
        </w:tc>
      </w:tr>
      <w:tr w14:paraId="2838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20" w:type="dxa"/>
          </w:tcPr>
          <w:p w14:paraId="3BA28623">
            <w:pPr>
              <w:widowControl w:val="0"/>
              <w:ind w:firstLine="0" w:firstLineChars="0"/>
              <w:jc w:val="center"/>
            </w:pPr>
            <w:r>
              <w:rPr>
                <w:sz w:val="24"/>
              </w:rPr>
              <mc:AlternateContent>
                <mc:Choice Requires="wps">
                  <w:drawing>
                    <wp:anchor distT="0" distB="0" distL="114300" distR="114300" simplePos="0" relativeHeight="251700224" behindDoc="0" locked="0" layoutInCell="1" allowOverlap="1">
                      <wp:simplePos x="0" y="0"/>
                      <wp:positionH relativeFrom="column">
                        <wp:posOffset>727075</wp:posOffset>
                      </wp:positionH>
                      <wp:positionV relativeFrom="paragraph">
                        <wp:posOffset>3614420</wp:posOffset>
                      </wp:positionV>
                      <wp:extent cx="3342640" cy="606425"/>
                      <wp:effectExtent l="12700" t="12700" r="16510" b="28575"/>
                      <wp:wrapNone/>
                      <wp:docPr id="90" name="矩形 90"/>
                      <wp:cNvGraphicFramePr/>
                      <a:graphic xmlns:a="http://schemas.openxmlformats.org/drawingml/2006/main">
                        <a:graphicData uri="http://schemas.microsoft.com/office/word/2010/wordprocessingShape">
                          <wps:wsp>
                            <wps:cNvSpPr/>
                            <wps:spPr>
                              <a:xfrm>
                                <a:off x="1739900" y="4692650"/>
                                <a:ext cx="3342640" cy="60642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25pt;margin-top:284.6pt;height:47.75pt;width:263.2pt;z-index:251700224;v-text-anchor:middle;mso-width-relative:page;mso-height-relative:page;" filled="f" stroked="t" coordsize="21600,21600" o:gfxdata="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RCQo2gAAAAsBAAAPAAAAAAAAAAEAIAAAACIAAABkcnMvZG93bnJldi54&#10;bWxQSwECFAAUAAAACACHTuJAcy+hPWoCAADCBAAADgAAAAAAAAABACAAAAApAQAAZHJzL2Uyb0Rv&#10;Yy54bWxQSwUGAAAAAAYABgBZAQAABQYAAAAA&#10;">
                      <v:fill on="f" focussize="0,0"/>
                      <v:stroke weight="2pt" color="#FF0000 [2404]" joinstyle="round"/>
                      <v:imagedata o:title=""/>
                      <o:lock v:ext="edit" aspectratio="f"/>
                    </v:rect>
                  </w:pict>
                </mc:Fallback>
              </mc:AlternateContent>
            </w:r>
            <w:r>
              <w:drawing>
                <wp:inline distT="0" distB="0" distL="114300" distR="114300">
                  <wp:extent cx="8888095" cy="4604385"/>
                  <wp:effectExtent l="0" t="0" r="8255" b="5715"/>
                  <wp:docPr id="8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7"/>
                          <pic:cNvPicPr>
                            <a:picLocks noChangeAspect="1"/>
                          </pic:cNvPicPr>
                        </pic:nvPicPr>
                        <pic:blipFill>
                          <a:blip r:embed="rId52"/>
                          <a:stretch>
                            <a:fillRect/>
                          </a:stretch>
                        </pic:blipFill>
                        <pic:spPr>
                          <a:xfrm>
                            <a:off x="0" y="0"/>
                            <a:ext cx="8888095" cy="4604385"/>
                          </a:xfrm>
                          <a:prstGeom prst="rect">
                            <a:avLst/>
                          </a:prstGeom>
                          <a:noFill/>
                          <a:ln>
                            <a:noFill/>
                          </a:ln>
                        </pic:spPr>
                      </pic:pic>
                    </a:graphicData>
                  </a:graphic>
                </wp:inline>
              </w:drawing>
            </w:r>
          </w:p>
        </w:tc>
      </w:tr>
    </w:tbl>
    <w:p w14:paraId="24261E66">
      <w:pPr>
        <w:ind w:firstLine="0" w:firstLineChars="0"/>
        <w:jc w:val="center"/>
        <w:sectPr>
          <w:pgSz w:w="16840" w:h="11905" w:orient="landscape"/>
          <w:pgMar w:top="1701" w:right="1418" w:bottom="1417" w:left="1418" w:header="851" w:footer="992" w:gutter="0"/>
          <w:pgBorders>
            <w:top w:val="none" w:sz="0" w:space="0"/>
            <w:left w:val="none" w:sz="0" w:space="0"/>
            <w:bottom w:val="none" w:sz="0" w:space="0"/>
            <w:right w:val="none" w:sz="0" w:space="0"/>
          </w:pgBorders>
          <w:cols w:space="0" w:num="1"/>
          <w:docGrid w:linePitch="326" w:charSpace="0"/>
        </w:sectPr>
      </w:pPr>
    </w:p>
    <w:p w14:paraId="3E786F48">
      <w:pPr>
        <w:pStyle w:val="14"/>
        <w:widowControl w:val="0"/>
        <w:numPr>
          <w:ilvl w:val="0"/>
          <w:numId w:val="32"/>
        </w:numPr>
        <w:tabs>
          <w:tab w:val="left" w:pos="283"/>
        </w:tabs>
        <w:ind w:firstLineChars="0"/>
        <w:outlineLvl w:val="0"/>
        <w:rPr>
          <w:rFonts w:hint="eastAsia" w:ascii="Times New Roman" w:hAnsi="Times New Roman" w:cs="Times New Roman"/>
          <w:b/>
          <w:bCs/>
          <w:sz w:val="28"/>
          <w:szCs w:val="28"/>
          <w:lang w:val="en-US" w:eastAsia="zh-CN"/>
        </w:rPr>
      </w:pPr>
      <w:bookmarkStart w:id="198" w:name="_Toc9597"/>
      <w:r>
        <w:rPr>
          <w:rFonts w:hint="eastAsia" w:hAnsi="Times New Roman" w:cs="Times New Roman"/>
          <w:b/>
          <w:bCs/>
          <w:sz w:val="28"/>
          <w:szCs w:val="28"/>
          <w:lang w:val="en-US" w:eastAsia="zh-CN"/>
        </w:rPr>
        <w:t>检测报告</w:t>
      </w:r>
      <w:bookmarkEnd w:id="198"/>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3"/>
      </w:tblGrid>
      <w:tr w14:paraId="1258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6CB7F514">
            <w:pPr>
              <w:widowControl w:val="0"/>
              <w:ind w:left="0" w:leftChars="0" w:firstLine="0" w:firstLineChars="0"/>
              <w:rPr>
                <w:rFonts w:hint="eastAsia"/>
                <w:vertAlign w:val="baseline"/>
                <w:lang w:val="en-US" w:eastAsia="zh-CN"/>
              </w:rPr>
            </w:pPr>
            <w:r>
              <w:drawing>
                <wp:inline distT="0" distB="0" distL="114300" distR="114300">
                  <wp:extent cx="5577840" cy="7887335"/>
                  <wp:effectExtent l="0" t="0" r="3810" b="18415"/>
                  <wp:docPr id="8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4"/>
                          <pic:cNvPicPr>
                            <a:picLocks noChangeAspect="1"/>
                          </pic:cNvPicPr>
                        </pic:nvPicPr>
                        <pic:blipFill>
                          <a:blip r:embed="rId53"/>
                          <a:stretch>
                            <a:fillRect/>
                          </a:stretch>
                        </pic:blipFill>
                        <pic:spPr>
                          <a:xfrm>
                            <a:off x="0" y="0"/>
                            <a:ext cx="5577840" cy="7887335"/>
                          </a:xfrm>
                          <a:prstGeom prst="rect">
                            <a:avLst/>
                          </a:prstGeom>
                          <a:noFill/>
                          <a:ln>
                            <a:noFill/>
                          </a:ln>
                        </pic:spPr>
                      </pic:pic>
                    </a:graphicData>
                  </a:graphic>
                </wp:inline>
              </w:drawing>
            </w:r>
          </w:p>
        </w:tc>
      </w:tr>
      <w:tr w14:paraId="335D9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409C9BCE">
            <w:pPr>
              <w:widowControl w:val="0"/>
              <w:ind w:left="0" w:leftChars="0" w:firstLine="0" w:firstLineChars="0"/>
            </w:pPr>
            <w:r>
              <w:drawing>
                <wp:inline distT="0" distB="0" distL="114300" distR="114300">
                  <wp:extent cx="5577840" cy="7887335"/>
                  <wp:effectExtent l="0" t="0" r="3810" b="18415"/>
                  <wp:docPr id="8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6"/>
                          <pic:cNvPicPr>
                            <a:picLocks noChangeAspect="1"/>
                          </pic:cNvPicPr>
                        </pic:nvPicPr>
                        <pic:blipFill>
                          <a:blip r:embed="rId54"/>
                          <a:stretch>
                            <a:fillRect/>
                          </a:stretch>
                        </pic:blipFill>
                        <pic:spPr>
                          <a:xfrm>
                            <a:off x="0" y="0"/>
                            <a:ext cx="5577840" cy="7887335"/>
                          </a:xfrm>
                          <a:prstGeom prst="rect">
                            <a:avLst/>
                          </a:prstGeom>
                          <a:noFill/>
                          <a:ln>
                            <a:noFill/>
                          </a:ln>
                        </pic:spPr>
                      </pic:pic>
                    </a:graphicData>
                  </a:graphic>
                </wp:inline>
              </w:drawing>
            </w:r>
          </w:p>
        </w:tc>
      </w:tr>
      <w:tr w14:paraId="4D19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0AD91A24">
            <w:pPr>
              <w:widowControl w:val="0"/>
              <w:ind w:left="0" w:leftChars="0" w:firstLine="0" w:firstLineChars="0"/>
            </w:pPr>
            <w:r>
              <w:drawing>
                <wp:inline distT="0" distB="0" distL="114300" distR="114300">
                  <wp:extent cx="5577840" cy="7887335"/>
                  <wp:effectExtent l="0" t="0" r="3810" b="18415"/>
                  <wp:docPr id="9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8"/>
                          <pic:cNvPicPr>
                            <a:picLocks noChangeAspect="1"/>
                          </pic:cNvPicPr>
                        </pic:nvPicPr>
                        <pic:blipFill>
                          <a:blip r:embed="rId55"/>
                          <a:stretch>
                            <a:fillRect/>
                          </a:stretch>
                        </pic:blipFill>
                        <pic:spPr>
                          <a:xfrm>
                            <a:off x="0" y="0"/>
                            <a:ext cx="5577840" cy="7887335"/>
                          </a:xfrm>
                          <a:prstGeom prst="rect">
                            <a:avLst/>
                          </a:prstGeom>
                          <a:noFill/>
                          <a:ln>
                            <a:noFill/>
                          </a:ln>
                        </pic:spPr>
                      </pic:pic>
                    </a:graphicData>
                  </a:graphic>
                </wp:inline>
              </w:drawing>
            </w:r>
          </w:p>
        </w:tc>
      </w:tr>
      <w:tr w14:paraId="198B9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5FF8C3D">
            <w:pPr>
              <w:widowControl w:val="0"/>
              <w:ind w:left="0" w:leftChars="0" w:firstLine="0" w:firstLineChars="0"/>
            </w:pPr>
            <w:r>
              <w:drawing>
                <wp:inline distT="0" distB="0" distL="114300" distR="114300">
                  <wp:extent cx="5577840" cy="7887335"/>
                  <wp:effectExtent l="0" t="0" r="3810" b="18415"/>
                  <wp:docPr id="9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
                          <pic:cNvPicPr>
                            <a:picLocks noChangeAspect="1"/>
                          </pic:cNvPicPr>
                        </pic:nvPicPr>
                        <pic:blipFill>
                          <a:blip r:embed="rId56"/>
                          <a:stretch>
                            <a:fillRect/>
                          </a:stretch>
                        </pic:blipFill>
                        <pic:spPr>
                          <a:xfrm>
                            <a:off x="0" y="0"/>
                            <a:ext cx="5577840" cy="7887335"/>
                          </a:xfrm>
                          <a:prstGeom prst="rect">
                            <a:avLst/>
                          </a:prstGeom>
                          <a:noFill/>
                          <a:ln>
                            <a:noFill/>
                          </a:ln>
                        </pic:spPr>
                      </pic:pic>
                    </a:graphicData>
                  </a:graphic>
                </wp:inline>
              </w:drawing>
            </w:r>
          </w:p>
        </w:tc>
      </w:tr>
      <w:tr w14:paraId="1EEB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6A926F6">
            <w:pPr>
              <w:widowControl w:val="0"/>
              <w:ind w:left="0" w:leftChars="0" w:firstLine="0" w:firstLineChars="0"/>
            </w:pPr>
            <w:r>
              <w:drawing>
                <wp:inline distT="0" distB="0" distL="114300" distR="114300">
                  <wp:extent cx="5577840" cy="7887335"/>
                  <wp:effectExtent l="0" t="0" r="3810" b="18415"/>
                  <wp:docPr id="9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0"/>
                          <pic:cNvPicPr>
                            <a:picLocks noChangeAspect="1"/>
                          </pic:cNvPicPr>
                        </pic:nvPicPr>
                        <pic:blipFill>
                          <a:blip r:embed="rId57"/>
                          <a:stretch>
                            <a:fillRect/>
                          </a:stretch>
                        </pic:blipFill>
                        <pic:spPr>
                          <a:xfrm>
                            <a:off x="0" y="0"/>
                            <a:ext cx="5577840" cy="7887335"/>
                          </a:xfrm>
                          <a:prstGeom prst="rect">
                            <a:avLst/>
                          </a:prstGeom>
                          <a:noFill/>
                          <a:ln>
                            <a:noFill/>
                          </a:ln>
                        </pic:spPr>
                      </pic:pic>
                    </a:graphicData>
                  </a:graphic>
                </wp:inline>
              </w:drawing>
            </w:r>
          </w:p>
        </w:tc>
      </w:tr>
      <w:tr w14:paraId="2BECD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5657123E">
            <w:pPr>
              <w:widowControl w:val="0"/>
              <w:ind w:left="0" w:leftChars="0" w:firstLine="0" w:firstLineChars="0"/>
            </w:pPr>
            <w:r>
              <w:drawing>
                <wp:inline distT="0" distB="0" distL="114300" distR="114300">
                  <wp:extent cx="5577205" cy="7889875"/>
                  <wp:effectExtent l="0" t="0" r="4445" b="15875"/>
                  <wp:docPr id="10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6"/>
                          <pic:cNvPicPr>
                            <a:picLocks noChangeAspect="1"/>
                          </pic:cNvPicPr>
                        </pic:nvPicPr>
                        <pic:blipFill>
                          <a:blip r:embed="rId58"/>
                          <a:stretch>
                            <a:fillRect/>
                          </a:stretch>
                        </pic:blipFill>
                        <pic:spPr>
                          <a:xfrm>
                            <a:off x="0" y="0"/>
                            <a:ext cx="5577205" cy="7889875"/>
                          </a:xfrm>
                          <a:prstGeom prst="rect">
                            <a:avLst/>
                          </a:prstGeom>
                          <a:noFill/>
                          <a:ln>
                            <a:noFill/>
                          </a:ln>
                        </pic:spPr>
                      </pic:pic>
                    </a:graphicData>
                  </a:graphic>
                </wp:inline>
              </w:drawing>
            </w:r>
          </w:p>
        </w:tc>
      </w:tr>
      <w:tr w14:paraId="6C97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5B1EF1F1">
            <w:pPr>
              <w:widowControl w:val="0"/>
              <w:ind w:left="0" w:leftChars="0" w:firstLine="0" w:firstLineChars="0"/>
            </w:pPr>
            <w:r>
              <w:drawing>
                <wp:inline distT="0" distB="0" distL="114300" distR="114300">
                  <wp:extent cx="5577205" cy="7889875"/>
                  <wp:effectExtent l="0" t="0" r="4445" b="15875"/>
                  <wp:docPr id="10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8"/>
                          <pic:cNvPicPr>
                            <a:picLocks noChangeAspect="1"/>
                          </pic:cNvPicPr>
                        </pic:nvPicPr>
                        <pic:blipFill>
                          <a:blip r:embed="rId59"/>
                          <a:stretch>
                            <a:fillRect/>
                          </a:stretch>
                        </pic:blipFill>
                        <pic:spPr>
                          <a:xfrm>
                            <a:off x="0" y="0"/>
                            <a:ext cx="5577205" cy="7889875"/>
                          </a:xfrm>
                          <a:prstGeom prst="rect">
                            <a:avLst/>
                          </a:prstGeom>
                          <a:noFill/>
                          <a:ln>
                            <a:noFill/>
                          </a:ln>
                        </pic:spPr>
                      </pic:pic>
                    </a:graphicData>
                  </a:graphic>
                </wp:inline>
              </w:drawing>
            </w:r>
          </w:p>
        </w:tc>
      </w:tr>
      <w:tr w14:paraId="4940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51742051">
            <w:pPr>
              <w:widowControl w:val="0"/>
              <w:ind w:left="0" w:leftChars="0" w:firstLine="0" w:firstLineChars="0"/>
            </w:pPr>
            <w:r>
              <w:drawing>
                <wp:inline distT="0" distB="0" distL="114300" distR="114300">
                  <wp:extent cx="5577205" cy="7889875"/>
                  <wp:effectExtent l="0" t="0" r="4445" b="15875"/>
                  <wp:docPr id="10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9"/>
                          <pic:cNvPicPr>
                            <a:picLocks noChangeAspect="1"/>
                          </pic:cNvPicPr>
                        </pic:nvPicPr>
                        <pic:blipFill>
                          <a:blip r:embed="rId60"/>
                          <a:stretch>
                            <a:fillRect/>
                          </a:stretch>
                        </pic:blipFill>
                        <pic:spPr>
                          <a:xfrm>
                            <a:off x="0" y="0"/>
                            <a:ext cx="5577205" cy="7889875"/>
                          </a:xfrm>
                          <a:prstGeom prst="rect">
                            <a:avLst/>
                          </a:prstGeom>
                          <a:noFill/>
                          <a:ln>
                            <a:noFill/>
                          </a:ln>
                        </pic:spPr>
                      </pic:pic>
                    </a:graphicData>
                  </a:graphic>
                </wp:inline>
              </w:drawing>
            </w:r>
          </w:p>
        </w:tc>
      </w:tr>
      <w:tr w14:paraId="3E3EA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72E2CECD">
            <w:pPr>
              <w:widowControl w:val="0"/>
              <w:ind w:left="0" w:leftChars="0" w:firstLine="0" w:firstLineChars="0"/>
            </w:pPr>
            <w:r>
              <w:drawing>
                <wp:inline distT="0" distB="0" distL="114300" distR="114300">
                  <wp:extent cx="5577205" cy="7889875"/>
                  <wp:effectExtent l="0" t="0" r="4445" b="15875"/>
                  <wp:docPr id="10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21"/>
                          <pic:cNvPicPr>
                            <a:picLocks noChangeAspect="1"/>
                          </pic:cNvPicPr>
                        </pic:nvPicPr>
                        <pic:blipFill>
                          <a:blip r:embed="rId61"/>
                          <a:stretch>
                            <a:fillRect/>
                          </a:stretch>
                        </pic:blipFill>
                        <pic:spPr>
                          <a:xfrm>
                            <a:off x="0" y="0"/>
                            <a:ext cx="5577205" cy="7889875"/>
                          </a:xfrm>
                          <a:prstGeom prst="rect">
                            <a:avLst/>
                          </a:prstGeom>
                          <a:noFill/>
                          <a:ln>
                            <a:noFill/>
                          </a:ln>
                        </pic:spPr>
                      </pic:pic>
                    </a:graphicData>
                  </a:graphic>
                </wp:inline>
              </w:drawing>
            </w:r>
          </w:p>
        </w:tc>
      </w:tr>
      <w:tr w14:paraId="68E2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66A4D476">
            <w:pPr>
              <w:widowControl w:val="0"/>
              <w:ind w:left="0" w:leftChars="0" w:firstLine="0" w:firstLineChars="0"/>
            </w:pPr>
            <w:r>
              <w:drawing>
                <wp:inline distT="0" distB="0" distL="114300" distR="114300">
                  <wp:extent cx="5577205" cy="7889875"/>
                  <wp:effectExtent l="0" t="0" r="4445" b="15875"/>
                  <wp:docPr id="10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22"/>
                          <pic:cNvPicPr>
                            <a:picLocks noChangeAspect="1"/>
                          </pic:cNvPicPr>
                        </pic:nvPicPr>
                        <pic:blipFill>
                          <a:blip r:embed="rId62"/>
                          <a:stretch>
                            <a:fillRect/>
                          </a:stretch>
                        </pic:blipFill>
                        <pic:spPr>
                          <a:xfrm>
                            <a:off x="0" y="0"/>
                            <a:ext cx="5577205" cy="7889875"/>
                          </a:xfrm>
                          <a:prstGeom prst="rect">
                            <a:avLst/>
                          </a:prstGeom>
                          <a:noFill/>
                          <a:ln>
                            <a:noFill/>
                          </a:ln>
                        </pic:spPr>
                      </pic:pic>
                    </a:graphicData>
                  </a:graphic>
                </wp:inline>
              </w:drawing>
            </w:r>
          </w:p>
        </w:tc>
      </w:tr>
      <w:tr w14:paraId="3E566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28DBE441">
            <w:pPr>
              <w:widowControl w:val="0"/>
              <w:ind w:left="0" w:leftChars="0" w:firstLine="0" w:firstLineChars="0"/>
            </w:pPr>
            <w:r>
              <w:drawing>
                <wp:inline distT="0" distB="0" distL="114300" distR="114300">
                  <wp:extent cx="5577205" cy="7889875"/>
                  <wp:effectExtent l="0" t="0" r="4445" b="15875"/>
                  <wp:docPr id="11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23"/>
                          <pic:cNvPicPr>
                            <a:picLocks noChangeAspect="1"/>
                          </pic:cNvPicPr>
                        </pic:nvPicPr>
                        <pic:blipFill>
                          <a:blip r:embed="rId63"/>
                          <a:stretch>
                            <a:fillRect/>
                          </a:stretch>
                        </pic:blipFill>
                        <pic:spPr>
                          <a:xfrm>
                            <a:off x="0" y="0"/>
                            <a:ext cx="5577205" cy="7889875"/>
                          </a:xfrm>
                          <a:prstGeom prst="rect">
                            <a:avLst/>
                          </a:prstGeom>
                          <a:noFill/>
                          <a:ln>
                            <a:noFill/>
                          </a:ln>
                        </pic:spPr>
                      </pic:pic>
                    </a:graphicData>
                  </a:graphic>
                </wp:inline>
              </w:drawing>
            </w:r>
          </w:p>
        </w:tc>
      </w:tr>
      <w:tr w14:paraId="3F66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069EEDF9">
            <w:pPr>
              <w:widowControl w:val="0"/>
              <w:ind w:left="0" w:leftChars="0" w:firstLine="0" w:firstLineChars="0"/>
            </w:pPr>
            <w:r>
              <w:drawing>
                <wp:inline distT="0" distB="0" distL="114300" distR="114300">
                  <wp:extent cx="5577205" cy="7889875"/>
                  <wp:effectExtent l="0" t="0" r="4445" b="15875"/>
                  <wp:docPr id="11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4"/>
                          <pic:cNvPicPr>
                            <a:picLocks noChangeAspect="1"/>
                          </pic:cNvPicPr>
                        </pic:nvPicPr>
                        <pic:blipFill>
                          <a:blip r:embed="rId64"/>
                          <a:stretch>
                            <a:fillRect/>
                          </a:stretch>
                        </pic:blipFill>
                        <pic:spPr>
                          <a:xfrm>
                            <a:off x="0" y="0"/>
                            <a:ext cx="5577205" cy="7889875"/>
                          </a:xfrm>
                          <a:prstGeom prst="rect">
                            <a:avLst/>
                          </a:prstGeom>
                          <a:noFill/>
                          <a:ln>
                            <a:noFill/>
                          </a:ln>
                        </pic:spPr>
                      </pic:pic>
                    </a:graphicData>
                  </a:graphic>
                </wp:inline>
              </w:drawing>
            </w:r>
          </w:p>
        </w:tc>
      </w:tr>
      <w:tr w14:paraId="38243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466228D4">
            <w:pPr>
              <w:widowControl w:val="0"/>
              <w:ind w:left="0" w:leftChars="0" w:firstLine="0" w:firstLineChars="0"/>
            </w:pPr>
            <w:r>
              <w:drawing>
                <wp:inline distT="0" distB="0" distL="114300" distR="114300">
                  <wp:extent cx="5577205" cy="7889875"/>
                  <wp:effectExtent l="0" t="0" r="4445" b="15875"/>
                  <wp:docPr id="11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5"/>
                          <pic:cNvPicPr>
                            <a:picLocks noChangeAspect="1"/>
                          </pic:cNvPicPr>
                        </pic:nvPicPr>
                        <pic:blipFill>
                          <a:blip r:embed="rId65"/>
                          <a:stretch>
                            <a:fillRect/>
                          </a:stretch>
                        </pic:blipFill>
                        <pic:spPr>
                          <a:xfrm>
                            <a:off x="0" y="0"/>
                            <a:ext cx="5577205" cy="7889875"/>
                          </a:xfrm>
                          <a:prstGeom prst="rect">
                            <a:avLst/>
                          </a:prstGeom>
                          <a:noFill/>
                          <a:ln>
                            <a:noFill/>
                          </a:ln>
                        </pic:spPr>
                      </pic:pic>
                    </a:graphicData>
                  </a:graphic>
                </wp:inline>
              </w:drawing>
            </w:r>
          </w:p>
        </w:tc>
      </w:tr>
      <w:tr w14:paraId="4191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71F443AF">
            <w:pPr>
              <w:widowControl w:val="0"/>
              <w:ind w:left="0" w:leftChars="0" w:firstLine="0" w:firstLineChars="0"/>
            </w:pPr>
            <w:r>
              <w:drawing>
                <wp:inline distT="0" distB="0" distL="114300" distR="114300">
                  <wp:extent cx="5577205" cy="7889875"/>
                  <wp:effectExtent l="0" t="0" r="4445" b="15875"/>
                  <wp:docPr id="11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26"/>
                          <pic:cNvPicPr>
                            <a:picLocks noChangeAspect="1"/>
                          </pic:cNvPicPr>
                        </pic:nvPicPr>
                        <pic:blipFill>
                          <a:blip r:embed="rId66"/>
                          <a:stretch>
                            <a:fillRect/>
                          </a:stretch>
                        </pic:blipFill>
                        <pic:spPr>
                          <a:xfrm>
                            <a:off x="0" y="0"/>
                            <a:ext cx="5577205" cy="7889875"/>
                          </a:xfrm>
                          <a:prstGeom prst="rect">
                            <a:avLst/>
                          </a:prstGeom>
                          <a:noFill/>
                          <a:ln>
                            <a:noFill/>
                          </a:ln>
                        </pic:spPr>
                      </pic:pic>
                    </a:graphicData>
                  </a:graphic>
                </wp:inline>
              </w:drawing>
            </w:r>
          </w:p>
        </w:tc>
      </w:tr>
      <w:tr w14:paraId="25E8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E985829">
            <w:pPr>
              <w:widowControl w:val="0"/>
              <w:ind w:left="0" w:leftChars="0" w:firstLine="0" w:firstLineChars="0"/>
            </w:pPr>
            <w:r>
              <w:drawing>
                <wp:inline distT="0" distB="0" distL="114300" distR="114300">
                  <wp:extent cx="5577205" cy="7889875"/>
                  <wp:effectExtent l="0" t="0" r="4445" b="15875"/>
                  <wp:docPr id="12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34"/>
                          <pic:cNvPicPr>
                            <a:picLocks noChangeAspect="1"/>
                          </pic:cNvPicPr>
                        </pic:nvPicPr>
                        <pic:blipFill>
                          <a:blip r:embed="rId67"/>
                          <a:stretch>
                            <a:fillRect/>
                          </a:stretch>
                        </pic:blipFill>
                        <pic:spPr>
                          <a:xfrm>
                            <a:off x="0" y="0"/>
                            <a:ext cx="5577205" cy="7889875"/>
                          </a:xfrm>
                          <a:prstGeom prst="rect">
                            <a:avLst/>
                          </a:prstGeom>
                          <a:noFill/>
                          <a:ln>
                            <a:noFill/>
                          </a:ln>
                        </pic:spPr>
                      </pic:pic>
                    </a:graphicData>
                  </a:graphic>
                </wp:inline>
              </w:drawing>
            </w:r>
          </w:p>
        </w:tc>
      </w:tr>
      <w:tr w14:paraId="3506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98F7131">
            <w:pPr>
              <w:widowControl w:val="0"/>
              <w:ind w:left="0" w:leftChars="0" w:firstLine="0" w:firstLineChars="0"/>
            </w:pPr>
            <w:r>
              <w:drawing>
                <wp:inline distT="0" distB="0" distL="114300" distR="114300">
                  <wp:extent cx="5577205" cy="7889875"/>
                  <wp:effectExtent l="0" t="0" r="4445" b="15875"/>
                  <wp:docPr id="12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36"/>
                          <pic:cNvPicPr>
                            <a:picLocks noChangeAspect="1"/>
                          </pic:cNvPicPr>
                        </pic:nvPicPr>
                        <pic:blipFill>
                          <a:blip r:embed="rId68"/>
                          <a:stretch>
                            <a:fillRect/>
                          </a:stretch>
                        </pic:blipFill>
                        <pic:spPr>
                          <a:xfrm>
                            <a:off x="0" y="0"/>
                            <a:ext cx="5577205" cy="7889875"/>
                          </a:xfrm>
                          <a:prstGeom prst="rect">
                            <a:avLst/>
                          </a:prstGeom>
                          <a:noFill/>
                          <a:ln>
                            <a:noFill/>
                          </a:ln>
                        </pic:spPr>
                      </pic:pic>
                    </a:graphicData>
                  </a:graphic>
                </wp:inline>
              </w:drawing>
            </w:r>
          </w:p>
        </w:tc>
      </w:tr>
      <w:tr w14:paraId="7184A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55A96F52">
            <w:pPr>
              <w:widowControl w:val="0"/>
              <w:ind w:left="0" w:leftChars="0" w:firstLine="0" w:firstLineChars="0"/>
            </w:pPr>
            <w:r>
              <w:drawing>
                <wp:inline distT="0" distB="0" distL="114300" distR="114300">
                  <wp:extent cx="5577205" cy="7889875"/>
                  <wp:effectExtent l="0" t="0" r="4445" b="15875"/>
                  <wp:docPr id="12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37"/>
                          <pic:cNvPicPr>
                            <a:picLocks noChangeAspect="1"/>
                          </pic:cNvPicPr>
                        </pic:nvPicPr>
                        <pic:blipFill>
                          <a:blip r:embed="rId69"/>
                          <a:stretch>
                            <a:fillRect/>
                          </a:stretch>
                        </pic:blipFill>
                        <pic:spPr>
                          <a:xfrm>
                            <a:off x="0" y="0"/>
                            <a:ext cx="5577205" cy="7889875"/>
                          </a:xfrm>
                          <a:prstGeom prst="rect">
                            <a:avLst/>
                          </a:prstGeom>
                          <a:noFill/>
                          <a:ln>
                            <a:noFill/>
                          </a:ln>
                        </pic:spPr>
                      </pic:pic>
                    </a:graphicData>
                  </a:graphic>
                </wp:inline>
              </w:drawing>
            </w:r>
          </w:p>
        </w:tc>
      </w:tr>
      <w:tr w14:paraId="1CA0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5807473E">
            <w:pPr>
              <w:widowControl w:val="0"/>
              <w:ind w:left="0" w:leftChars="0" w:firstLine="0" w:firstLineChars="0"/>
            </w:pPr>
            <w:r>
              <w:drawing>
                <wp:inline distT="0" distB="0" distL="114300" distR="114300">
                  <wp:extent cx="5577205" cy="7889875"/>
                  <wp:effectExtent l="0" t="0" r="4445" b="15875"/>
                  <wp:docPr id="12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38"/>
                          <pic:cNvPicPr>
                            <a:picLocks noChangeAspect="1"/>
                          </pic:cNvPicPr>
                        </pic:nvPicPr>
                        <pic:blipFill>
                          <a:blip r:embed="rId70"/>
                          <a:stretch>
                            <a:fillRect/>
                          </a:stretch>
                        </pic:blipFill>
                        <pic:spPr>
                          <a:xfrm>
                            <a:off x="0" y="0"/>
                            <a:ext cx="5577205" cy="7889875"/>
                          </a:xfrm>
                          <a:prstGeom prst="rect">
                            <a:avLst/>
                          </a:prstGeom>
                          <a:noFill/>
                          <a:ln>
                            <a:noFill/>
                          </a:ln>
                        </pic:spPr>
                      </pic:pic>
                    </a:graphicData>
                  </a:graphic>
                </wp:inline>
              </w:drawing>
            </w:r>
          </w:p>
        </w:tc>
      </w:tr>
      <w:tr w14:paraId="69F4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7A784038">
            <w:pPr>
              <w:widowControl w:val="0"/>
              <w:ind w:left="0" w:leftChars="0" w:firstLine="0" w:firstLineChars="0"/>
            </w:pPr>
            <w:r>
              <w:drawing>
                <wp:inline distT="0" distB="0" distL="114300" distR="114300">
                  <wp:extent cx="5577205" cy="7889875"/>
                  <wp:effectExtent l="0" t="0" r="4445" b="15875"/>
                  <wp:docPr id="12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39"/>
                          <pic:cNvPicPr>
                            <a:picLocks noChangeAspect="1"/>
                          </pic:cNvPicPr>
                        </pic:nvPicPr>
                        <pic:blipFill>
                          <a:blip r:embed="rId71"/>
                          <a:stretch>
                            <a:fillRect/>
                          </a:stretch>
                        </pic:blipFill>
                        <pic:spPr>
                          <a:xfrm>
                            <a:off x="0" y="0"/>
                            <a:ext cx="5577205" cy="7889875"/>
                          </a:xfrm>
                          <a:prstGeom prst="rect">
                            <a:avLst/>
                          </a:prstGeom>
                          <a:noFill/>
                          <a:ln>
                            <a:noFill/>
                          </a:ln>
                        </pic:spPr>
                      </pic:pic>
                    </a:graphicData>
                  </a:graphic>
                </wp:inline>
              </w:drawing>
            </w:r>
          </w:p>
        </w:tc>
      </w:tr>
      <w:tr w14:paraId="59DE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7771E4B2">
            <w:pPr>
              <w:widowControl w:val="0"/>
              <w:ind w:left="0" w:leftChars="0" w:firstLine="0" w:firstLineChars="0"/>
            </w:pPr>
            <w:r>
              <w:drawing>
                <wp:inline distT="0" distB="0" distL="114300" distR="114300">
                  <wp:extent cx="5577205" cy="7889875"/>
                  <wp:effectExtent l="0" t="0" r="4445" b="15875"/>
                  <wp:docPr id="12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40"/>
                          <pic:cNvPicPr>
                            <a:picLocks noChangeAspect="1"/>
                          </pic:cNvPicPr>
                        </pic:nvPicPr>
                        <pic:blipFill>
                          <a:blip r:embed="rId72"/>
                          <a:stretch>
                            <a:fillRect/>
                          </a:stretch>
                        </pic:blipFill>
                        <pic:spPr>
                          <a:xfrm>
                            <a:off x="0" y="0"/>
                            <a:ext cx="5577205" cy="7889875"/>
                          </a:xfrm>
                          <a:prstGeom prst="rect">
                            <a:avLst/>
                          </a:prstGeom>
                          <a:noFill/>
                          <a:ln>
                            <a:noFill/>
                          </a:ln>
                        </pic:spPr>
                      </pic:pic>
                    </a:graphicData>
                  </a:graphic>
                </wp:inline>
              </w:drawing>
            </w:r>
          </w:p>
        </w:tc>
      </w:tr>
      <w:tr w14:paraId="6FFA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1F6C8C97">
            <w:pPr>
              <w:widowControl w:val="0"/>
              <w:ind w:left="0" w:leftChars="0" w:firstLine="0" w:firstLineChars="0"/>
            </w:pPr>
            <w:r>
              <w:drawing>
                <wp:inline distT="0" distB="0" distL="114300" distR="114300">
                  <wp:extent cx="5577205" cy="7889875"/>
                  <wp:effectExtent l="0" t="0" r="4445" b="15875"/>
                  <wp:docPr id="12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41"/>
                          <pic:cNvPicPr>
                            <a:picLocks noChangeAspect="1"/>
                          </pic:cNvPicPr>
                        </pic:nvPicPr>
                        <pic:blipFill>
                          <a:blip r:embed="rId73"/>
                          <a:stretch>
                            <a:fillRect/>
                          </a:stretch>
                        </pic:blipFill>
                        <pic:spPr>
                          <a:xfrm>
                            <a:off x="0" y="0"/>
                            <a:ext cx="5577205" cy="7889875"/>
                          </a:xfrm>
                          <a:prstGeom prst="rect">
                            <a:avLst/>
                          </a:prstGeom>
                          <a:noFill/>
                          <a:ln>
                            <a:noFill/>
                          </a:ln>
                        </pic:spPr>
                      </pic:pic>
                    </a:graphicData>
                  </a:graphic>
                </wp:inline>
              </w:drawing>
            </w:r>
          </w:p>
        </w:tc>
      </w:tr>
      <w:tr w14:paraId="01F3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0D015B49">
            <w:pPr>
              <w:widowControl w:val="0"/>
              <w:ind w:left="0" w:leftChars="0" w:firstLine="0" w:firstLineChars="0"/>
            </w:pPr>
            <w:r>
              <w:drawing>
                <wp:inline distT="0" distB="0" distL="114300" distR="114300">
                  <wp:extent cx="5577205" cy="7889875"/>
                  <wp:effectExtent l="0" t="0" r="4445" b="15875"/>
                  <wp:docPr id="129"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42"/>
                          <pic:cNvPicPr>
                            <a:picLocks noChangeAspect="1"/>
                          </pic:cNvPicPr>
                        </pic:nvPicPr>
                        <pic:blipFill>
                          <a:blip r:embed="rId74"/>
                          <a:stretch>
                            <a:fillRect/>
                          </a:stretch>
                        </pic:blipFill>
                        <pic:spPr>
                          <a:xfrm>
                            <a:off x="0" y="0"/>
                            <a:ext cx="5577205" cy="7889875"/>
                          </a:xfrm>
                          <a:prstGeom prst="rect">
                            <a:avLst/>
                          </a:prstGeom>
                          <a:noFill/>
                          <a:ln>
                            <a:noFill/>
                          </a:ln>
                        </pic:spPr>
                      </pic:pic>
                    </a:graphicData>
                  </a:graphic>
                </wp:inline>
              </w:drawing>
            </w:r>
          </w:p>
        </w:tc>
      </w:tr>
      <w:tr w14:paraId="1DCB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55E0B007">
            <w:pPr>
              <w:widowControl w:val="0"/>
              <w:ind w:left="0" w:leftChars="0" w:firstLine="0" w:firstLineChars="0"/>
            </w:pPr>
            <w:r>
              <w:drawing>
                <wp:inline distT="0" distB="0" distL="114300" distR="114300">
                  <wp:extent cx="5577205" cy="7889875"/>
                  <wp:effectExtent l="0" t="0" r="4445" b="15875"/>
                  <wp:docPr id="13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43"/>
                          <pic:cNvPicPr>
                            <a:picLocks noChangeAspect="1"/>
                          </pic:cNvPicPr>
                        </pic:nvPicPr>
                        <pic:blipFill>
                          <a:blip r:embed="rId75"/>
                          <a:stretch>
                            <a:fillRect/>
                          </a:stretch>
                        </pic:blipFill>
                        <pic:spPr>
                          <a:xfrm>
                            <a:off x="0" y="0"/>
                            <a:ext cx="5577205" cy="7889875"/>
                          </a:xfrm>
                          <a:prstGeom prst="rect">
                            <a:avLst/>
                          </a:prstGeom>
                          <a:noFill/>
                          <a:ln>
                            <a:noFill/>
                          </a:ln>
                        </pic:spPr>
                      </pic:pic>
                    </a:graphicData>
                  </a:graphic>
                </wp:inline>
              </w:drawing>
            </w:r>
          </w:p>
        </w:tc>
      </w:tr>
      <w:tr w14:paraId="4B0B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0F434D97">
            <w:pPr>
              <w:widowControl w:val="0"/>
              <w:ind w:left="0" w:leftChars="0" w:firstLine="0" w:firstLineChars="0"/>
            </w:pPr>
            <w:r>
              <w:drawing>
                <wp:inline distT="0" distB="0" distL="114300" distR="114300">
                  <wp:extent cx="5564505" cy="7857490"/>
                  <wp:effectExtent l="0" t="0" r="17145" b="10160"/>
                  <wp:docPr id="13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44"/>
                          <pic:cNvPicPr>
                            <a:picLocks noChangeAspect="1"/>
                          </pic:cNvPicPr>
                        </pic:nvPicPr>
                        <pic:blipFill>
                          <a:blip r:embed="rId76"/>
                          <a:stretch>
                            <a:fillRect/>
                          </a:stretch>
                        </pic:blipFill>
                        <pic:spPr>
                          <a:xfrm>
                            <a:off x="0" y="0"/>
                            <a:ext cx="5564505" cy="7857490"/>
                          </a:xfrm>
                          <a:prstGeom prst="rect">
                            <a:avLst/>
                          </a:prstGeom>
                          <a:noFill/>
                          <a:ln>
                            <a:noFill/>
                          </a:ln>
                        </pic:spPr>
                      </pic:pic>
                    </a:graphicData>
                  </a:graphic>
                </wp:inline>
              </w:drawing>
            </w:r>
          </w:p>
        </w:tc>
      </w:tr>
      <w:tr w14:paraId="75A6F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09E7F8BE">
            <w:pPr>
              <w:widowControl w:val="0"/>
              <w:ind w:left="0" w:leftChars="0" w:firstLine="0" w:firstLineChars="0"/>
            </w:pPr>
            <w:r>
              <w:drawing>
                <wp:inline distT="0" distB="0" distL="114300" distR="114300">
                  <wp:extent cx="5564505" cy="7857490"/>
                  <wp:effectExtent l="0" t="0" r="17145" b="10160"/>
                  <wp:docPr id="13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45"/>
                          <pic:cNvPicPr>
                            <a:picLocks noChangeAspect="1"/>
                          </pic:cNvPicPr>
                        </pic:nvPicPr>
                        <pic:blipFill>
                          <a:blip r:embed="rId77"/>
                          <a:stretch>
                            <a:fillRect/>
                          </a:stretch>
                        </pic:blipFill>
                        <pic:spPr>
                          <a:xfrm>
                            <a:off x="0" y="0"/>
                            <a:ext cx="5564505" cy="7857490"/>
                          </a:xfrm>
                          <a:prstGeom prst="rect">
                            <a:avLst/>
                          </a:prstGeom>
                          <a:noFill/>
                          <a:ln>
                            <a:noFill/>
                          </a:ln>
                        </pic:spPr>
                      </pic:pic>
                    </a:graphicData>
                  </a:graphic>
                </wp:inline>
              </w:drawing>
            </w:r>
          </w:p>
        </w:tc>
      </w:tr>
      <w:tr w14:paraId="4003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2143027D">
            <w:pPr>
              <w:widowControl w:val="0"/>
              <w:ind w:left="0" w:leftChars="0" w:firstLine="0" w:firstLineChars="0"/>
            </w:pPr>
            <w:r>
              <w:drawing>
                <wp:inline distT="0" distB="0" distL="114300" distR="114300">
                  <wp:extent cx="5564505" cy="7857490"/>
                  <wp:effectExtent l="0" t="0" r="17145" b="10160"/>
                  <wp:docPr id="13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46"/>
                          <pic:cNvPicPr>
                            <a:picLocks noChangeAspect="1"/>
                          </pic:cNvPicPr>
                        </pic:nvPicPr>
                        <pic:blipFill>
                          <a:blip r:embed="rId78"/>
                          <a:stretch>
                            <a:fillRect/>
                          </a:stretch>
                        </pic:blipFill>
                        <pic:spPr>
                          <a:xfrm>
                            <a:off x="0" y="0"/>
                            <a:ext cx="5564505" cy="7857490"/>
                          </a:xfrm>
                          <a:prstGeom prst="rect">
                            <a:avLst/>
                          </a:prstGeom>
                          <a:noFill/>
                          <a:ln>
                            <a:noFill/>
                          </a:ln>
                        </pic:spPr>
                      </pic:pic>
                    </a:graphicData>
                  </a:graphic>
                </wp:inline>
              </w:drawing>
            </w:r>
          </w:p>
        </w:tc>
      </w:tr>
    </w:tbl>
    <w:p w14:paraId="48C9D82E">
      <w:pPr>
        <w:ind w:left="0" w:leftChars="0" w:firstLine="0" w:firstLineChars="0"/>
        <w:rPr>
          <w:rFonts w:hint="eastAsia"/>
          <w:lang w:val="en-US" w:eastAsia="zh-CN"/>
        </w:rPr>
      </w:pPr>
    </w:p>
    <w:p w14:paraId="4BD74F8F">
      <w:pPr>
        <w:rPr>
          <w:rFonts w:hint="eastAsia"/>
          <w:lang w:val="en-US" w:eastAsia="zh-CN"/>
        </w:rPr>
        <w:sectPr>
          <w:pgSz w:w="11905" w:h="16840"/>
          <w:pgMar w:top="1418" w:right="1417" w:bottom="1418" w:left="1701" w:header="851" w:footer="992" w:gutter="0"/>
          <w:pgBorders>
            <w:top w:val="none" w:sz="0" w:space="0"/>
            <w:left w:val="none" w:sz="0" w:space="0"/>
            <w:bottom w:val="none" w:sz="0" w:space="0"/>
            <w:right w:val="none" w:sz="0" w:space="0"/>
          </w:pgBorders>
          <w:cols w:space="0" w:num="1"/>
          <w:docGrid w:linePitch="326" w:charSpace="0"/>
        </w:sectPr>
      </w:pPr>
    </w:p>
    <w:p w14:paraId="4EE48FA9">
      <w:pPr>
        <w:pStyle w:val="14"/>
        <w:widowControl w:val="0"/>
        <w:numPr>
          <w:ilvl w:val="0"/>
          <w:numId w:val="32"/>
        </w:numPr>
        <w:tabs>
          <w:tab w:val="left" w:pos="283"/>
        </w:tabs>
        <w:ind w:firstLineChars="0"/>
        <w:outlineLvl w:val="0"/>
      </w:pPr>
      <w:bookmarkStart w:id="199" w:name="_Toc7052"/>
      <w:r>
        <w:rPr>
          <w:rFonts w:hint="eastAsia" w:ascii="Times New Roman" w:hAnsi="Times New Roman" w:cs="Times New Roman"/>
          <w:b/>
          <w:bCs/>
          <w:sz w:val="28"/>
          <w:szCs w:val="28"/>
          <w:lang w:val="en-US" w:eastAsia="zh-CN"/>
        </w:rPr>
        <w:t>粉煤灰销售合同</w:t>
      </w:r>
      <w:bookmarkEnd w:id="199"/>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3"/>
      </w:tblGrid>
      <w:tr w14:paraId="54F8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03A70C6">
            <w:pPr>
              <w:widowControl w:val="0"/>
              <w:ind w:left="0" w:leftChars="0" w:right="0" w:rightChars="0" w:firstLine="0" w:firstLineChars="0"/>
              <w:jc w:val="center"/>
              <w:rPr>
                <w:vertAlign w:val="baseline"/>
              </w:rPr>
            </w:pPr>
            <w:r>
              <w:rPr>
                <w:rFonts w:hint="eastAsia"/>
              </w:rPr>
              <w:drawing>
                <wp:inline distT="0" distB="0" distL="0" distR="0">
                  <wp:extent cx="5257800" cy="7439025"/>
                  <wp:effectExtent l="0" t="0" r="0" b="9525"/>
                  <wp:docPr id="1008920360" name="图片 21" descr="第1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20360" name="图片 21" descr="第1页-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5257800" cy="7439025"/>
                          </a:xfrm>
                          <a:prstGeom prst="rect">
                            <a:avLst/>
                          </a:prstGeom>
                          <a:noFill/>
                          <a:ln>
                            <a:noFill/>
                          </a:ln>
                        </pic:spPr>
                      </pic:pic>
                    </a:graphicData>
                  </a:graphic>
                </wp:inline>
              </w:drawing>
            </w:r>
          </w:p>
        </w:tc>
      </w:tr>
      <w:tr w14:paraId="6195B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1394ED08">
            <w:pPr>
              <w:widowControl w:val="0"/>
              <w:ind w:left="0" w:leftChars="0" w:right="0" w:rightChars="0" w:firstLine="0" w:firstLineChars="0"/>
              <w:jc w:val="center"/>
              <w:rPr>
                <w:rFonts w:hint="eastAsia"/>
              </w:rPr>
            </w:pPr>
            <w:r>
              <w:rPr>
                <w:rFonts w:hint="eastAsia"/>
              </w:rPr>
              <w:drawing>
                <wp:inline distT="0" distB="0" distL="0" distR="0">
                  <wp:extent cx="5257800" cy="7439025"/>
                  <wp:effectExtent l="0" t="0" r="0" b="9525"/>
                  <wp:docPr id="414234313" name="图片 20" descr="第2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34313" name="图片 20" descr="第2页-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5257800" cy="7439025"/>
                          </a:xfrm>
                          <a:prstGeom prst="rect">
                            <a:avLst/>
                          </a:prstGeom>
                          <a:noFill/>
                          <a:ln>
                            <a:noFill/>
                          </a:ln>
                        </pic:spPr>
                      </pic:pic>
                    </a:graphicData>
                  </a:graphic>
                </wp:inline>
              </w:drawing>
            </w:r>
          </w:p>
        </w:tc>
      </w:tr>
      <w:tr w14:paraId="3981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109E546F">
            <w:pPr>
              <w:widowControl w:val="0"/>
              <w:ind w:left="0" w:leftChars="0" w:right="0" w:rightChars="0" w:firstLine="0" w:firstLineChars="0"/>
              <w:jc w:val="center"/>
              <w:rPr>
                <w:rFonts w:hint="eastAsia"/>
              </w:rPr>
            </w:pPr>
            <w:r>
              <w:rPr>
                <w:rFonts w:hint="eastAsia"/>
              </w:rPr>
              <w:drawing>
                <wp:inline distT="0" distB="0" distL="0" distR="0">
                  <wp:extent cx="5257800" cy="7439025"/>
                  <wp:effectExtent l="0" t="0" r="0" b="9525"/>
                  <wp:docPr id="642855192" name="图片 19" descr="第3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855192" name="图片 19" descr="第3页-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5257800" cy="7439025"/>
                          </a:xfrm>
                          <a:prstGeom prst="rect">
                            <a:avLst/>
                          </a:prstGeom>
                          <a:noFill/>
                          <a:ln>
                            <a:noFill/>
                          </a:ln>
                        </pic:spPr>
                      </pic:pic>
                    </a:graphicData>
                  </a:graphic>
                </wp:inline>
              </w:drawing>
            </w:r>
          </w:p>
        </w:tc>
      </w:tr>
      <w:tr w14:paraId="1419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13B71AA8">
            <w:pPr>
              <w:widowControl w:val="0"/>
              <w:ind w:left="0" w:leftChars="0" w:right="0" w:rightChars="0" w:firstLine="0" w:firstLineChars="0"/>
              <w:jc w:val="center"/>
              <w:rPr>
                <w:rFonts w:hint="eastAsia"/>
              </w:rPr>
            </w:pPr>
            <w:r>
              <w:rPr>
                <w:rFonts w:hint="eastAsia"/>
              </w:rPr>
              <w:drawing>
                <wp:inline distT="0" distB="0" distL="0" distR="0">
                  <wp:extent cx="5257800" cy="7439025"/>
                  <wp:effectExtent l="0" t="0" r="0" b="9525"/>
                  <wp:docPr id="1828113852" name="图片 18" descr="第4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113852" name="图片 18" descr="第4页-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5257800" cy="7439025"/>
                          </a:xfrm>
                          <a:prstGeom prst="rect">
                            <a:avLst/>
                          </a:prstGeom>
                          <a:noFill/>
                          <a:ln>
                            <a:noFill/>
                          </a:ln>
                        </pic:spPr>
                      </pic:pic>
                    </a:graphicData>
                  </a:graphic>
                </wp:inline>
              </w:drawing>
            </w:r>
          </w:p>
        </w:tc>
      </w:tr>
      <w:tr w14:paraId="2C2CC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428CC12B">
            <w:pPr>
              <w:widowControl w:val="0"/>
              <w:ind w:left="0" w:leftChars="0" w:right="0" w:rightChars="0" w:firstLine="0" w:firstLineChars="0"/>
              <w:jc w:val="center"/>
              <w:rPr>
                <w:rFonts w:hint="eastAsia"/>
              </w:rPr>
            </w:pPr>
            <w:r>
              <w:rPr>
                <w:rFonts w:hint="eastAsia"/>
              </w:rPr>
              <w:drawing>
                <wp:inline distT="0" distB="0" distL="0" distR="0">
                  <wp:extent cx="5257800" cy="7439025"/>
                  <wp:effectExtent l="0" t="0" r="0" b="9525"/>
                  <wp:docPr id="1591193943" name="图片 17" descr="第5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93943" name="图片 17" descr="第5页-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5257800" cy="7439025"/>
                          </a:xfrm>
                          <a:prstGeom prst="rect">
                            <a:avLst/>
                          </a:prstGeom>
                          <a:noFill/>
                          <a:ln>
                            <a:noFill/>
                          </a:ln>
                        </pic:spPr>
                      </pic:pic>
                    </a:graphicData>
                  </a:graphic>
                </wp:inline>
              </w:drawing>
            </w:r>
          </w:p>
        </w:tc>
      </w:tr>
      <w:tr w14:paraId="0CF2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0B7C14E">
            <w:pPr>
              <w:widowControl w:val="0"/>
              <w:ind w:left="0" w:leftChars="0" w:right="0" w:rightChars="0" w:firstLine="0" w:firstLineChars="0"/>
              <w:jc w:val="center"/>
              <w:rPr>
                <w:rFonts w:hint="eastAsia"/>
              </w:rPr>
            </w:pPr>
            <w:r>
              <w:rPr>
                <w:rFonts w:hint="eastAsia"/>
              </w:rPr>
              <w:drawing>
                <wp:inline distT="0" distB="0" distL="0" distR="0">
                  <wp:extent cx="5257800" cy="7439025"/>
                  <wp:effectExtent l="0" t="0" r="0" b="9525"/>
                  <wp:docPr id="996456108" name="图片 16" descr="第6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456108" name="图片 16" descr="第6页-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5257800" cy="7439025"/>
                          </a:xfrm>
                          <a:prstGeom prst="rect">
                            <a:avLst/>
                          </a:prstGeom>
                          <a:noFill/>
                          <a:ln>
                            <a:noFill/>
                          </a:ln>
                        </pic:spPr>
                      </pic:pic>
                    </a:graphicData>
                  </a:graphic>
                </wp:inline>
              </w:drawing>
            </w:r>
          </w:p>
        </w:tc>
      </w:tr>
      <w:tr w14:paraId="2A61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7B47A125">
            <w:pPr>
              <w:widowControl w:val="0"/>
              <w:ind w:left="0" w:leftChars="0" w:right="0" w:rightChars="0" w:firstLine="0" w:firstLineChars="0"/>
              <w:jc w:val="center"/>
              <w:rPr>
                <w:rFonts w:hint="eastAsia"/>
              </w:rPr>
            </w:pPr>
            <w:r>
              <w:rPr>
                <w:rFonts w:hint="eastAsia"/>
              </w:rPr>
              <w:drawing>
                <wp:inline distT="0" distB="0" distL="0" distR="0">
                  <wp:extent cx="5257800" cy="7439025"/>
                  <wp:effectExtent l="0" t="0" r="0" b="9525"/>
                  <wp:docPr id="643402152" name="图片 15" descr="第7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402152" name="图片 15" descr="第7页-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5257800" cy="7439025"/>
                          </a:xfrm>
                          <a:prstGeom prst="rect">
                            <a:avLst/>
                          </a:prstGeom>
                          <a:noFill/>
                          <a:ln>
                            <a:noFill/>
                          </a:ln>
                        </pic:spPr>
                      </pic:pic>
                    </a:graphicData>
                  </a:graphic>
                </wp:inline>
              </w:drawing>
            </w:r>
          </w:p>
        </w:tc>
      </w:tr>
      <w:tr w14:paraId="064D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282847B2">
            <w:pPr>
              <w:widowControl w:val="0"/>
              <w:ind w:left="0" w:leftChars="0" w:right="0" w:rightChars="0" w:firstLine="0" w:firstLineChars="0"/>
              <w:jc w:val="center"/>
              <w:rPr>
                <w:rFonts w:hint="eastAsia"/>
              </w:rPr>
            </w:pPr>
            <w:r>
              <w:drawing>
                <wp:inline distT="0" distB="0" distL="0" distR="0">
                  <wp:extent cx="5266690" cy="7373620"/>
                  <wp:effectExtent l="0" t="0" r="10160" b="17780"/>
                  <wp:docPr id="126017409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174096" name="图片 3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5266690" cy="7373620"/>
                          </a:xfrm>
                          <a:prstGeom prst="rect">
                            <a:avLst/>
                          </a:prstGeom>
                          <a:noFill/>
                          <a:ln>
                            <a:noFill/>
                          </a:ln>
                          <a:effectLst/>
                        </pic:spPr>
                      </pic:pic>
                    </a:graphicData>
                  </a:graphic>
                </wp:inline>
              </w:drawing>
            </w:r>
          </w:p>
        </w:tc>
      </w:tr>
      <w:tr w14:paraId="1E53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27F56F73">
            <w:pPr>
              <w:widowControl w:val="0"/>
              <w:ind w:left="0" w:leftChars="0" w:right="0" w:rightChars="0" w:firstLine="0" w:firstLineChars="0"/>
              <w:jc w:val="center"/>
            </w:pPr>
            <w:r>
              <w:drawing>
                <wp:inline distT="0" distB="0" distL="0" distR="0">
                  <wp:extent cx="5271135" cy="7421245"/>
                  <wp:effectExtent l="0" t="0" r="5715" b="8255"/>
                  <wp:docPr id="173864128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41288" name="图片 3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5271135" cy="7421245"/>
                          </a:xfrm>
                          <a:prstGeom prst="rect">
                            <a:avLst/>
                          </a:prstGeom>
                          <a:noFill/>
                          <a:ln>
                            <a:noFill/>
                          </a:ln>
                          <a:effectLst/>
                        </pic:spPr>
                      </pic:pic>
                    </a:graphicData>
                  </a:graphic>
                </wp:inline>
              </w:drawing>
            </w:r>
          </w:p>
        </w:tc>
      </w:tr>
      <w:tr w14:paraId="69E2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12DAABA1">
            <w:pPr>
              <w:widowControl w:val="0"/>
              <w:ind w:left="0" w:leftChars="0" w:right="0" w:rightChars="0" w:firstLine="0" w:firstLineChars="0"/>
              <w:jc w:val="center"/>
            </w:pPr>
            <w:r>
              <w:drawing>
                <wp:inline distT="0" distB="0" distL="0" distR="0">
                  <wp:extent cx="5252085" cy="7475855"/>
                  <wp:effectExtent l="0" t="0" r="5715" b="10795"/>
                  <wp:docPr id="195292155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921556" name="图片 3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5252085" cy="7475855"/>
                          </a:xfrm>
                          <a:prstGeom prst="rect">
                            <a:avLst/>
                          </a:prstGeom>
                          <a:noFill/>
                          <a:ln>
                            <a:noFill/>
                          </a:ln>
                          <a:effectLst/>
                        </pic:spPr>
                      </pic:pic>
                    </a:graphicData>
                  </a:graphic>
                </wp:inline>
              </w:drawing>
            </w:r>
          </w:p>
        </w:tc>
      </w:tr>
      <w:tr w14:paraId="43DB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4E9ADEF8">
            <w:pPr>
              <w:widowControl w:val="0"/>
              <w:ind w:left="0" w:leftChars="0" w:right="0" w:rightChars="0" w:firstLine="0" w:firstLineChars="0"/>
              <w:jc w:val="center"/>
            </w:pPr>
            <w:r>
              <w:drawing>
                <wp:inline distT="0" distB="0" distL="0" distR="0">
                  <wp:extent cx="5193665" cy="7285990"/>
                  <wp:effectExtent l="0" t="0" r="6985" b="10160"/>
                  <wp:docPr id="133134186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41863" name="图片 3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5193665" cy="7285990"/>
                          </a:xfrm>
                          <a:prstGeom prst="rect">
                            <a:avLst/>
                          </a:prstGeom>
                          <a:noFill/>
                          <a:ln>
                            <a:noFill/>
                          </a:ln>
                          <a:effectLst/>
                        </pic:spPr>
                      </pic:pic>
                    </a:graphicData>
                  </a:graphic>
                </wp:inline>
              </w:drawing>
            </w:r>
          </w:p>
        </w:tc>
      </w:tr>
      <w:tr w14:paraId="5017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492504B5">
            <w:pPr>
              <w:widowControl w:val="0"/>
              <w:ind w:left="0" w:leftChars="0" w:right="0" w:rightChars="0" w:firstLine="0" w:firstLineChars="0"/>
              <w:jc w:val="center"/>
            </w:pPr>
            <w:r>
              <w:drawing>
                <wp:inline distT="0" distB="0" distL="0" distR="0">
                  <wp:extent cx="5245100" cy="7366635"/>
                  <wp:effectExtent l="0" t="0" r="12700" b="5715"/>
                  <wp:docPr id="129429463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94630" name="图片 2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5245100" cy="7366635"/>
                          </a:xfrm>
                          <a:prstGeom prst="rect">
                            <a:avLst/>
                          </a:prstGeom>
                          <a:noFill/>
                          <a:ln>
                            <a:noFill/>
                          </a:ln>
                          <a:effectLst/>
                        </pic:spPr>
                      </pic:pic>
                    </a:graphicData>
                  </a:graphic>
                </wp:inline>
              </w:drawing>
            </w:r>
          </w:p>
        </w:tc>
      </w:tr>
      <w:tr w14:paraId="4336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5E11B61C">
            <w:pPr>
              <w:widowControl w:val="0"/>
              <w:ind w:left="0" w:leftChars="0" w:right="0" w:rightChars="0" w:firstLine="0" w:firstLineChars="0"/>
              <w:jc w:val="center"/>
            </w:pPr>
            <w:r>
              <w:drawing>
                <wp:inline distT="0" distB="0" distL="0" distR="0">
                  <wp:extent cx="5201285" cy="7263765"/>
                  <wp:effectExtent l="0" t="0" r="18415" b="13335"/>
                  <wp:docPr id="21331524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15241" name="图片 2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5201285" cy="7263765"/>
                          </a:xfrm>
                          <a:prstGeom prst="rect">
                            <a:avLst/>
                          </a:prstGeom>
                          <a:noFill/>
                          <a:ln>
                            <a:noFill/>
                          </a:ln>
                          <a:effectLst/>
                        </pic:spPr>
                      </pic:pic>
                    </a:graphicData>
                  </a:graphic>
                </wp:inline>
              </w:drawing>
            </w:r>
          </w:p>
        </w:tc>
      </w:tr>
      <w:tr w14:paraId="14B3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76F7791F">
            <w:pPr>
              <w:widowControl w:val="0"/>
              <w:ind w:left="0" w:leftChars="0" w:right="0" w:rightChars="0" w:firstLine="0" w:firstLineChars="0"/>
              <w:jc w:val="center"/>
            </w:pPr>
            <w:r>
              <w:drawing>
                <wp:inline distT="0" distB="0" distL="0" distR="0">
                  <wp:extent cx="5259705" cy="7359015"/>
                  <wp:effectExtent l="0" t="0" r="17145" b="13335"/>
                  <wp:docPr id="44813773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37732" name="图片 2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5259705" cy="7359015"/>
                          </a:xfrm>
                          <a:prstGeom prst="rect">
                            <a:avLst/>
                          </a:prstGeom>
                          <a:noFill/>
                          <a:ln>
                            <a:noFill/>
                          </a:ln>
                          <a:effectLst/>
                        </pic:spPr>
                      </pic:pic>
                    </a:graphicData>
                  </a:graphic>
                </wp:inline>
              </w:drawing>
            </w:r>
          </w:p>
        </w:tc>
      </w:tr>
      <w:tr w14:paraId="6579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020497A6">
            <w:pPr>
              <w:widowControl w:val="0"/>
              <w:ind w:left="0" w:leftChars="0" w:right="0" w:rightChars="0" w:firstLine="0" w:firstLineChars="0"/>
              <w:jc w:val="center"/>
            </w:pPr>
            <w:r>
              <w:drawing>
                <wp:inline distT="0" distB="0" distL="0" distR="0">
                  <wp:extent cx="5271135" cy="7200900"/>
                  <wp:effectExtent l="0" t="0" r="5715" b="0"/>
                  <wp:docPr id="205029924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299248" name="图片 2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5271135" cy="7200900"/>
                          </a:xfrm>
                          <a:prstGeom prst="rect">
                            <a:avLst/>
                          </a:prstGeom>
                          <a:noFill/>
                          <a:ln>
                            <a:noFill/>
                          </a:ln>
                          <a:effectLst/>
                        </pic:spPr>
                      </pic:pic>
                    </a:graphicData>
                  </a:graphic>
                </wp:inline>
              </w:drawing>
            </w:r>
          </w:p>
        </w:tc>
      </w:tr>
      <w:tr w14:paraId="10CF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E5E99CA">
            <w:pPr>
              <w:widowControl w:val="0"/>
              <w:ind w:left="0" w:leftChars="0" w:right="0" w:rightChars="0" w:firstLine="0" w:firstLineChars="0"/>
              <w:jc w:val="center"/>
            </w:pPr>
            <w:r>
              <w:drawing>
                <wp:inline distT="0" distB="0" distL="0" distR="0">
                  <wp:extent cx="5266690" cy="7219950"/>
                  <wp:effectExtent l="0" t="0" r="10160" b="0"/>
                  <wp:docPr id="74633294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332941" name="图片 2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a:xfrm>
                            <a:off x="0" y="0"/>
                            <a:ext cx="5266690" cy="7219950"/>
                          </a:xfrm>
                          <a:prstGeom prst="rect">
                            <a:avLst/>
                          </a:prstGeom>
                          <a:noFill/>
                          <a:ln>
                            <a:noFill/>
                          </a:ln>
                          <a:effectLst/>
                        </pic:spPr>
                      </pic:pic>
                    </a:graphicData>
                  </a:graphic>
                </wp:inline>
              </w:drawing>
            </w:r>
          </w:p>
        </w:tc>
      </w:tr>
      <w:tr w14:paraId="2302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0DAFF395">
            <w:pPr>
              <w:widowControl w:val="0"/>
              <w:ind w:left="0" w:leftChars="0" w:right="0" w:rightChars="0" w:firstLine="0" w:firstLineChars="0"/>
              <w:jc w:val="center"/>
            </w:pPr>
            <w:r>
              <w:drawing>
                <wp:inline distT="0" distB="0" distL="0" distR="0">
                  <wp:extent cx="5271135" cy="7327265"/>
                  <wp:effectExtent l="0" t="0" r="5715" b="6985"/>
                  <wp:docPr id="78949735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497355" name="图片 2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5271135" cy="7327265"/>
                          </a:xfrm>
                          <a:prstGeom prst="rect">
                            <a:avLst/>
                          </a:prstGeom>
                          <a:noFill/>
                          <a:ln>
                            <a:noFill/>
                          </a:ln>
                          <a:effectLst/>
                        </pic:spPr>
                      </pic:pic>
                    </a:graphicData>
                  </a:graphic>
                </wp:inline>
              </w:drawing>
            </w:r>
          </w:p>
        </w:tc>
      </w:tr>
      <w:tr w14:paraId="3760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049E008">
            <w:pPr>
              <w:widowControl w:val="0"/>
              <w:ind w:left="0" w:leftChars="0" w:right="0" w:rightChars="0" w:firstLine="0" w:firstLineChars="0"/>
              <w:jc w:val="center"/>
            </w:pPr>
            <w:r>
              <w:drawing>
                <wp:inline distT="0" distB="0" distL="0" distR="0">
                  <wp:extent cx="5271135" cy="7330440"/>
                  <wp:effectExtent l="0" t="0" r="5715" b="3810"/>
                  <wp:docPr id="43024790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47903" name="图片 2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5271135" cy="7330440"/>
                          </a:xfrm>
                          <a:prstGeom prst="rect">
                            <a:avLst/>
                          </a:prstGeom>
                          <a:noFill/>
                          <a:ln>
                            <a:noFill/>
                          </a:ln>
                          <a:effectLst/>
                        </pic:spPr>
                      </pic:pic>
                    </a:graphicData>
                  </a:graphic>
                </wp:inline>
              </w:drawing>
            </w:r>
          </w:p>
        </w:tc>
      </w:tr>
      <w:tr w14:paraId="0C375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7411BA1F">
            <w:pPr>
              <w:widowControl w:val="0"/>
              <w:ind w:left="0" w:leftChars="0" w:right="0" w:rightChars="0" w:firstLine="0" w:firstLineChars="0"/>
              <w:jc w:val="center"/>
            </w:pPr>
            <w:r>
              <w:drawing>
                <wp:inline distT="0" distB="0" distL="0" distR="0">
                  <wp:extent cx="5271135" cy="7480300"/>
                  <wp:effectExtent l="0" t="0" r="5715" b="6350"/>
                  <wp:docPr id="30745449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54497" name="图片 2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5271135" cy="7480300"/>
                          </a:xfrm>
                          <a:prstGeom prst="rect">
                            <a:avLst/>
                          </a:prstGeom>
                          <a:noFill/>
                          <a:ln>
                            <a:noFill/>
                          </a:ln>
                          <a:effectLst/>
                        </pic:spPr>
                      </pic:pic>
                    </a:graphicData>
                  </a:graphic>
                </wp:inline>
              </w:drawing>
            </w:r>
          </w:p>
        </w:tc>
      </w:tr>
    </w:tbl>
    <w:p w14:paraId="07B24DF5">
      <w:pPr>
        <w:ind w:left="0" w:leftChars="0" w:firstLine="0" w:firstLineChars="0"/>
        <w:sectPr>
          <w:pgSz w:w="11905" w:h="16840"/>
          <w:pgMar w:top="1418" w:right="1417" w:bottom="1418" w:left="1701" w:header="851" w:footer="992" w:gutter="0"/>
          <w:pgBorders>
            <w:top w:val="none" w:sz="0" w:space="0"/>
            <w:left w:val="none" w:sz="0" w:space="0"/>
            <w:bottom w:val="none" w:sz="0" w:space="0"/>
            <w:right w:val="none" w:sz="0" w:space="0"/>
          </w:pgBorders>
          <w:cols w:space="0" w:num="1"/>
          <w:docGrid w:linePitch="326" w:charSpace="0"/>
        </w:sectPr>
      </w:pPr>
    </w:p>
    <w:p w14:paraId="16C7FCCB">
      <w:pPr>
        <w:pStyle w:val="14"/>
        <w:widowControl w:val="0"/>
        <w:numPr>
          <w:ilvl w:val="0"/>
          <w:numId w:val="32"/>
        </w:numPr>
        <w:tabs>
          <w:tab w:val="left" w:pos="283"/>
        </w:tabs>
        <w:ind w:firstLineChars="0"/>
        <w:outlineLvl w:val="0"/>
        <w:rPr>
          <w:rFonts w:hint="eastAsia"/>
          <w:lang w:val="en-US" w:eastAsia="zh-CN"/>
        </w:rPr>
      </w:pPr>
      <w:bookmarkStart w:id="200" w:name="_Toc1609"/>
      <w:r>
        <w:rPr>
          <w:rFonts w:hint="eastAsia" w:ascii="Times New Roman" w:hAnsi="Times New Roman" w:cs="Times New Roman"/>
          <w:b/>
          <w:bCs/>
          <w:sz w:val="28"/>
          <w:szCs w:val="28"/>
          <w:lang w:val="en-US" w:eastAsia="zh-CN"/>
        </w:rPr>
        <w:t>环保管辖行政区域划分</w:t>
      </w:r>
      <w:bookmarkEnd w:id="200"/>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3"/>
      </w:tblGrid>
      <w:tr w14:paraId="44FC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6E9C10B5">
            <w:pPr>
              <w:widowControl w:val="0"/>
              <w:ind w:left="0" w:leftChars="0" w:firstLine="0" w:firstLineChars="0"/>
              <w:rPr>
                <w:rFonts w:hint="eastAsia"/>
                <w:vertAlign w:val="baseline"/>
                <w:lang w:val="en-US" w:eastAsia="zh-CN"/>
              </w:rPr>
            </w:pPr>
            <w:r>
              <w:rPr>
                <w:rFonts w:hint="eastAsia"/>
                <w:vertAlign w:val="baseline"/>
                <w:lang w:val="en-US" w:eastAsia="zh-CN"/>
              </w:rPr>
              <w:drawing>
                <wp:inline distT="0" distB="0" distL="114300" distR="114300">
                  <wp:extent cx="5560695" cy="7870825"/>
                  <wp:effectExtent l="0" t="0" r="1905" b="15875"/>
                  <wp:docPr id="81" name="图片 81" descr="附件4  环保行政管辖区域划分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附件4  环保行政管辖区域划分_01"/>
                          <pic:cNvPicPr>
                            <a:picLocks noChangeAspect="1"/>
                          </pic:cNvPicPr>
                        </pic:nvPicPr>
                        <pic:blipFill>
                          <a:blip r:embed="rId98"/>
                          <a:stretch>
                            <a:fillRect/>
                          </a:stretch>
                        </pic:blipFill>
                        <pic:spPr>
                          <a:xfrm>
                            <a:off x="0" y="0"/>
                            <a:ext cx="5560695" cy="7870825"/>
                          </a:xfrm>
                          <a:prstGeom prst="rect">
                            <a:avLst/>
                          </a:prstGeom>
                        </pic:spPr>
                      </pic:pic>
                    </a:graphicData>
                  </a:graphic>
                </wp:inline>
              </w:drawing>
            </w:r>
          </w:p>
        </w:tc>
      </w:tr>
      <w:tr w14:paraId="3744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6EA86907">
            <w:pPr>
              <w:widowControl w:val="0"/>
              <w:ind w:left="0" w:leftChars="0" w:firstLine="0" w:firstLineChars="0"/>
              <w:rPr>
                <w:rFonts w:hint="eastAsia"/>
                <w:vertAlign w:val="baseline"/>
                <w:lang w:val="en-US" w:eastAsia="zh-CN"/>
              </w:rPr>
            </w:pPr>
            <w:r>
              <w:rPr>
                <w:rFonts w:hint="eastAsia"/>
                <w:vertAlign w:val="baseline"/>
                <w:lang w:val="en-US" w:eastAsia="zh-CN"/>
              </w:rPr>
              <w:drawing>
                <wp:inline distT="0" distB="0" distL="114300" distR="114300">
                  <wp:extent cx="5560695" cy="7870825"/>
                  <wp:effectExtent l="0" t="0" r="1905" b="15875"/>
                  <wp:docPr id="82" name="图片 82" descr="附件4  环保行政管辖区域划分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附件4  环保行政管辖区域划分_02"/>
                          <pic:cNvPicPr>
                            <a:picLocks noChangeAspect="1"/>
                          </pic:cNvPicPr>
                        </pic:nvPicPr>
                        <pic:blipFill>
                          <a:blip r:embed="rId99"/>
                          <a:stretch>
                            <a:fillRect/>
                          </a:stretch>
                        </pic:blipFill>
                        <pic:spPr>
                          <a:xfrm>
                            <a:off x="0" y="0"/>
                            <a:ext cx="5560695" cy="7870825"/>
                          </a:xfrm>
                          <a:prstGeom prst="rect">
                            <a:avLst/>
                          </a:prstGeom>
                        </pic:spPr>
                      </pic:pic>
                    </a:graphicData>
                  </a:graphic>
                </wp:inline>
              </w:drawing>
            </w:r>
          </w:p>
        </w:tc>
      </w:tr>
    </w:tbl>
    <w:p w14:paraId="4FB6508F">
      <w:pPr>
        <w:ind w:left="0" w:leftChars="0" w:firstLine="0" w:firstLineChars="0"/>
        <w:rPr>
          <w:rFonts w:hint="eastAsia"/>
          <w:lang w:val="en-US" w:eastAsia="zh-CN"/>
        </w:rPr>
        <w:sectPr>
          <w:pgSz w:w="11905" w:h="16840"/>
          <w:pgMar w:top="1418" w:right="1417" w:bottom="1418" w:left="1701" w:header="851" w:footer="992" w:gutter="0"/>
          <w:pgBorders>
            <w:top w:val="none" w:sz="0" w:space="0"/>
            <w:left w:val="none" w:sz="0" w:space="0"/>
            <w:bottom w:val="none" w:sz="0" w:space="0"/>
            <w:right w:val="none" w:sz="0" w:space="0"/>
          </w:pgBorders>
          <w:cols w:space="0" w:num="1"/>
          <w:docGrid w:linePitch="326" w:charSpace="0"/>
        </w:sectPr>
      </w:pPr>
    </w:p>
    <w:p w14:paraId="7F1589F2">
      <w:pPr>
        <w:pStyle w:val="14"/>
        <w:widowControl w:val="0"/>
        <w:numPr>
          <w:ilvl w:val="0"/>
          <w:numId w:val="32"/>
        </w:numPr>
        <w:tabs>
          <w:tab w:val="left" w:pos="283"/>
        </w:tabs>
        <w:ind w:firstLineChars="0"/>
        <w:outlineLvl w:val="0"/>
        <w:rPr>
          <w:rFonts w:hint="eastAsia" w:ascii="Times New Roman" w:hAnsi="Times New Roman" w:cs="Times New Roman"/>
          <w:b/>
          <w:bCs/>
          <w:sz w:val="28"/>
          <w:szCs w:val="28"/>
          <w:lang w:val="en-US" w:eastAsia="zh-CN"/>
        </w:rPr>
      </w:pPr>
      <w:bookmarkStart w:id="201" w:name="_Toc4549"/>
      <w:r>
        <w:rPr>
          <w:rFonts w:hint="eastAsia" w:hAnsi="Times New Roman" w:cs="Times New Roman"/>
          <w:b/>
          <w:bCs/>
          <w:sz w:val="28"/>
          <w:szCs w:val="28"/>
          <w:lang w:val="en-US" w:eastAsia="zh-CN"/>
        </w:rPr>
        <w:t>项目分析研判结果报告</w:t>
      </w:r>
      <w:bookmarkEnd w:id="201"/>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3"/>
      </w:tblGrid>
      <w:tr w14:paraId="002F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903E9E0">
            <w:pPr>
              <w:widowControl w:val="0"/>
              <w:ind w:left="0" w:leftChars="0" w:firstLine="0" w:firstLineChars="0"/>
              <w:rPr>
                <w:rFonts w:hint="eastAsia"/>
                <w:vertAlign w:val="baseline"/>
                <w:lang w:val="en-US" w:eastAsia="zh-CN"/>
              </w:rPr>
            </w:pPr>
            <w:r>
              <w:drawing>
                <wp:inline distT="0" distB="0" distL="114300" distR="114300">
                  <wp:extent cx="5577840" cy="7890510"/>
                  <wp:effectExtent l="0" t="0" r="3810" b="15240"/>
                  <wp:docPr id="134"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47"/>
                          <pic:cNvPicPr>
                            <a:picLocks noChangeAspect="1"/>
                          </pic:cNvPicPr>
                        </pic:nvPicPr>
                        <pic:blipFill>
                          <a:blip r:embed="rId100"/>
                          <a:stretch>
                            <a:fillRect/>
                          </a:stretch>
                        </pic:blipFill>
                        <pic:spPr>
                          <a:xfrm>
                            <a:off x="0" y="0"/>
                            <a:ext cx="5577840" cy="7890510"/>
                          </a:xfrm>
                          <a:prstGeom prst="rect">
                            <a:avLst/>
                          </a:prstGeom>
                          <a:noFill/>
                          <a:ln>
                            <a:noFill/>
                          </a:ln>
                        </pic:spPr>
                      </pic:pic>
                    </a:graphicData>
                  </a:graphic>
                </wp:inline>
              </w:drawing>
            </w:r>
          </w:p>
        </w:tc>
      </w:tr>
      <w:tr w14:paraId="5A09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BCCDA86">
            <w:pPr>
              <w:widowControl w:val="0"/>
              <w:ind w:left="0" w:leftChars="0" w:firstLine="0" w:firstLineChars="0"/>
            </w:pPr>
            <w:r>
              <w:drawing>
                <wp:inline distT="0" distB="0" distL="114300" distR="114300">
                  <wp:extent cx="5577840" cy="7890510"/>
                  <wp:effectExtent l="0" t="0" r="3810" b="15240"/>
                  <wp:docPr id="135"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48"/>
                          <pic:cNvPicPr>
                            <a:picLocks noChangeAspect="1"/>
                          </pic:cNvPicPr>
                        </pic:nvPicPr>
                        <pic:blipFill>
                          <a:blip r:embed="rId101"/>
                          <a:stretch>
                            <a:fillRect/>
                          </a:stretch>
                        </pic:blipFill>
                        <pic:spPr>
                          <a:xfrm>
                            <a:off x="0" y="0"/>
                            <a:ext cx="5577840" cy="7890510"/>
                          </a:xfrm>
                          <a:prstGeom prst="rect">
                            <a:avLst/>
                          </a:prstGeom>
                          <a:noFill/>
                          <a:ln>
                            <a:noFill/>
                          </a:ln>
                        </pic:spPr>
                      </pic:pic>
                    </a:graphicData>
                  </a:graphic>
                </wp:inline>
              </w:drawing>
            </w:r>
          </w:p>
        </w:tc>
      </w:tr>
      <w:tr w14:paraId="1843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5481EE84">
            <w:pPr>
              <w:widowControl w:val="0"/>
              <w:ind w:left="0" w:leftChars="0" w:firstLine="0" w:firstLineChars="0"/>
            </w:pPr>
            <w:r>
              <w:drawing>
                <wp:inline distT="0" distB="0" distL="114300" distR="114300">
                  <wp:extent cx="5577840" cy="7890510"/>
                  <wp:effectExtent l="0" t="0" r="3810" b="15240"/>
                  <wp:docPr id="136"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49"/>
                          <pic:cNvPicPr>
                            <a:picLocks noChangeAspect="1"/>
                          </pic:cNvPicPr>
                        </pic:nvPicPr>
                        <pic:blipFill>
                          <a:blip r:embed="rId102"/>
                          <a:stretch>
                            <a:fillRect/>
                          </a:stretch>
                        </pic:blipFill>
                        <pic:spPr>
                          <a:xfrm>
                            <a:off x="0" y="0"/>
                            <a:ext cx="5577840" cy="7890510"/>
                          </a:xfrm>
                          <a:prstGeom prst="rect">
                            <a:avLst/>
                          </a:prstGeom>
                          <a:noFill/>
                          <a:ln>
                            <a:noFill/>
                          </a:ln>
                        </pic:spPr>
                      </pic:pic>
                    </a:graphicData>
                  </a:graphic>
                </wp:inline>
              </w:drawing>
            </w:r>
          </w:p>
        </w:tc>
      </w:tr>
      <w:tr w14:paraId="74BB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567B159D">
            <w:pPr>
              <w:widowControl w:val="0"/>
              <w:ind w:left="0" w:leftChars="0" w:firstLine="0" w:firstLineChars="0"/>
            </w:pPr>
            <w:r>
              <w:drawing>
                <wp:inline distT="0" distB="0" distL="114300" distR="114300">
                  <wp:extent cx="5577840" cy="7890510"/>
                  <wp:effectExtent l="0" t="0" r="3810" b="15240"/>
                  <wp:docPr id="137"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50"/>
                          <pic:cNvPicPr>
                            <a:picLocks noChangeAspect="1"/>
                          </pic:cNvPicPr>
                        </pic:nvPicPr>
                        <pic:blipFill>
                          <a:blip r:embed="rId103"/>
                          <a:stretch>
                            <a:fillRect/>
                          </a:stretch>
                        </pic:blipFill>
                        <pic:spPr>
                          <a:xfrm>
                            <a:off x="0" y="0"/>
                            <a:ext cx="5577840" cy="7890510"/>
                          </a:xfrm>
                          <a:prstGeom prst="rect">
                            <a:avLst/>
                          </a:prstGeom>
                          <a:noFill/>
                          <a:ln>
                            <a:noFill/>
                          </a:ln>
                        </pic:spPr>
                      </pic:pic>
                    </a:graphicData>
                  </a:graphic>
                </wp:inline>
              </w:drawing>
            </w:r>
          </w:p>
        </w:tc>
      </w:tr>
      <w:tr w14:paraId="7938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B26FA55">
            <w:pPr>
              <w:widowControl w:val="0"/>
              <w:ind w:left="0" w:leftChars="0" w:firstLine="0" w:firstLineChars="0"/>
            </w:pPr>
            <w:r>
              <w:drawing>
                <wp:inline distT="0" distB="0" distL="114300" distR="114300">
                  <wp:extent cx="5577840" cy="7890510"/>
                  <wp:effectExtent l="0" t="0" r="3810" b="15240"/>
                  <wp:docPr id="13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51"/>
                          <pic:cNvPicPr>
                            <a:picLocks noChangeAspect="1"/>
                          </pic:cNvPicPr>
                        </pic:nvPicPr>
                        <pic:blipFill>
                          <a:blip r:embed="rId104"/>
                          <a:stretch>
                            <a:fillRect/>
                          </a:stretch>
                        </pic:blipFill>
                        <pic:spPr>
                          <a:xfrm>
                            <a:off x="0" y="0"/>
                            <a:ext cx="5577840" cy="7890510"/>
                          </a:xfrm>
                          <a:prstGeom prst="rect">
                            <a:avLst/>
                          </a:prstGeom>
                          <a:noFill/>
                          <a:ln>
                            <a:noFill/>
                          </a:ln>
                        </pic:spPr>
                      </pic:pic>
                    </a:graphicData>
                  </a:graphic>
                </wp:inline>
              </w:drawing>
            </w:r>
          </w:p>
        </w:tc>
      </w:tr>
      <w:tr w14:paraId="5216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64608513">
            <w:pPr>
              <w:widowControl w:val="0"/>
              <w:ind w:left="0" w:leftChars="0" w:firstLine="0" w:firstLineChars="0"/>
            </w:pPr>
            <w:r>
              <w:drawing>
                <wp:inline distT="0" distB="0" distL="114300" distR="114300">
                  <wp:extent cx="5577840" cy="7890510"/>
                  <wp:effectExtent l="0" t="0" r="3810" b="15240"/>
                  <wp:docPr id="139"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52"/>
                          <pic:cNvPicPr>
                            <a:picLocks noChangeAspect="1"/>
                          </pic:cNvPicPr>
                        </pic:nvPicPr>
                        <pic:blipFill>
                          <a:blip r:embed="rId105"/>
                          <a:stretch>
                            <a:fillRect/>
                          </a:stretch>
                        </pic:blipFill>
                        <pic:spPr>
                          <a:xfrm>
                            <a:off x="0" y="0"/>
                            <a:ext cx="5577840" cy="7890510"/>
                          </a:xfrm>
                          <a:prstGeom prst="rect">
                            <a:avLst/>
                          </a:prstGeom>
                          <a:noFill/>
                          <a:ln>
                            <a:noFill/>
                          </a:ln>
                        </pic:spPr>
                      </pic:pic>
                    </a:graphicData>
                  </a:graphic>
                </wp:inline>
              </w:drawing>
            </w:r>
          </w:p>
        </w:tc>
      </w:tr>
      <w:tr w14:paraId="1172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7B854D78">
            <w:pPr>
              <w:widowControl w:val="0"/>
              <w:ind w:left="0" w:leftChars="0" w:firstLine="0" w:firstLineChars="0"/>
            </w:pPr>
            <w:r>
              <w:drawing>
                <wp:inline distT="0" distB="0" distL="114300" distR="114300">
                  <wp:extent cx="5577840" cy="7890510"/>
                  <wp:effectExtent l="0" t="0" r="3810" b="15240"/>
                  <wp:docPr id="140"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53"/>
                          <pic:cNvPicPr>
                            <a:picLocks noChangeAspect="1"/>
                          </pic:cNvPicPr>
                        </pic:nvPicPr>
                        <pic:blipFill>
                          <a:blip r:embed="rId106"/>
                          <a:stretch>
                            <a:fillRect/>
                          </a:stretch>
                        </pic:blipFill>
                        <pic:spPr>
                          <a:xfrm>
                            <a:off x="0" y="0"/>
                            <a:ext cx="5577840" cy="7890510"/>
                          </a:xfrm>
                          <a:prstGeom prst="rect">
                            <a:avLst/>
                          </a:prstGeom>
                          <a:noFill/>
                          <a:ln>
                            <a:noFill/>
                          </a:ln>
                        </pic:spPr>
                      </pic:pic>
                    </a:graphicData>
                  </a:graphic>
                </wp:inline>
              </w:drawing>
            </w:r>
          </w:p>
        </w:tc>
      </w:tr>
    </w:tbl>
    <w:p w14:paraId="3B5E9565">
      <w:pPr>
        <w:ind w:left="0" w:leftChars="0" w:firstLine="0" w:firstLineChars="0"/>
        <w:rPr>
          <w:rFonts w:hint="eastAsia"/>
          <w:lang w:val="en-US" w:eastAsia="zh-CN"/>
        </w:rPr>
        <w:sectPr>
          <w:pgSz w:w="11905" w:h="16840"/>
          <w:pgMar w:top="1418" w:right="1417" w:bottom="1418" w:left="1701" w:header="851" w:footer="992" w:gutter="0"/>
          <w:pgBorders>
            <w:top w:val="none" w:sz="0" w:space="0"/>
            <w:left w:val="none" w:sz="0" w:space="0"/>
            <w:bottom w:val="none" w:sz="0" w:space="0"/>
            <w:right w:val="none" w:sz="0" w:space="0"/>
          </w:pgBorders>
          <w:cols w:space="0" w:num="1"/>
          <w:docGrid w:linePitch="326" w:charSpace="0"/>
        </w:sectPr>
      </w:pPr>
    </w:p>
    <w:p w14:paraId="6FC8DADC">
      <w:pPr>
        <w:pStyle w:val="14"/>
        <w:widowControl w:val="0"/>
        <w:numPr>
          <w:ilvl w:val="0"/>
          <w:numId w:val="32"/>
        </w:numPr>
        <w:tabs>
          <w:tab w:val="left" w:pos="283"/>
        </w:tabs>
        <w:ind w:firstLineChars="0"/>
        <w:outlineLvl w:val="0"/>
        <w:rPr>
          <w:rFonts w:hint="eastAsia" w:ascii="Times New Roman" w:hAnsi="Times New Roman" w:cs="Times New Roman"/>
          <w:b/>
          <w:bCs/>
          <w:sz w:val="28"/>
          <w:szCs w:val="28"/>
          <w:lang w:val="en-US" w:eastAsia="zh-CN"/>
        </w:rPr>
      </w:pPr>
      <w:bookmarkStart w:id="202" w:name="_Toc13544"/>
      <w:r>
        <w:rPr>
          <w:rFonts w:hint="eastAsia" w:hAnsi="Times New Roman"/>
          <w:b/>
          <w:bCs/>
          <w:sz w:val="28"/>
          <w:szCs w:val="28"/>
        </w:rPr>
        <w:t>技术审查会专家意见及签到表</w:t>
      </w:r>
      <w:bookmarkEnd w:id="202"/>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3"/>
      </w:tblGrid>
      <w:tr w14:paraId="2AFE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5BCB8D72">
            <w:pPr>
              <w:widowControl w:val="0"/>
              <w:ind w:firstLine="0" w:firstLineChars="0"/>
            </w:pPr>
            <w:r>
              <w:drawing>
                <wp:inline distT="0" distB="0" distL="114300" distR="114300">
                  <wp:extent cx="5562600" cy="8427085"/>
                  <wp:effectExtent l="0" t="0" r="0" b="12065"/>
                  <wp:docPr id="14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56"/>
                          <pic:cNvPicPr>
                            <a:picLocks noChangeAspect="1"/>
                          </pic:cNvPicPr>
                        </pic:nvPicPr>
                        <pic:blipFill>
                          <a:blip r:embed="rId107"/>
                          <a:stretch>
                            <a:fillRect/>
                          </a:stretch>
                        </pic:blipFill>
                        <pic:spPr>
                          <a:xfrm>
                            <a:off x="0" y="0"/>
                            <a:ext cx="5562600" cy="8427085"/>
                          </a:xfrm>
                          <a:prstGeom prst="rect">
                            <a:avLst/>
                          </a:prstGeom>
                          <a:noFill/>
                          <a:ln>
                            <a:noFill/>
                          </a:ln>
                        </pic:spPr>
                      </pic:pic>
                    </a:graphicData>
                  </a:graphic>
                </wp:inline>
              </w:drawing>
            </w:r>
          </w:p>
        </w:tc>
      </w:tr>
      <w:tr w14:paraId="76FE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72A31F8F">
            <w:pPr>
              <w:widowControl w:val="0"/>
              <w:ind w:firstLine="0" w:firstLineChars="0"/>
            </w:pPr>
            <w:r>
              <w:drawing>
                <wp:inline distT="0" distB="0" distL="114300" distR="114300">
                  <wp:extent cx="5568950" cy="8232140"/>
                  <wp:effectExtent l="0" t="0" r="12700" b="16510"/>
                  <wp:docPr id="14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57"/>
                          <pic:cNvPicPr>
                            <a:picLocks noChangeAspect="1"/>
                          </pic:cNvPicPr>
                        </pic:nvPicPr>
                        <pic:blipFill>
                          <a:blip r:embed="rId108"/>
                          <a:stretch>
                            <a:fillRect/>
                          </a:stretch>
                        </pic:blipFill>
                        <pic:spPr>
                          <a:xfrm>
                            <a:off x="0" y="0"/>
                            <a:ext cx="5568950" cy="8232140"/>
                          </a:xfrm>
                          <a:prstGeom prst="rect">
                            <a:avLst/>
                          </a:prstGeom>
                          <a:noFill/>
                          <a:ln>
                            <a:noFill/>
                          </a:ln>
                        </pic:spPr>
                      </pic:pic>
                    </a:graphicData>
                  </a:graphic>
                </wp:inline>
              </w:drawing>
            </w:r>
          </w:p>
        </w:tc>
      </w:tr>
      <w:tr w14:paraId="1472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2315BFF8">
            <w:pPr>
              <w:widowControl w:val="0"/>
              <w:ind w:firstLine="0" w:firstLineChars="0"/>
            </w:pPr>
            <w:r>
              <w:drawing>
                <wp:inline distT="0" distB="0" distL="114300" distR="114300">
                  <wp:extent cx="5572760" cy="8171815"/>
                  <wp:effectExtent l="0" t="0" r="8890" b="635"/>
                  <wp:docPr id="14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58"/>
                          <pic:cNvPicPr>
                            <a:picLocks noChangeAspect="1"/>
                          </pic:cNvPicPr>
                        </pic:nvPicPr>
                        <pic:blipFill>
                          <a:blip r:embed="rId109"/>
                          <a:stretch>
                            <a:fillRect/>
                          </a:stretch>
                        </pic:blipFill>
                        <pic:spPr>
                          <a:xfrm>
                            <a:off x="0" y="0"/>
                            <a:ext cx="5572760" cy="8171815"/>
                          </a:xfrm>
                          <a:prstGeom prst="rect">
                            <a:avLst/>
                          </a:prstGeom>
                          <a:noFill/>
                          <a:ln>
                            <a:noFill/>
                          </a:ln>
                        </pic:spPr>
                      </pic:pic>
                    </a:graphicData>
                  </a:graphic>
                </wp:inline>
              </w:drawing>
            </w:r>
          </w:p>
        </w:tc>
      </w:tr>
    </w:tbl>
    <w:p w14:paraId="728F4CCA">
      <w:pPr>
        <w:ind w:left="0" w:leftChars="0" w:firstLine="0" w:firstLineChars="0"/>
        <w:rPr>
          <w:rFonts w:hint="eastAsia"/>
          <w:lang w:val="en-US" w:eastAsia="zh-CN"/>
        </w:rPr>
      </w:pPr>
    </w:p>
    <w:p w14:paraId="1079AC77">
      <w:pPr>
        <w:pStyle w:val="14"/>
        <w:widowControl w:val="0"/>
        <w:numPr>
          <w:ilvl w:val="0"/>
          <w:numId w:val="32"/>
        </w:numPr>
        <w:tabs>
          <w:tab w:val="left" w:pos="283"/>
        </w:tabs>
        <w:ind w:firstLineChars="0"/>
        <w:outlineLvl w:val="0"/>
        <w:rPr>
          <w:rFonts w:hint="eastAsia" w:ascii="Times New Roman" w:hAnsi="Times New Roman" w:cs="Times New Roman"/>
          <w:b/>
          <w:bCs/>
          <w:sz w:val="28"/>
          <w:szCs w:val="28"/>
          <w:lang w:val="en-US" w:eastAsia="zh-CN"/>
        </w:rPr>
        <w:sectPr>
          <w:pgSz w:w="11905" w:h="16840"/>
          <w:pgMar w:top="1418" w:right="1417" w:bottom="1418" w:left="1701" w:header="851" w:footer="992" w:gutter="0"/>
          <w:pgBorders>
            <w:top w:val="none" w:sz="0" w:space="0"/>
            <w:left w:val="none" w:sz="0" w:space="0"/>
            <w:bottom w:val="none" w:sz="0" w:space="0"/>
            <w:right w:val="none" w:sz="0" w:space="0"/>
          </w:pgBorders>
          <w:cols w:space="0" w:num="1"/>
          <w:docGrid w:linePitch="326" w:charSpace="0"/>
        </w:sectPr>
      </w:pPr>
    </w:p>
    <w:bookmarkEnd w:id="189"/>
    <w:bookmarkEnd w:id="190"/>
    <w:bookmarkEnd w:id="191"/>
    <w:bookmarkEnd w:id="192"/>
    <w:bookmarkEnd w:id="193"/>
    <w:p w14:paraId="41517106">
      <w:pPr>
        <w:widowControl w:val="0"/>
        <w:adjustRightInd w:val="0"/>
        <w:snapToGrid w:val="0"/>
        <w:spacing w:line="240" w:lineRule="auto"/>
        <w:ind w:firstLine="0" w:firstLineChars="0"/>
        <w:jc w:val="center"/>
        <w:rPr>
          <w:b/>
          <w:bCs/>
        </w:rPr>
      </w:pPr>
      <w:bookmarkStart w:id="203" w:name="_Toc26512"/>
      <w:bookmarkStart w:id="204" w:name="_Toc23017"/>
      <w:bookmarkStart w:id="205" w:name="_Toc23553"/>
      <w:bookmarkStart w:id="206" w:name="_Toc18134"/>
      <w:bookmarkStart w:id="207" w:name="_Toc1378"/>
      <w:bookmarkStart w:id="208" w:name="_Toc19280"/>
      <w:bookmarkStart w:id="209" w:name="_Toc10150"/>
      <w:bookmarkStart w:id="210" w:name="_Toc23020"/>
      <w:bookmarkStart w:id="211" w:name="_Toc12547"/>
      <w:r>
        <w:drawing>
          <wp:anchor distT="0" distB="0" distL="114300" distR="114300" simplePos="0" relativeHeight="251664384" behindDoc="0" locked="0" layoutInCell="1" allowOverlap="1">
            <wp:simplePos x="0" y="0"/>
            <wp:positionH relativeFrom="column">
              <wp:posOffset>7658735</wp:posOffset>
            </wp:positionH>
            <wp:positionV relativeFrom="paragraph">
              <wp:posOffset>10795</wp:posOffset>
            </wp:positionV>
            <wp:extent cx="581025" cy="1095375"/>
            <wp:effectExtent l="0" t="0" r="9525" b="9525"/>
            <wp:wrapNone/>
            <wp:docPr id="43" name="图片 4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图片1"/>
                    <pic:cNvPicPr>
                      <a:picLocks noChangeAspect="1"/>
                    </pic:cNvPicPr>
                  </pic:nvPicPr>
                  <pic:blipFill>
                    <a:blip r:embed="rId110"/>
                    <a:stretch>
                      <a:fillRect/>
                    </a:stretch>
                  </pic:blipFill>
                  <pic:spPr>
                    <a:xfrm>
                      <a:off x="0" y="0"/>
                      <a:ext cx="581025" cy="1095375"/>
                    </a:xfrm>
                    <a:prstGeom prst="rect">
                      <a:avLst/>
                    </a:prstGeom>
                  </pic:spPr>
                </pic:pic>
              </a:graphicData>
            </a:graphic>
          </wp:anchor>
        </w:drawing>
      </w:r>
      <w:r>
        <w:rPr>
          <w:kern w:val="2"/>
          <w:sz w:val="21"/>
        </w:rPr>
        <mc:AlternateContent>
          <mc:Choice Requires="wps">
            <w:drawing>
              <wp:anchor distT="0" distB="0" distL="114300" distR="114300" simplePos="0" relativeHeight="251667456" behindDoc="0" locked="0" layoutInCell="1" allowOverlap="1">
                <wp:simplePos x="0" y="0"/>
                <wp:positionH relativeFrom="column">
                  <wp:posOffset>640080</wp:posOffset>
                </wp:positionH>
                <wp:positionV relativeFrom="paragraph">
                  <wp:posOffset>4430395</wp:posOffset>
                </wp:positionV>
                <wp:extent cx="1447800" cy="702945"/>
                <wp:effectExtent l="5080" t="4445" r="13970" b="16510"/>
                <wp:wrapNone/>
                <wp:docPr id="13" name="文本框 13"/>
                <wp:cNvGraphicFramePr/>
                <a:graphic xmlns:a="http://schemas.openxmlformats.org/drawingml/2006/main">
                  <a:graphicData uri="http://schemas.microsoft.com/office/word/2010/wordprocessingShape">
                    <wps:wsp>
                      <wps:cNvSpPr txBox="1"/>
                      <wps:spPr>
                        <a:xfrm>
                          <a:off x="0" y="0"/>
                          <a:ext cx="1447800" cy="7029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AEA0914">
                            <w:pPr>
                              <w:spacing w:line="240" w:lineRule="auto"/>
                              <w:ind w:firstLine="0" w:firstLineChars="0"/>
                              <w:rPr>
                                <w:b/>
                                <w:kern w:val="2"/>
                                <w:sz w:val="21"/>
                              </w:rPr>
                            </w:pPr>
                            <w:r>
                              <w:rPr>
                                <w:rFonts w:hint="eastAsia"/>
                                <w:b/>
                                <w:kern w:val="2"/>
                                <w:sz w:val="21"/>
                              </w:rPr>
                              <w:t>比例：</w:t>
                            </w:r>
                          </w:p>
                          <w:p w14:paraId="72A14440">
                            <w:pPr>
                              <w:spacing w:line="240" w:lineRule="auto"/>
                              <w:ind w:firstLine="0" w:firstLineChars="0"/>
                              <w:rPr>
                                <w:kern w:val="2"/>
                              </w:rPr>
                            </w:pPr>
                            <w:r>
                              <w:rPr>
                                <w:kern w:val="2"/>
                              </w:rPr>
                              <w:drawing>
                                <wp:inline distT="0" distB="0" distL="114300" distR="114300">
                                  <wp:extent cx="1021080" cy="95250"/>
                                  <wp:effectExtent l="0" t="0" r="7620" b="0"/>
                                  <wp:docPr id="21308280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828057" name="图片 2"/>
                                          <pic:cNvPicPr>
                                            <a:picLocks noChangeAspect="1"/>
                                          </pic:cNvPicPr>
                                        </pic:nvPicPr>
                                        <pic:blipFill>
                                          <a:blip r:embed="rId111"/>
                                          <a:stretch>
                                            <a:fillRect/>
                                          </a:stretch>
                                        </pic:blipFill>
                                        <pic:spPr>
                                          <a:xfrm>
                                            <a:off x="0" y="0"/>
                                            <a:ext cx="1021080" cy="95250"/>
                                          </a:xfrm>
                                          <a:prstGeom prst="rect">
                                            <a:avLst/>
                                          </a:prstGeom>
                                          <a:noFill/>
                                          <a:ln>
                                            <a:noFill/>
                                          </a:ln>
                                        </pic:spPr>
                                      </pic:pic>
                                    </a:graphicData>
                                  </a:graphic>
                                </wp:inline>
                              </w:drawing>
                            </w:r>
                          </w:p>
                          <w:p w14:paraId="025AAB18">
                            <w:pPr>
                              <w:wordWrap w:val="0"/>
                              <w:spacing w:line="240" w:lineRule="auto"/>
                              <w:ind w:right="-240" w:rightChars="-100" w:firstLine="0" w:firstLineChars="0"/>
                              <w:jc w:val="left"/>
                              <w:rPr>
                                <w:kern w:val="2"/>
                                <w:sz w:val="20"/>
                              </w:rPr>
                            </w:pPr>
                            <w:r>
                              <w:rPr>
                                <w:rFonts w:hint="eastAsia"/>
                                <w:kern w:val="2"/>
                                <w:sz w:val="21"/>
                                <w:szCs w:val="21"/>
                              </w:rPr>
                              <w:t xml:space="preserve">0 </w:t>
                            </w:r>
                            <w:r>
                              <w:rPr>
                                <w:rFonts w:hint="eastAsia"/>
                                <w:kern w:val="2"/>
                                <w:sz w:val="21"/>
                                <w:szCs w:val="21"/>
                                <w:lang w:val="en-US" w:eastAsia="zh-CN"/>
                              </w:rPr>
                              <w:t xml:space="preserve">  </w:t>
                            </w:r>
                            <w:r>
                              <w:rPr>
                                <w:rFonts w:hint="eastAsia"/>
                                <w:kern w:val="2"/>
                                <w:sz w:val="21"/>
                                <w:szCs w:val="21"/>
                              </w:rPr>
                              <w:t xml:space="preserve"> </w:t>
                            </w:r>
                            <w:r>
                              <w:rPr>
                                <w:rFonts w:hint="eastAsia"/>
                                <w:kern w:val="2"/>
                                <w:sz w:val="21"/>
                                <w:szCs w:val="21"/>
                                <w:lang w:val="en-US" w:eastAsia="zh-CN"/>
                              </w:rPr>
                              <w:t>5</w:t>
                            </w:r>
                            <w:r>
                              <w:rPr>
                                <w:rFonts w:hint="eastAsia"/>
                                <w:kern w:val="2"/>
                                <w:sz w:val="21"/>
                                <w:szCs w:val="21"/>
                              </w:rPr>
                              <w:t xml:space="preserve">   </w:t>
                            </w:r>
                            <w:r>
                              <w:rPr>
                                <w:rFonts w:hint="eastAsia"/>
                                <w:kern w:val="2"/>
                                <w:sz w:val="21"/>
                                <w:szCs w:val="21"/>
                                <w:lang w:val="en-US" w:eastAsia="zh-CN"/>
                              </w:rPr>
                              <w:t>10</w:t>
                            </w:r>
                            <w:r>
                              <w:rPr>
                                <w:rFonts w:hint="eastAsia"/>
                                <w:kern w:val="2"/>
                                <w:sz w:val="21"/>
                                <w:szCs w:val="21"/>
                              </w:rPr>
                              <w:t xml:space="preserve"> </w:t>
                            </w:r>
                            <w:r>
                              <w:rPr>
                                <w:rFonts w:hint="eastAsia"/>
                                <w:kern w:val="2"/>
                                <w:sz w:val="21"/>
                                <w:szCs w:val="21"/>
                                <w:lang w:val="en-US" w:eastAsia="zh-CN"/>
                              </w:rPr>
                              <w:t xml:space="preserve"> </w:t>
                            </w:r>
                            <w:r>
                              <w:rPr>
                                <w:rFonts w:hint="eastAsia"/>
                                <w:kern w:val="2"/>
                                <w:sz w:val="21"/>
                                <w:szCs w:val="21"/>
                              </w:rPr>
                              <w:t xml:space="preserve"> </w:t>
                            </w:r>
                            <w:r>
                              <w:rPr>
                                <w:rFonts w:hint="eastAsia"/>
                                <w:kern w:val="2"/>
                                <w:sz w:val="21"/>
                                <w:szCs w:val="21"/>
                                <w:lang w:val="en-US" w:eastAsia="zh-CN"/>
                              </w:rPr>
                              <w:t>15</w:t>
                            </w:r>
                            <w:r>
                              <w:rPr>
                                <w:rFonts w:hint="eastAsia"/>
                                <w:kern w:val="2"/>
                                <w:sz w:val="21"/>
                                <w:szCs w:val="21"/>
                              </w:rPr>
                              <w:t>km</w:t>
                            </w:r>
                          </w:p>
                        </w:txbxContent>
                      </wps:txbx>
                      <wps:bodyPr wrap="square" upright="1"/>
                    </wps:wsp>
                  </a:graphicData>
                </a:graphic>
              </wp:anchor>
            </w:drawing>
          </mc:Choice>
          <mc:Fallback>
            <w:pict>
              <v:shape id="_x0000_s1026" o:spid="_x0000_s1026" o:spt="202" type="#_x0000_t202" style="position:absolute;left:0pt;margin-left:50.4pt;margin-top:348.85pt;height:55.35pt;width:114pt;z-index:251667456;mso-width-relative:page;mso-height-relative:page;" fillcolor="#FFFFFF" filled="t" stroked="t" coordsize="21600,21600" o:gfxdata="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E9v449kAAAAL&#10;AQAADwAAAAAAAAABACAAAAAiAAAAZHJzL2Rvd25yZXYueG1sUEsBAhQAFAAAAAgAh07iQARSEGQb&#10;AgAAVAQAAA4AAAAAAAAAAQAgAAAAKAEAAGRycy9lMm9Eb2MueG1sUEsFBgAAAAAGAAYAWQEAALUF&#10;AAAAAA==&#10;">
                <v:fill on="t" focussize="0,0"/>
                <v:stroke color="#000000" joinstyle="miter"/>
                <v:imagedata o:title=""/>
                <o:lock v:ext="edit" aspectratio="f"/>
                <v:textbox>
                  <w:txbxContent>
                    <w:p w14:paraId="4AEA0914">
                      <w:pPr>
                        <w:spacing w:line="240" w:lineRule="auto"/>
                        <w:ind w:firstLine="0" w:firstLineChars="0"/>
                        <w:rPr>
                          <w:b/>
                          <w:kern w:val="2"/>
                          <w:sz w:val="21"/>
                        </w:rPr>
                      </w:pPr>
                      <w:r>
                        <w:rPr>
                          <w:rFonts w:hint="eastAsia"/>
                          <w:b/>
                          <w:kern w:val="2"/>
                          <w:sz w:val="21"/>
                        </w:rPr>
                        <w:t>比例：</w:t>
                      </w:r>
                    </w:p>
                    <w:p w14:paraId="72A14440">
                      <w:pPr>
                        <w:spacing w:line="240" w:lineRule="auto"/>
                        <w:ind w:firstLine="0" w:firstLineChars="0"/>
                        <w:rPr>
                          <w:kern w:val="2"/>
                        </w:rPr>
                      </w:pPr>
                      <w:r>
                        <w:rPr>
                          <w:kern w:val="2"/>
                        </w:rPr>
                        <w:drawing>
                          <wp:inline distT="0" distB="0" distL="114300" distR="114300">
                            <wp:extent cx="1021080" cy="95250"/>
                            <wp:effectExtent l="0" t="0" r="7620" b="0"/>
                            <wp:docPr id="21308280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828057" name="图片 2"/>
                                    <pic:cNvPicPr>
                                      <a:picLocks noChangeAspect="1"/>
                                    </pic:cNvPicPr>
                                  </pic:nvPicPr>
                                  <pic:blipFill>
                                    <a:blip r:embed="rId111"/>
                                    <a:stretch>
                                      <a:fillRect/>
                                    </a:stretch>
                                  </pic:blipFill>
                                  <pic:spPr>
                                    <a:xfrm>
                                      <a:off x="0" y="0"/>
                                      <a:ext cx="1021080" cy="95250"/>
                                    </a:xfrm>
                                    <a:prstGeom prst="rect">
                                      <a:avLst/>
                                    </a:prstGeom>
                                    <a:noFill/>
                                    <a:ln>
                                      <a:noFill/>
                                    </a:ln>
                                  </pic:spPr>
                                </pic:pic>
                              </a:graphicData>
                            </a:graphic>
                          </wp:inline>
                        </w:drawing>
                      </w:r>
                    </w:p>
                    <w:p w14:paraId="025AAB18">
                      <w:pPr>
                        <w:wordWrap w:val="0"/>
                        <w:spacing w:line="240" w:lineRule="auto"/>
                        <w:ind w:right="-240" w:rightChars="-100" w:firstLine="0" w:firstLineChars="0"/>
                        <w:jc w:val="left"/>
                        <w:rPr>
                          <w:kern w:val="2"/>
                          <w:sz w:val="20"/>
                        </w:rPr>
                      </w:pPr>
                      <w:r>
                        <w:rPr>
                          <w:rFonts w:hint="eastAsia"/>
                          <w:kern w:val="2"/>
                          <w:sz w:val="21"/>
                          <w:szCs w:val="21"/>
                        </w:rPr>
                        <w:t xml:space="preserve">0 </w:t>
                      </w:r>
                      <w:r>
                        <w:rPr>
                          <w:rFonts w:hint="eastAsia"/>
                          <w:kern w:val="2"/>
                          <w:sz w:val="21"/>
                          <w:szCs w:val="21"/>
                          <w:lang w:val="en-US" w:eastAsia="zh-CN"/>
                        </w:rPr>
                        <w:t xml:space="preserve">  </w:t>
                      </w:r>
                      <w:r>
                        <w:rPr>
                          <w:rFonts w:hint="eastAsia"/>
                          <w:kern w:val="2"/>
                          <w:sz w:val="21"/>
                          <w:szCs w:val="21"/>
                        </w:rPr>
                        <w:t xml:space="preserve"> </w:t>
                      </w:r>
                      <w:r>
                        <w:rPr>
                          <w:rFonts w:hint="eastAsia"/>
                          <w:kern w:val="2"/>
                          <w:sz w:val="21"/>
                          <w:szCs w:val="21"/>
                          <w:lang w:val="en-US" w:eastAsia="zh-CN"/>
                        </w:rPr>
                        <w:t>5</w:t>
                      </w:r>
                      <w:r>
                        <w:rPr>
                          <w:rFonts w:hint="eastAsia"/>
                          <w:kern w:val="2"/>
                          <w:sz w:val="21"/>
                          <w:szCs w:val="21"/>
                        </w:rPr>
                        <w:t xml:space="preserve">   </w:t>
                      </w:r>
                      <w:r>
                        <w:rPr>
                          <w:rFonts w:hint="eastAsia"/>
                          <w:kern w:val="2"/>
                          <w:sz w:val="21"/>
                          <w:szCs w:val="21"/>
                          <w:lang w:val="en-US" w:eastAsia="zh-CN"/>
                        </w:rPr>
                        <w:t>10</w:t>
                      </w:r>
                      <w:r>
                        <w:rPr>
                          <w:rFonts w:hint="eastAsia"/>
                          <w:kern w:val="2"/>
                          <w:sz w:val="21"/>
                          <w:szCs w:val="21"/>
                        </w:rPr>
                        <w:t xml:space="preserve"> </w:t>
                      </w:r>
                      <w:r>
                        <w:rPr>
                          <w:rFonts w:hint="eastAsia"/>
                          <w:kern w:val="2"/>
                          <w:sz w:val="21"/>
                          <w:szCs w:val="21"/>
                          <w:lang w:val="en-US" w:eastAsia="zh-CN"/>
                        </w:rPr>
                        <w:t xml:space="preserve"> </w:t>
                      </w:r>
                      <w:r>
                        <w:rPr>
                          <w:rFonts w:hint="eastAsia"/>
                          <w:kern w:val="2"/>
                          <w:sz w:val="21"/>
                          <w:szCs w:val="21"/>
                        </w:rPr>
                        <w:t xml:space="preserve"> </w:t>
                      </w:r>
                      <w:r>
                        <w:rPr>
                          <w:rFonts w:hint="eastAsia"/>
                          <w:kern w:val="2"/>
                          <w:sz w:val="21"/>
                          <w:szCs w:val="21"/>
                          <w:lang w:val="en-US" w:eastAsia="zh-CN"/>
                        </w:rPr>
                        <w:t>15</w:t>
                      </w:r>
                      <w:r>
                        <w:rPr>
                          <w:rFonts w:hint="eastAsia"/>
                          <w:kern w:val="2"/>
                          <w:sz w:val="21"/>
                          <w:szCs w:val="21"/>
                        </w:rPr>
                        <w:t>km</w:t>
                      </w:r>
                    </w:p>
                  </w:txbxContent>
                </v:textbox>
              </v:shape>
            </w:pict>
          </mc:Fallback>
        </mc:AlternateContent>
      </w:r>
      <w:r>
        <w:rPr>
          <w:kern w:val="2"/>
          <w:sz w:val="21"/>
        </w:rPr>
        <mc:AlternateContent>
          <mc:Choice Requires="wps">
            <w:drawing>
              <wp:anchor distT="0" distB="0" distL="114300" distR="114300" simplePos="0" relativeHeight="251666432" behindDoc="0" locked="0" layoutInCell="1" allowOverlap="1">
                <wp:simplePos x="0" y="0"/>
                <wp:positionH relativeFrom="column">
                  <wp:posOffset>2993390</wp:posOffset>
                </wp:positionH>
                <wp:positionV relativeFrom="paragraph">
                  <wp:posOffset>3075940</wp:posOffset>
                </wp:positionV>
                <wp:extent cx="1238250" cy="637540"/>
                <wp:effectExtent l="4445" t="513715" r="300355" b="10795"/>
                <wp:wrapNone/>
                <wp:docPr id="12" name="圆角矩形标注 56"/>
                <wp:cNvGraphicFramePr/>
                <a:graphic xmlns:a="http://schemas.openxmlformats.org/drawingml/2006/main">
                  <a:graphicData uri="http://schemas.microsoft.com/office/word/2010/wordprocessingShape">
                    <wps:wsp>
                      <wps:cNvSpPr/>
                      <wps:spPr>
                        <a:xfrm>
                          <a:off x="0" y="0"/>
                          <a:ext cx="1238250" cy="637540"/>
                        </a:xfrm>
                        <a:prstGeom prst="wedgeRoundRectCallout">
                          <a:avLst>
                            <a:gd name="adj1" fmla="val 71500"/>
                            <a:gd name="adj2" fmla="val -126843"/>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5473D950">
                            <w:pPr>
                              <w:adjustRightInd w:val="0"/>
                              <w:snapToGrid w:val="0"/>
                              <w:spacing w:line="240" w:lineRule="auto"/>
                              <w:ind w:firstLine="0" w:firstLineChars="0"/>
                              <w:jc w:val="left"/>
                              <w:rPr>
                                <w:kern w:val="2"/>
                                <w:sz w:val="20"/>
                                <w:szCs w:val="20"/>
                              </w:rPr>
                            </w:pPr>
                            <w:r>
                              <w:rPr>
                                <w:kern w:val="2"/>
                                <w:sz w:val="20"/>
                                <w:szCs w:val="20"/>
                              </w:rPr>
                              <w:t>项目所在地</w:t>
                            </w:r>
                          </w:p>
                          <w:p w14:paraId="75725499">
                            <w:pPr>
                              <w:adjustRightInd w:val="0"/>
                              <w:snapToGrid w:val="0"/>
                              <w:spacing w:line="240" w:lineRule="auto"/>
                              <w:ind w:firstLine="0" w:firstLineChars="0"/>
                              <w:jc w:val="left"/>
                              <w:rPr>
                                <w:kern w:val="2"/>
                                <w:sz w:val="21"/>
                                <w:szCs w:val="21"/>
                              </w:rPr>
                            </w:pPr>
                            <w:r>
                              <w:rPr>
                                <w:rFonts w:hint="eastAsia"/>
                                <w:kern w:val="2"/>
                                <w:sz w:val="21"/>
                                <w:szCs w:val="21"/>
                              </w:rPr>
                              <w:t xml:space="preserve">E </w:t>
                            </w:r>
                            <w:r>
                              <w:rPr>
                                <w:kern w:val="2"/>
                                <w:sz w:val="21"/>
                                <w:szCs w:val="21"/>
                              </w:rPr>
                              <w:t>113°</w:t>
                            </w:r>
                            <w:r>
                              <w:rPr>
                                <w:rFonts w:hint="eastAsia"/>
                                <w:kern w:val="2"/>
                                <w:sz w:val="21"/>
                                <w:szCs w:val="21"/>
                              </w:rPr>
                              <w:t>14</w:t>
                            </w:r>
                            <w:r>
                              <w:rPr>
                                <w:kern w:val="2"/>
                                <w:sz w:val="21"/>
                                <w:szCs w:val="21"/>
                              </w:rPr>
                              <w:t>′</w:t>
                            </w:r>
                            <w:r>
                              <w:rPr>
                                <w:rFonts w:hint="eastAsia"/>
                                <w:kern w:val="2"/>
                                <w:sz w:val="21"/>
                                <w:szCs w:val="21"/>
                              </w:rPr>
                              <w:t>57.852</w:t>
                            </w:r>
                            <w:r>
                              <w:rPr>
                                <w:kern w:val="2"/>
                                <w:sz w:val="21"/>
                                <w:szCs w:val="21"/>
                              </w:rPr>
                              <w:t>″</w:t>
                            </w:r>
                          </w:p>
                          <w:p w14:paraId="28015560">
                            <w:pPr>
                              <w:adjustRightInd w:val="0"/>
                              <w:snapToGrid w:val="0"/>
                              <w:spacing w:line="240" w:lineRule="auto"/>
                              <w:ind w:firstLine="0" w:firstLineChars="0"/>
                              <w:jc w:val="left"/>
                              <w:rPr>
                                <w:kern w:val="2"/>
                                <w:sz w:val="21"/>
                                <w:szCs w:val="21"/>
                              </w:rPr>
                            </w:pPr>
                            <w:r>
                              <w:rPr>
                                <w:rFonts w:hint="eastAsia"/>
                                <w:kern w:val="2"/>
                                <w:sz w:val="21"/>
                                <w:szCs w:val="21"/>
                              </w:rPr>
                              <w:t xml:space="preserve">N </w:t>
                            </w:r>
                            <w:r>
                              <w:rPr>
                                <w:kern w:val="2"/>
                                <w:sz w:val="21"/>
                                <w:szCs w:val="21"/>
                              </w:rPr>
                              <w:t>29°</w:t>
                            </w:r>
                            <w:r>
                              <w:rPr>
                                <w:rFonts w:hint="eastAsia"/>
                                <w:kern w:val="2"/>
                                <w:sz w:val="21"/>
                                <w:szCs w:val="21"/>
                              </w:rPr>
                              <w:t>14</w:t>
                            </w:r>
                            <w:r>
                              <w:rPr>
                                <w:kern w:val="2"/>
                                <w:sz w:val="21"/>
                                <w:szCs w:val="21"/>
                              </w:rPr>
                              <w:t>′</w:t>
                            </w:r>
                            <w:r>
                              <w:rPr>
                                <w:rFonts w:hint="eastAsia"/>
                                <w:kern w:val="2"/>
                                <w:sz w:val="21"/>
                                <w:szCs w:val="21"/>
                              </w:rPr>
                              <w:t>24.516</w:t>
                            </w:r>
                            <w:r>
                              <w:rPr>
                                <w:kern w:val="2"/>
                                <w:sz w:val="21"/>
                                <w:szCs w:val="21"/>
                              </w:rPr>
                              <w:t>″</w:t>
                            </w:r>
                          </w:p>
                          <w:p w14:paraId="2EC2B93D">
                            <w:pPr>
                              <w:adjustRightInd w:val="0"/>
                              <w:snapToGrid w:val="0"/>
                              <w:spacing w:line="240" w:lineRule="auto"/>
                              <w:ind w:firstLine="0" w:firstLineChars="0"/>
                              <w:jc w:val="left"/>
                              <w:rPr>
                                <w:kern w:val="2"/>
                                <w:sz w:val="20"/>
                                <w:szCs w:val="20"/>
                              </w:rPr>
                            </w:pPr>
                            <w:r>
                              <w:rPr>
                                <w:rFonts w:hint="eastAsia"/>
                                <w:kern w:val="2"/>
                                <w:sz w:val="20"/>
                                <w:szCs w:val="20"/>
                              </w:rPr>
                              <w:t>北纬9.3186206°</w:t>
                            </w:r>
                          </w:p>
                        </w:txbxContent>
                      </wps:txbx>
                      <wps:bodyPr wrap="square" upright="1"/>
                    </wps:wsp>
                  </a:graphicData>
                </a:graphic>
              </wp:anchor>
            </w:drawing>
          </mc:Choice>
          <mc:Fallback>
            <w:pict>
              <v:shape id="圆角矩形标注 56" o:spid="_x0000_s1026" o:spt="62" type="#_x0000_t62" style="position:absolute;left:0pt;margin-left:235.7pt;margin-top:242.2pt;height:50.2pt;width:97.5pt;z-index:251666432;mso-width-relative:page;mso-height-relative:page;" fillcolor="#FFFFFF" filled="t" stroked="t" coordsize="21600,21600" o:gfxdata="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pIlJHXAAAACwEAAA8AAAAAAAAAAQAgAAAAIgAAAGRycy9kb3ducmV2LnhtbFBLAQIUABQAAAAI&#10;AIdO4kCKgMORYAIAAM0EAAAOAAAAAAAAAAEAIAAAACYBAABkcnMvZTJvRG9jLnhtbFBLBQYAAAAA&#10;BgAGAFkBAAD4BQAAAAA=&#10;" adj="26244,-16598,14400">
                <v:fill on="t" focussize="0,0"/>
                <v:stroke color="#000000" joinstyle="miter"/>
                <v:imagedata o:title=""/>
                <o:lock v:ext="edit" aspectratio="f"/>
                <v:textbox>
                  <w:txbxContent>
                    <w:p w14:paraId="5473D950">
                      <w:pPr>
                        <w:adjustRightInd w:val="0"/>
                        <w:snapToGrid w:val="0"/>
                        <w:spacing w:line="240" w:lineRule="auto"/>
                        <w:ind w:firstLine="0" w:firstLineChars="0"/>
                        <w:jc w:val="left"/>
                        <w:rPr>
                          <w:kern w:val="2"/>
                          <w:sz w:val="20"/>
                          <w:szCs w:val="20"/>
                        </w:rPr>
                      </w:pPr>
                      <w:r>
                        <w:rPr>
                          <w:kern w:val="2"/>
                          <w:sz w:val="20"/>
                          <w:szCs w:val="20"/>
                        </w:rPr>
                        <w:t>项目所在地</w:t>
                      </w:r>
                    </w:p>
                    <w:p w14:paraId="75725499">
                      <w:pPr>
                        <w:adjustRightInd w:val="0"/>
                        <w:snapToGrid w:val="0"/>
                        <w:spacing w:line="240" w:lineRule="auto"/>
                        <w:ind w:firstLine="0" w:firstLineChars="0"/>
                        <w:jc w:val="left"/>
                        <w:rPr>
                          <w:kern w:val="2"/>
                          <w:sz w:val="21"/>
                          <w:szCs w:val="21"/>
                        </w:rPr>
                      </w:pPr>
                      <w:r>
                        <w:rPr>
                          <w:rFonts w:hint="eastAsia"/>
                          <w:kern w:val="2"/>
                          <w:sz w:val="21"/>
                          <w:szCs w:val="21"/>
                        </w:rPr>
                        <w:t xml:space="preserve">E </w:t>
                      </w:r>
                      <w:r>
                        <w:rPr>
                          <w:kern w:val="2"/>
                          <w:sz w:val="21"/>
                          <w:szCs w:val="21"/>
                        </w:rPr>
                        <w:t>113°</w:t>
                      </w:r>
                      <w:r>
                        <w:rPr>
                          <w:rFonts w:hint="eastAsia"/>
                          <w:kern w:val="2"/>
                          <w:sz w:val="21"/>
                          <w:szCs w:val="21"/>
                        </w:rPr>
                        <w:t>14</w:t>
                      </w:r>
                      <w:r>
                        <w:rPr>
                          <w:kern w:val="2"/>
                          <w:sz w:val="21"/>
                          <w:szCs w:val="21"/>
                        </w:rPr>
                        <w:t>′</w:t>
                      </w:r>
                      <w:r>
                        <w:rPr>
                          <w:rFonts w:hint="eastAsia"/>
                          <w:kern w:val="2"/>
                          <w:sz w:val="21"/>
                          <w:szCs w:val="21"/>
                        </w:rPr>
                        <w:t>57.852</w:t>
                      </w:r>
                      <w:r>
                        <w:rPr>
                          <w:kern w:val="2"/>
                          <w:sz w:val="21"/>
                          <w:szCs w:val="21"/>
                        </w:rPr>
                        <w:t>″</w:t>
                      </w:r>
                    </w:p>
                    <w:p w14:paraId="28015560">
                      <w:pPr>
                        <w:adjustRightInd w:val="0"/>
                        <w:snapToGrid w:val="0"/>
                        <w:spacing w:line="240" w:lineRule="auto"/>
                        <w:ind w:firstLine="0" w:firstLineChars="0"/>
                        <w:jc w:val="left"/>
                        <w:rPr>
                          <w:kern w:val="2"/>
                          <w:sz w:val="21"/>
                          <w:szCs w:val="21"/>
                        </w:rPr>
                      </w:pPr>
                      <w:r>
                        <w:rPr>
                          <w:rFonts w:hint="eastAsia"/>
                          <w:kern w:val="2"/>
                          <w:sz w:val="21"/>
                          <w:szCs w:val="21"/>
                        </w:rPr>
                        <w:t xml:space="preserve">N </w:t>
                      </w:r>
                      <w:r>
                        <w:rPr>
                          <w:kern w:val="2"/>
                          <w:sz w:val="21"/>
                          <w:szCs w:val="21"/>
                        </w:rPr>
                        <w:t>29°</w:t>
                      </w:r>
                      <w:r>
                        <w:rPr>
                          <w:rFonts w:hint="eastAsia"/>
                          <w:kern w:val="2"/>
                          <w:sz w:val="21"/>
                          <w:szCs w:val="21"/>
                        </w:rPr>
                        <w:t>14</w:t>
                      </w:r>
                      <w:r>
                        <w:rPr>
                          <w:kern w:val="2"/>
                          <w:sz w:val="21"/>
                          <w:szCs w:val="21"/>
                        </w:rPr>
                        <w:t>′</w:t>
                      </w:r>
                      <w:r>
                        <w:rPr>
                          <w:rFonts w:hint="eastAsia"/>
                          <w:kern w:val="2"/>
                          <w:sz w:val="21"/>
                          <w:szCs w:val="21"/>
                        </w:rPr>
                        <w:t>24.516</w:t>
                      </w:r>
                      <w:r>
                        <w:rPr>
                          <w:kern w:val="2"/>
                          <w:sz w:val="21"/>
                          <w:szCs w:val="21"/>
                        </w:rPr>
                        <w:t>″</w:t>
                      </w:r>
                    </w:p>
                    <w:p w14:paraId="2EC2B93D">
                      <w:pPr>
                        <w:adjustRightInd w:val="0"/>
                        <w:snapToGrid w:val="0"/>
                        <w:spacing w:line="240" w:lineRule="auto"/>
                        <w:ind w:firstLine="0" w:firstLineChars="0"/>
                        <w:jc w:val="left"/>
                        <w:rPr>
                          <w:kern w:val="2"/>
                          <w:sz w:val="20"/>
                          <w:szCs w:val="20"/>
                        </w:rPr>
                      </w:pPr>
                      <w:r>
                        <w:rPr>
                          <w:rFonts w:hint="eastAsia"/>
                          <w:kern w:val="2"/>
                          <w:sz w:val="20"/>
                          <w:szCs w:val="20"/>
                        </w:rPr>
                        <w:t>北纬9.3186206°</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4542155</wp:posOffset>
                </wp:positionH>
                <wp:positionV relativeFrom="paragraph">
                  <wp:posOffset>2509520</wp:posOffset>
                </wp:positionV>
                <wp:extent cx="75565" cy="80645"/>
                <wp:effectExtent l="12700" t="12700" r="26035" b="20955"/>
                <wp:wrapNone/>
                <wp:docPr id="10" name="椭圆 10"/>
                <wp:cNvGraphicFramePr/>
                <a:graphic xmlns:a="http://schemas.openxmlformats.org/drawingml/2006/main">
                  <a:graphicData uri="http://schemas.microsoft.com/office/word/2010/wordprocessingShape">
                    <wps:wsp>
                      <wps:cNvSpPr/>
                      <wps:spPr>
                        <a:xfrm>
                          <a:off x="0" y="0"/>
                          <a:ext cx="75565" cy="80645"/>
                        </a:xfrm>
                        <a:prstGeom prst="ellipse">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7.65pt;margin-top:197.6pt;height:6.35pt;width:5.95pt;z-index:251665408;v-text-anchor:middle;mso-width-relative:page;mso-height-relative:page;" fillcolor="#FF0000" filled="t" stroked="t" coordsize="21600,21600" o:gfxdata="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jrmDjYAAAACwEAAA8AAAAAAAAAAQAgAAAAIgAAAGRycy9kb3ducmV2LnhtbFBLAQIUABQAAAAI&#10;AIdO4kCfQcDvXwIAAN8EAAAOAAAAAAAAAAEAIAAAACcBAABkcnMvZTJvRG9jLnhtbFBLBQYAAAAA&#10;BgAGAFkBAAD4BQAAAAA=&#10;">
                <v:fill on="t" focussize="0,0"/>
                <v:stroke weight="2pt" color="#FF0000 [2404]" joinstyle="round"/>
                <v:imagedata o:title=""/>
                <o:lock v:ext="edit" aspectratio="f"/>
              </v:shape>
            </w:pict>
          </mc:Fallback>
        </mc:AlternateContent>
      </w:r>
      <w:r>
        <w:drawing>
          <wp:anchor distT="0" distB="0" distL="114300" distR="114300" simplePos="0" relativeHeight="251675648" behindDoc="0" locked="0" layoutInCell="1" allowOverlap="1">
            <wp:simplePos x="0" y="0"/>
            <wp:positionH relativeFrom="column">
              <wp:posOffset>5657850</wp:posOffset>
            </wp:positionH>
            <wp:positionV relativeFrom="paragraph">
              <wp:posOffset>2777490</wp:posOffset>
            </wp:positionV>
            <wp:extent cx="2590800" cy="2324100"/>
            <wp:effectExtent l="9525" t="9525" r="9525" b="9525"/>
            <wp:wrapNone/>
            <wp:docPr id="311" name="图片 10538" descr="20096201827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10538" descr="200962018271571"/>
                    <pic:cNvPicPr>
                      <a:picLocks noChangeAspect="1"/>
                    </pic:cNvPicPr>
                  </pic:nvPicPr>
                  <pic:blipFill>
                    <a:blip r:embed="rId112"/>
                    <a:stretch>
                      <a:fillRect/>
                    </a:stretch>
                  </pic:blipFill>
                  <pic:spPr>
                    <a:xfrm>
                      <a:off x="0" y="0"/>
                      <a:ext cx="2590800" cy="2324100"/>
                    </a:xfrm>
                    <a:prstGeom prst="rect">
                      <a:avLst/>
                    </a:prstGeom>
                    <a:noFill/>
                    <a:ln w="6350" cap="flat" cmpd="sng">
                      <a:solidFill>
                        <a:srgbClr val="000000"/>
                      </a:solidFill>
                      <a:prstDash val="solid"/>
                      <a:miter/>
                      <a:headEnd type="none" w="med" len="med"/>
                      <a:tailEnd type="none" w="med" len="med"/>
                    </a:ln>
                  </pic:spPr>
                </pic:pic>
              </a:graphicData>
            </a:graphic>
          </wp:anchor>
        </w:drawing>
      </w:r>
      <w:r>
        <mc:AlternateContent>
          <mc:Choice Requires="wps">
            <w:drawing>
              <wp:anchor distT="0" distB="0" distL="114300" distR="114300" simplePos="0" relativeHeight="251676672" behindDoc="0" locked="0" layoutInCell="1" allowOverlap="1">
                <wp:simplePos x="0" y="0"/>
                <wp:positionH relativeFrom="column">
                  <wp:posOffset>4606925</wp:posOffset>
                </wp:positionH>
                <wp:positionV relativeFrom="paragraph">
                  <wp:posOffset>2578100</wp:posOffset>
                </wp:positionV>
                <wp:extent cx="2247265" cy="818515"/>
                <wp:effectExtent l="0" t="9525" r="19685" b="10160"/>
                <wp:wrapNone/>
                <wp:docPr id="309" name="直接箭头连接符 309"/>
                <wp:cNvGraphicFramePr/>
                <a:graphic xmlns:a="http://schemas.openxmlformats.org/drawingml/2006/main">
                  <a:graphicData uri="http://schemas.microsoft.com/office/word/2010/wordprocessingShape">
                    <wps:wsp>
                      <wps:cNvCnPr>
                        <a:endCxn id="10" idx="5"/>
                      </wps:cNvCnPr>
                      <wps:spPr>
                        <a:xfrm flipH="1" flipV="1">
                          <a:off x="0" y="0"/>
                          <a:ext cx="2247265" cy="818515"/>
                        </a:xfrm>
                        <a:prstGeom prst="straightConnector1">
                          <a:avLst/>
                        </a:prstGeom>
                        <a:ln w="9525" cap="flat" cmpd="sng">
                          <a:solidFill>
                            <a:srgbClr val="FF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 y;margin-left:362.75pt;margin-top:203pt;height:64.45pt;width:176.95pt;z-index:251676672;mso-width-relative:page;mso-height-relative:page;" filled="f" stroked="t" coordsize="21600,21600" o:gfxdata="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hpaxDcAAAADAEAAA8AAAAAAAAAAQAgAAAAIgAAAGRycy9kb3ducmV2LnhtbFBL&#10;AQIUABQAAAAIAIdO4kDrLnuXKwIAADUEAAAOAAAAAAAAAAEAIAAAACsBAABkcnMvZTJvRG9jLnht&#10;bFBLBQYAAAAABgAGAFkBAADIBQAAAAA=&#10;">
                <v:fill on="f" focussize="0,0"/>
                <v:stroke color="#FF0000" joinstyle="round" endarrow="block"/>
                <v:imagedata o:title=""/>
                <o:lock v:ext="edit" aspectratio="f"/>
              </v:shape>
            </w:pict>
          </mc:Fallback>
        </mc:AlternateContent>
      </w:r>
      <w:r>
        <w:drawing>
          <wp:inline distT="0" distB="0" distL="114300" distR="114300">
            <wp:extent cx="7646670" cy="5174615"/>
            <wp:effectExtent l="0" t="0" r="11430" b="6985"/>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113"/>
                    <a:stretch>
                      <a:fillRect/>
                    </a:stretch>
                  </pic:blipFill>
                  <pic:spPr>
                    <a:xfrm>
                      <a:off x="0" y="0"/>
                      <a:ext cx="7646670" cy="5174615"/>
                    </a:xfrm>
                    <a:prstGeom prst="rect">
                      <a:avLst/>
                    </a:prstGeom>
                    <a:noFill/>
                    <a:ln>
                      <a:noFill/>
                    </a:ln>
                  </pic:spPr>
                </pic:pic>
              </a:graphicData>
            </a:graphic>
          </wp:inline>
        </w:drawing>
      </w:r>
    </w:p>
    <w:p w14:paraId="12A595B0">
      <w:pPr>
        <w:widowControl w:val="0"/>
        <w:numPr>
          <w:ilvl w:val="1"/>
          <w:numId w:val="34"/>
        </w:numPr>
        <w:adjustRightInd w:val="0"/>
        <w:snapToGrid w:val="0"/>
        <w:ind w:left="0" w:firstLine="0" w:firstLineChars="0"/>
        <w:jc w:val="center"/>
        <w:outlineLvl w:val="0"/>
        <w:rPr>
          <w:b/>
          <w:bCs/>
        </w:rPr>
        <w:sectPr>
          <w:footerReference r:id="rId19" w:type="default"/>
          <w:pgSz w:w="16840" w:h="11905" w:orient="landscape"/>
          <w:pgMar w:top="1701" w:right="1418" w:bottom="1418" w:left="1418" w:header="851" w:footer="992" w:gutter="0"/>
          <w:pgBorders>
            <w:top w:val="none" w:sz="0" w:space="0"/>
            <w:left w:val="none" w:sz="0" w:space="0"/>
            <w:bottom w:val="none" w:sz="0" w:space="0"/>
            <w:right w:val="none" w:sz="0" w:space="0"/>
          </w:pgBorders>
          <w:cols w:space="720" w:num="1"/>
          <w:docGrid w:linePitch="326" w:charSpace="0"/>
        </w:sectPr>
      </w:pPr>
      <w:bookmarkStart w:id="212" w:name="_Toc11307"/>
      <w:r>
        <w:rPr>
          <w:rFonts w:hint="eastAsia"/>
          <w:b/>
          <w:bCs/>
          <w:sz w:val="28"/>
          <w:szCs w:val="28"/>
        </w:rPr>
        <w:t>项目厂区地理位置图</w:t>
      </w:r>
      <w:bookmarkEnd w:id="203"/>
      <w:bookmarkEnd w:id="204"/>
      <w:bookmarkEnd w:id="205"/>
      <w:bookmarkEnd w:id="206"/>
      <w:bookmarkEnd w:id="207"/>
      <w:bookmarkEnd w:id="208"/>
      <w:bookmarkEnd w:id="209"/>
      <w:bookmarkEnd w:id="210"/>
      <w:bookmarkEnd w:id="211"/>
      <w:bookmarkEnd w:id="212"/>
    </w:p>
    <w:p w14:paraId="5501478A">
      <w:pPr>
        <w:widowControl w:val="0"/>
        <w:adjustRightInd w:val="0"/>
        <w:snapToGrid w:val="0"/>
        <w:spacing w:line="240" w:lineRule="auto"/>
        <w:ind w:firstLine="0" w:firstLineChars="0"/>
        <w:jc w:val="center"/>
        <w:rPr>
          <w:b/>
          <w:bCs/>
        </w:rPr>
      </w:pPr>
      <w:r>
        <w:rPr>
          <w:sz w:val="24"/>
        </w:rPr>
        <mc:AlternateContent>
          <mc:Choice Requires="wps">
            <w:drawing>
              <wp:anchor distT="0" distB="0" distL="114300" distR="114300" simplePos="0" relativeHeight="251678720" behindDoc="0" locked="0" layoutInCell="1" allowOverlap="1">
                <wp:simplePos x="0" y="0"/>
                <wp:positionH relativeFrom="column">
                  <wp:posOffset>153035</wp:posOffset>
                </wp:positionH>
                <wp:positionV relativeFrom="paragraph">
                  <wp:posOffset>4614545</wp:posOffset>
                </wp:positionV>
                <wp:extent cx="139700" cy="159385"/>
                <wp:effectExtent l="12700" t="12700" r="19050" b="18415"/>
                <wp:wrapNone/>
                <wp:docPr id="19" name="任意多边形 19"/>
                <wp:cNvGraphicFramePr/>
                <a:graphic xmlns:a="http://schemas.openxmlformats.org/drawingml/2006/main">
                  <a:graphicData uri="http://schemas.microsoft.com/office/word/2010/wordprocessingShape">
                    <wps:wsp>
                      <wps:cNvSpPr/>
                      <wps:spPr>
                        <a:xfrm>
                          <a:off x="0" y="0"/>
                          <a:ext cx="139700" cy="159385"/>
                        </a:xfrm>
                        <a:custGeom>
                          <a:avLst/>
                          <a:gdLst>
                            <a:gd name="connisteX0" fmla="*/ 1411605 w 2580640"/>
                            <a:gd name="connsiteY0" fmla="*/ 0 h 2945130"/>
                            <a:gd name="connisteX1" fmla="*/ 2580640 w 2580640"/>
                            <a:gd name="connsiteY1" fmla="*/ 1126490 h 2945130"/>
                            <a:gd name="connisteX2" fmla="*/ 1974215 w 2580640"/>
                            <a:gd name="connsiteY2" fmla="*/ 1680845 h 2945130"/>
                            <a:gd name="connisteX3" fmla="*/ 1749425 w 2580640"/>
                            <a:gd name="connsiteY3" fmla="*/ 2104390 h 2945130"/>
                            <a:gd name="connisteX4" fmla="*/ 1177925 w 2580640"/>
                            <a:gd name="connsiteY4" fmla="*/ 2685415 h 2945130"/>
                            <a:gd name="connisteX5" fmla="*/ 1134745 w 2580640"/>
                            <a:gd name="connsiteY5" fmla="*/ 2780665 h 2945130"/>
                            <a:gd name="connisteX6" fmla="*/ 840105 w 2580640"/>
                            <a:gd name="connsiteY6" fmla="*/ 2945130 h 2945130"/>
                            <a:gd name="connisteX7" fmla="*/ 354965 w 2580640"/>
                            <a:gd name="connsiteY7" fmla="*/ 2901315 h 2945130"/>
                            <a:gd name="connisteX8" fmla="*/ 0 w 2580640"/>
                            <a:gd name="connsiteY8" fmla="*/ 2304415 h 2945130"/>
                            <a:gd name="connisteX9" fmla="*/ 121285 w 2580640"/>
                            <a:gd name="connsiteY9" fmla="*/ 2199640 h 2945130"/>
                            <a:gd name="connisteX10" fmla="*/ 580390 w 2580640"/>
                            <a:gd name="connsiteY10" fmla="*/ 1516380 h 2945130"/>
                            <a:gd name="connisteX11" fmla="*/ 675640 w 2580640"/>
                            <a:gd name="connsiteY11" fmla="*/ 866140 h 2945130"/>
                            <a:gd name="connisteX12" fmla="*/ 1411605 w 2580640"/>
                            <a:gd name="connsiteY12" fmla="*/ 0 h 294513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Lst>
                          <a:rect l="l" t="t" r="r" b="b"/>
                          <a:pathLst>
                            <a:path w="2580640" h="2945130">
                              <a:moveTo>
                                <a:pt x="1411605" y="0"/>
                              </a:moveTo>
                              <a:lnTo>
                                <a:pt x="2580640" y="1126490"/>
                              </a:lnTo>
                              <a:lnTo>
                                <a:pt x="1974215" y="1680845"/>
                              </a:lnTo>
                              <a:lnTo>
                                <a:pt x="1749425" y="2104390"/>
                              </a:lnTo>
                              <a:lnTo>
                                <a:pt x="1177925" y="2685415"/>
                              </a:lnTo>
                              <a:lnTo>
                                <a:pt x="1134745" y="2780665"/>
                              </a:lnTo>
                              <a:lnTo>
                                <a:pt x="840105" y="2945130"/>
                              </a:lnTo>
                              <a:lnTo>
                                <a:pt x="354965" y="2901315"/>
                              </a:lnTo>
                              <a:lnTo>
                                <a:pt x="0" y="2304415"/>
                              </a:lnTo>
                              <a:lnTo>
                                <a:pt x="121285" y="2199640"/>
                              </a:lnTo>
                              <a:lnTo>
                                <a:pt x="580390" y="1516380"/>
                              </a:lnTo>
                              <a:lnTo>
                                <a:pt x="675640" y="866140"/>
                              </a:lnTo>
                              <a:lnTo>
                                <a:pt x="1411605" y="0"/>
                              </a:lnTo>
                              <a:close/>
                            </a:path>
                          </a:pathLst>
                        </a:custGeom>
                        <a:noFill/>
                        <a:ln>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2.05pt;margin-top:363.35pt;height:12.55pt;width:11pt;z-index:251678720;mso-width-relative:page;mso-height-relative:page;" filled="f" stroked="t" coordsize="2580640,2945130" o:gfxdata="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" path="m1411605,0l2580640,1126490,1974215,1680845,1749425,2104390,1177925,2685415,1134745,2780665,840105,2945130,354965,2901315,0,2304415,121285,2199640,580390,1516380,675640,866140,1411605,0xe">
                <v:path o:connectlocs="76415,0;139700,60963;106871,90964;94703,113885;63765,145329;61428,150484;45478,159385;19215,157013;0,124710;6565,119040;31418,82063;36575,46873;76415,0" o:connectangles="0,0,0,0,0,0,0,0,0,0,0,0,0"/>
                <v:fill on="f" focussize="0,0"/>
                <v:stroke weight="2pt" color="#00B050 [2404]" joinstyle="round"/>
                <v:imagedata o:title=""/>
                <o:lock v:ext="edit" aspectratio="f"/>
              </v:shape>
            </w:pict>
          </mc:Fallback>
        </mc:AlternateContent>
      </w:r>
      <w:r>
        <w:rPr>
          <w:sz w:val="24"/>
        </w:rPr>
        <mc:AlternateContent>
          <mc:Choice Requires="wps">
            <w:drawing>
              <wp:anchor distT="0" distB="0" distL="114300" distR="114300" simplePos="0" relativeHeight="251679744" behindDoc="0" locked="0" layoutInCell="1" allowOverlap="1">
                <wp:simplePos x="0" y="0"/>
                <wp:positionH relativeFrom="column">
                  <wp:posOffset>170180</wp:posOffset>
                </wp:positionH>
                <wp:positionV relativeFrom="paragraph">
                  <wp:posOffset>4431030</wp:posOffset>
                </wp:positionV>
                <wp:extent cx="106680" cy="95250"/>
                <wp:effectExtent l="12700" t="12700" r="13970" b="25400"/>
                <wp:wrapNone/>
                <wp:docPr id="20" name="矩形 20"/>
                <wp:cNvGraphicFramePr/>
                <a:graphic xmlns:a="http://schemas.openxmlformats.org/drawingml/2006/main">
                  <a:graphicData uri="http://schemas.microsoft.com/office/word/2010/wordprocessingShape">
                    <wps:wsp>
                      <wps:cNvSpPr/>
                      <wps:spPr>
                        <a:xfrm>
                          <a:off x="7018655" y="5437505"/>
                          <a:ext cx="106680" cy="95250"/>
                        </a:xfrm>
                        <a:prstGeom prst="rect">
                          <a:avLst/>
                        </a:prstGeom>
                        <a:noFill/>
                        <a:ln>
                          <a:solidFill>
                            <a:srgbClr val="0070C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4pt;margin-top:348.9pt;height:7.5pt;width:8.4pt;z-index:251679744;v-text-anchor:middle;mso-width-relative:page;mso-height-relative:page;" filled="f" stroked="t" coordsize="21600,21600" o:gfxdata="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o6zcD1gAAAAkBAAAPAAAAAAAAAAEAIAAAACIAAABkcnMvZG93bnJldi54bWxQ&#10;SwECFAAUAAAACACHTuJA1GtBxmsCAADABAAADgAAAAAAAAABACAAAAAlAQAAZHJzL2Uyb0RvYy54&#10;bWxQSwUGAAAAAAYABgBZAQAAAgYAAAAA&#10;">
                <v:fill on="f" focussize="0,0"/>
                <v:stroke weight="2pt" color="#0070C0 [2404]" joinstyle="round"/>
                <v:imagedata o:title=""/>
                <o:lock v:ext="edit" aspectratio="f"/>
              </v:rect>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130175</wp:posOffset>
                </wp:positionH>
                <wp:positionV relativeFrom="paragraph">
                  <wp:posOffset>4225925</wp:posOffset>
                </wp:positionV>
                <wp:extent cx="146050" cy="132715"/>
                <wp:effectExtent l="12700" t="12700" r="12700" b="26035"/>
                <wp:wrapNone/>
                <wp:docPr id="41" name="任意多边形 41"/>
                <wp:cNvGraphicFramePr/>
                <a:graphic xmlns:a="http://schemas.openxmlformats.org/drawingml/2006/main">
                  <a:graphicData uri="http://schemas.microsoft.com/office/word/2010/wordprocessingShape">
                    <wps:wsp>
                      <wps:cNvSpPr/>
                      <wps:spPr>
                        <a:xfrm>
                          <a:off x="4295140" y="2228215"/>
                          <a:ext cx="146050" cy="132715"/>
                        </a:xfrm>
                        <a:custGeom>
                          <a:avLst/>
                          <a:gdLst>
                            <a:gd name="connisteX0" fmla="*/ 359410 w 483870"/>
                            <a:gd name="connsiteY0" fmla="*/ 439420 h 439420"/>
                            <a:gd name="connisteX1" fmla="*/ 374015 w 483870"/>
                            <a:gd name="connsiteY1" fmla="*/ 344170 h 439420"/>
                            <a:gd name="connisteX2" fmla="*/ 300990 w 483870"/>
                            <a:gd name="connsiteY2" fmla="*/ 285750 h 439420"/>
                            <a:gd name="connisteX3" fmla="*/ 234950 w 483870"/>
                            <a:gd name="connsiteY3" fmla="*/ 256540 h 439420"/>
                            <a:gd name="connisteX4" fmla="*/ 234950 w 483870"/>
                            <a:gd name="connsiteY4" fmla="*/ 175260 h 439420"/>
                            <a:gd name="connisteX5" fmla="*/ 198120 w 483870"/>
                            <a:gd name="connsiteY5" fmla="*/ 131445 h 439420"/>
                            <a:gd name="connisteX6" fmla="*/ 110490 w 483870"/>
                            <a:gd name="connsiteY6" fmla="*/ 117475 h 439420"/>
                            <a:gd name="connisteX7" fmla="*/ 0 w 483870"/>
                            <a:gd name="connsiteY7" fmla="*/ 73660 h 439420"/>
                            <a:gd name="connisteX8" fmla="*/ 44450 w 483870"/>
                            <a:gd name="connsiteY8" fmla="*/ 0 h 439420"/>
                            <a:gd name="connisteX9" fmla="*/ 432435 w 483870"/>
                            <a:gd name="connsiteY9" fmla="*/ 124460 h 439420"/>
                            <a:gd name="connisteX10" fmla="*/ 483870 w 483870"/>
                            <a:gd name="connsiteY10" fmla="*/ 219710 h 439420"/>
                            <a:gd name="connisteX11" fmla="*/ 469265 w 483870"/>
                            <a:gd name="connsiteY11" fmla="*/ 337185 h 439420"/>
                            <a:gd name="connisteX12" fmla="*/ 476250 w 483870"/>
                            <a:gd name="connsiteY12" fmla="*/ 410210 h 439420"/>
                            <a:gd name="connisteX13" fmla="*/ 359410 w 483870"/>
                            <a:gd name="connsiteY13" fmla="*/ 439420 h 43942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Lst>
                          <a:rect l="l" t="t" r="r" b="b"/>
                          <a:pathLst>
                            <a:path w="483870" h="439420">
                              <a:moveTo>
                                <a:pt x="359410" y="439420"/>
                              </a:moveTo>
                              <a:lnTo>
                                <a:pt x="374015" y="344170"/>
                              </a:lnTo>
                              <a:lnTo>
                                <a:pt x="300990" y="285750"/>
                              </a:lnTo>
                              <a:lnTo>
                                <a:pt x="234950" y="256540"/>
                              </a:lnTo>
                              <a:lnTo>
                                <a:pt x="234950" y="175260"/>
                              </a:lnTo>
                              <a:lnTo>
                                <a:pt x="198120" y="131445"/>
                              </a:lnTo>
                              <a:lnTo>
                                <a:pt x="110490" y="117475"/>
                              </a:lnTo>
                              <a:lnTo>
                                <a:pt x="0" y="73660"/>
                              </a:lnTo>
                              <a:lnTo>
                                <a:pt x="44450" y="0"/>
                              </a:lnTo>
                              <a:lnTo>
                                <a:pt x="432435" y="124460"/>
                              </a:lnTo>
                              <a:lnTo>
                                <a:pt x="483870" y="219710"/>
                              </a:lnTo>
                              <a:lnTo>
                                <a:pt x="469265" y="337185"/>
                              </a:lnTo>
                              <a:lnTo>
                                <a:pt x="476250" y="410210"/>
                              </a:lnTo>
                              <a:lnTo>
                                <a:pt x="359410" y="439420"/>
                              </a:lnTo>
                              <a:close/>
                            </a:path>
                          </a:pathLst>
                        </a:custGeom>
                        <a:noFill/>
                        <a:ln>
                          <a:solidFill>
                            <a:schemeClr val="accent6"/>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0.25pt;margin-top:332.75pt;height:10.45pt;width:11.5pt;z-index:251669504;mso-width-relative:page;mso-height-relative:page;" filled="f" stroked="t" coordsize="483870,439420" o:gfxdata="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" path="m359410,439420l374015,344170,300990,285750,234950,256540,234950,175260,198120,131445,110490,117475,0,73660,44450,0,432435,124460,483870,219710,469265,337185,476250,410210,359410,439420xe">
                <v:path o:connectlocs="108483,132715;112891,103947;90850,86303;70916,77481;70916,52932;59800,39699;33350,35480;0,22247;13416,0;130525,37589;146050,66357;141641,101837;143750,123892;108483,132715" o:connectangles="0,0,0,0,0,0,0,0,0,0,0,0,0,0"/>
                <v:fill on="f" focussize="0,0"/>
                <v:stroke weight="2pt" color="#F79646 [3209]" joinstyle="round"/>
                <v:imagedata o:title=""/>
                <o:lock v:ext="edit" aspectratio="f"/>
              </v:shape>
            </w:pict>
          </mc:Fallback>
        </mc:AlternateContent>
      </w:r>
      <w:r>
        <w:rPr>
          <w:sz w:val="24"/>
        </w:rPr>
        <mc:AlternateContent>
          <mc:Choice Requires="wps">
            <w:drawing>
              <wp:anchor distT="0" distB="0" distL="114300" distR="114300" simplePos="0" relativeHeight="251677696" behindDoc="0" locked="0" layoutInCell="1" allowOverlap="1">
                <wp:simplePos x="0" y="0"/>
                <wp:positionH relativeFrom="column">
                  <wp:posOffset>163195</wp:posOffset>
                </wp:positionH>
                <wp:positionV relativeFrom="paragraph">
                  <wp:posOffset>3980180</wp:posOffset>
                </wp:positionV>
                <wp:extent cx="139700" cy="159385"/>
                <wp:effectExtent l="12700" t="12700" r="19050" b="18415"/>
                <wp:wrapNone/>
                <wp:docPr id="18" name="任意多边形 18"/>
                <wp:cNvGraphicFramePr/>
                <a:graphic xmlns:a="http://schemas.openxmlformats.org/drawingml/2006/main">
                  <a:graphicData uri="http://schemas.microsoft.com/office/word/2010/wordprocessingShape">
                    <wps:wsp>
                      <wps:cNvSpPr/>
                      <wps:spPr>
                        <a:xfrm>
                          <a:off x="4083050" y="2180590"/>
                          <a:ext cx="139700" cy="159385"/>
                        </a:xfrm>
                        <a:custGeom>
                          <a:avLst/>
                          <a:gdLst>
                            <a:gd name="connisteX0" fmla="*/ 1411605 w 2580640"/>
                            <a:gd name="connsiteY0" fmla="*/ 0 h 2945130"/>
                            <a:gd name="connisteX1" fmla="*/ 2580640 w 2580640"/>
                            <a:gd name="connsiteY1" fmla="*/ 1126490 h 2945130"/>
                            <a:gd name="connisteX2" fmla="*/ 1974215 w 2580640"/>
                            <a:gd name="connsiteY2" fmla="*/ 1680845 h 2945130"/>
                            <a:gd name="connisteX3" fmla="*/ 1749425 w 2580640"/>
                            <a:gd name="connsiteY3" fmla="*/ 2104390 h 2945130"/>
                            <a:gd name="connisteX4" fmla="*/ 1177925 w 2580640"/>
                            <a:gd name="connsiteY4" fmla="*/ 2685415 h 2945130"/>
                            <a:gd name="connisteX5" fmla="*/ 1134745 w 2580640"/>
                            <a:gd name="connsiteY5" fmla="*/ 2780665 h 2945130"/>
                            <a:gd name="connisteX6" fmla="*/ 840105 w 2580640"/>
                            <a:gd name="connsiteY6" fmla="*/ 2945130 h 2945130"/>
                            <a:gd name="connisteX7" fmla="*/ 354965 w 2580640"/>
                            <a:gd name="connsiteY7" fmla="*/ 2901315 h 2945130"/>
                            <a:gd name="connisteX8" fmla="*/ 0 w 2580640"/>
                            <a:gd name="connsiteY8" fmla="*/ 2304415 h 2945130"/>
                            <a:gd name="connisteX9" fmla="*/ 121285 w 2580640"/>
                            <a:gd name="connsiteY9" fmla="*/ 2199640 h 2945130"/>
                            <a:gd name="connisteX10" fmla="*/ 580390 w 2580640"/>
                            <a:gd name="connsiteY10" fmla="*/ 1516380 h 2945130"/>
                            <a:gd name="connisteX11" fmla="*/ 675640 w 2580640"/>
                            <a:gd name="connsiteY11" fmla="*/ 866140 h 2945130"/>
                            <a:gd name="connisteX12" fmla="*/ 1411605 w 2580640"/>
                            <a:gd name="connsiteY12" fmla="*/ 0 h 294513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Lst>
                          <a:rect l="l" t="t" r="r" b="b"/>
                          <a:pathLst>
                            <a:path w="2580640" h="2945130">
                              <a:moveTo>
                                <a:pt x="1411605" y="0"/>
                              </a:moveTo>
                              <a:lnTo>
                                <a:pt x="2580640" y="1126490"/>
                              </a:lnTo>
                              <a:lnTo>
                                <a:pt x="1974215" y="1680845"/>
                              </a:lnTo>
                              <a:lnTo>
                                <a:pt x="1749425" y="2104390"/>
                              </a:lnTo>
                              <a:lnTo>
                                <a:pt x="1177925" y="2685415"/>
                              </a:lnTo>
                              <a:lnTo>
                                <a:pt x="1134745" y="2780665"/>
                              </a:lnTo>
                              <a:lnTo>
                                <a:pt x="840105" y="2945130"/>
                              </a:lnTo>
                              <a:lnTo>
                                <a:pt x="354965" y="2901315"/>
                              </a:lnTo>
                              <a:lnTo>
                                <a:pt x="0" y="2304415"/>
                              </a:lnTo>
                              <a:lnTo>
                                <a:pt x="121285" y="2199640"/>
                              </a:lnTo>
                              <a:lnTo>
                                <a:pt x="580390" y="1516380"/>
                              </a:lnTo>
                              <a:lnTo>
                                <a:pt x="675640" y="866140"/>
                              </a:lnTo>
                              <a:lnTo>
                                <a:pt x="1411605" y="0"/>
                              </a:lnTo>
                              <a:close/>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2.85pt;margin-top:313.4pt;height:12.55pt;width:11pt;z-index:251677696;mso-width-relative:page;mso-height-relative:page;" filled="f" stroked="t" coordsize="2580640,2945130" o:gfxdata="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" path="m1411605,0l2580640,1126490,1974215,1680845,1749425,2104390,1177925,2685415,1134745,2780665,840105,2945130,354965,2901315,0,2304415,121285,2199640,580390,1516380,675640,866140,1411605,0xe">
                <v:path o:connectlocs="76415,0;139700,60963;106871,90964;94703,113885;63765,145329;61428,150484;45478,159385;19215,157013;0,124710;6565,119040;31418,82063;36575,46873;76415,0" o:connectangles="0,0,0,0,0,0,0,0,0,0,0,0,0"/>
                <v:fill on="f" focussize="0,0"/>
                <v:stroke weight="2pt" color="#FF0000 [2404]" joinstyle="round"/>
                <v:imagedata o:title=""/>
                <o:lock v:ext="edit" aspectratio="f"/>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27305</wp:posOffset>
                </wp:positionH>
                <wp:positionV relativeFrom="paragraph">
                  <wp:posOffset>3740150</wp:posOffset>
                </wp:positionV>
                <wp:extent cx="1873250" cy="1494155"/>
                <wp:effectExtent l="5080" t="4445" r="7620" b="6350"/>
                <wp:wrapNone/>
                <wp:docPr id="58" name="文本框 58"/>
                <wp:cNvGraphicFramePr/>
                <a:graphic xmlns:a="http://schemas.openxmlformats.org/drawingml/2006/main">
                  <a:graphicData uri="http://schemas.microsoft.com/office/word/2010/wordprocessingShape">
                    <wps:wsp>
                      <wps:cNvSpPr txBox="1"/>
                      <wps:spPr>
                        <a:xfrm>
                          <a:off x="1856105" y="5410835"/>
                          <a:ext cx="1873250" cy="14941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3B6A407">
                            <w:pPr>
                              <w:spacing w:line="240" w:lineRule="auto"/>
                              <w:ind w:firstLine="0" w:firstLineChars="0"/>
                              <w:jc w:val="left"/>
                            </w:pPr>
                            <w:r>
                              <w:rPr>
                                <w:rFonts w:hint="eastAsia"/>
                              </w:rPr>
                              <w:t>图例：</w:t>
                            </w:r>
                          </w:p>
                          <w:p w14:paraId="14265D98">
                            <w:pPr>
                              <w:spacing w:line="240" w:lineRule="auto"/>
                              <w:ind w:firstLine="0" w:firstLineChars="0"/>
                              <w:jc w:val="left"/>
                            </w:pPr>
                            <w:r>
                              <w:rPr>
                                <w:rFonts w:hint="eastAsia"/>
                              </w:rPr>
                              <w:t xml:space="preserve">   </w:t>
                            </w:r>
                            <w:r>
                              <w:rPr>
                                <w:rFonts w:hint="eastAsia"/>
                                <w:lang w:val="en-US" w:eastAsia="zh-CN"/>
                              </w:rPr>
                              <w:t>厂区边界</w:t>
                            </w:r>
                          </w:p>
                          <w:p w14:paraId="7CE5EEB9">
                            <w:pPr>
                              <w:spacing w:line="240" w:lineRule="auto"/>
                              <w:ind w:firstLine="0" w:firstLineChars="0"/>
                              <w:jc w:val="left"/>
                            </w:pPr>
                            <w:r>
                              <w:rPr>
                                <w:rFonts w:hint="eastAsia"/>
                              </w:rPr>
                              <w:t xml:space="preserve">   </w:t>
                            </w:r>
                            <w:r>
                              <w:rPr>
                                <w:rFonts w:hint="eastAsia"/>
                                <w:lang w:val="en-US" w:eastAsia="zh-CN"/>
                              </w:rPr>
                              <w:t>大气</w:t>
                            </w:r>
                            <w:r>
                              <w:rPr>
                                <w:rFonts w:hint="eastAsia"/>
                              </w:rPr>
                              <w:t>环境保护目标</w:t>
                            </w:r>
                          </w:p>
                          <w:p w14:paraId="755DFC94">
                            <w:pPr>
                              <w:spacing w:line="240" w:lineRule="auto"/>
                              <w:ind w:firstLine="0" w:firstLineChars="0"/>
                              <w:jc w:val="left"/>
                            </w:pPr>
                            <w:r>
                              <w:rPr>
                                <w:rFonts w:hint="eastAsia"/>
                              </w:rPr>
                              <w:t xml:space="preserve">   大气环境评价范围</w:t>
                            </w:r>
                          </w:p>
                          <w:p w14:paraId="7B040A98">
                            <w:pPr>
                              <w:spacing w:line="240" w:lineRule="auto"/>
                              <w:ind w:firstLine="0" w:firstLineChars="0"/>
                              <w:jc w:val="left"/>
                            </w:pPr>
                            <w:r>
                              <w:rPr>
                                <w:rFonts w:hint="eastAsia"/>
                              </w:rPr>
                              <w:t xml:space="preserve">   声环境评价范围</w:t>
                            </w:r>
                          </w:p>
                          <w:p w14:paraId="421AE84F">
                            <w:pPr>
                              <w:spacing w:line="240" w:lineRule="auto"/>
                              <w:ind w:firstLine="0" w:firstLineChars="0"/>
                              <w:jc w:val="left"/>
                              <w:rPr>
                                <w:kern w:val="2"/>
                              </w:rPr>
                            </w:pPr>
                            <w:r>
                              <w:rPr>
                                <w:kern w:val="2"/>
                              </w:rPr>
                              <w:drawing>
                                <wp:inline distT="0" distB="0" distL="114300" distR="114300">
                                  <wp:extent cx="1497330" cy="139700"/>
                                  <wp:effectExtent l="0" t="0" r="7620" b="12700"/>
                                  <wp:docPr id="3726968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96841" name="图片 2"/>
                                          <pic:cNvPicPr>
                                            <a:picLocks noChangeAspect="1"/>
                                          </pic:cNvPicPr>
                                        </pic:nvPicPr>
                                        <pic:blipFill>
                                          <a:blip r:embed="rId111"/>
                                          <a:stretch>
                                            <a:fillRect/>
                                          </a:stretch>
                                        </pic:blipFill>
                                        <pic:spPr>
                                          <a:xfrm>
                                            <a:off x="0" y="0"/>
                                            <a:ext cx="1497330" cy="139700"/>
                                          </a:xfrm>
                                          <a:prstGeom prst="rect">
                                            <a:avLst/>
                                          </a:prstGeom>
                                          <a:noFill/>
                                          <a:ln>
                                            <a:noFill/>
                                          </a:ln>
                                        </pic:spPr>
                                      </pic:pic>
                                    </a:graphicData>
                                  </a:graphic>
                                </wp:inline>
                              </w:drawing>
                            </w:r>
                          </w:p>
                          <w:p w14:paraId="565A50D4">
                            <w:pPr>
                              <w:spacing w:line="240" w:lineRule="auto"/>
                              <w:ind w:firstLine="0" w:firstLineChars="0"/>
                              <w:jc w:val="left"/>
                              <w:rPr>
                                <w:kern w:val="2"/>
                                <w:sz w:val="21"/>
                                <w:szCs w:val="21"/>
                              </w:rPr>
                            </w:pPr>
                            <w:r>
                              <w:rPr>
                                <w:rFonts w:hint="eastAsia"/>
                                <w:kern w:val="2"/>
                                <w:sz w:val="21"/>
                                <w:szCs w:val="21"/>
                              </w:rPr>
                              <w:t>0     50     100    150m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5pt;margin-top:294.5pt;height:117.65pt;width:147.5pt;z-index:251662336;mso-width-relative:page;mso-height-relative:page;" fillcolor="#FFFFFF [3201]" filled="t" stroked="t" coordsize="21600,21600" o:gfxdata="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HKiI7VAAAACQEAAA8AAAAAAAAAAQAgAAAAIgAAAGRycy9kb3ducmV2LnhtbFBLAQIUABQA&#10;AAAIAIdO4kDAuN1JZQIAAMYEAAAOAAAAAAAAAAEAIAAAACQBAABkcnMvZTJvRG9jLnhtbFBLBQYA&#10;AAAABgAGAFkBAAD7BQAAAAA=&#10;">
                <v:fill on="t" focussize="0,0"/>
                <v:stroke weight="0.5pt" color="#000000 [3204]" joinstyle="round"/>
                <v:imagedata o:title=""/>
                <o:lock v:ext="edit" aspectratio="f"/>
                <v:textbox>
                  <w:txbxContent>
                    <w:p w14:paraId="33B6A407">
                      <w:pPr>
                        <w:spacing w:line="240" w:lineRule="auto"/>
                        <w:ind w:firstLine="0" w:firstLineChars="0"/>
                        <w:jc w:val="left"/>
                      </w:pPr>
                      <w:r>
                        <w:rPr>
                          <w:rFonts w:hint="eastAsia"/>
                        </w:rPr>
                        <w:t>图例：</w:t>
                      </w:r>
                    </w:p>
                    <w:p w14:paraId="14265D98">
                      <w:pPr>
                        <w:spacing w:line="240" w:lineRule="auto"/>
                        <w:ind w:firstLine="0" w:firstLineChars="0"/>
                        <w:jc w:val="left"/>
                      </w:pPr>
                      <w:r>
                        <w:rPr>
                          <w:rFonts w:hint="eastAsia"/>
                        </w:rPr>
                        <w:t xml:space="preserve">   </w:t>
                      </w:r>
                      <w:r>
                        <w:rPr>
                          <w:rFonts w:hint="eastAsia"/>
                          <w:lang w:val="en-US" w:eastAsia="zh-CN"/>
                        </w:rPr>
                        <w:t>厂区边界</w:t>
                      </w:r>
                    </w:p>
                    <w:p w14:paraId="7CE5EEB9">
                      <w:pPr>
                        <w:spacing w:line="240" w:lineRule="auto"/>
                        <w:ind w:firstLine="0" w:firstLineChars="0"/>
                        <w:jc w:val="left"/>
                      </w:pPr>
                      <w:r>
                        <w:rPr>
                          <w:rFonts w:hint="eastAsia"/>
                        </w:rPr>
                        <w:t xml:space="preserve">   </w:t>
                      </w:r>
                      <w:r>
                        <w:rPr>
                          <w:rFonts w:hint="eastAsia"/>
                          <w:lang w:val="en-US" w:eastAsia="zh-CN"/>
                        </w:rPr>
                        <w:t>大气</w:t>
                      </w:r>
                      <w:r>
                        <w:rPr>
                          <w:rFonts w:hint="eastAsia"/>
                        </w:rPr>
                        <w:t>环境保护目标</w:t>
                      </w:r>
                    </w:p>
                    <w:p w14:paraId="755DFC94">
                      <w:pPr>
                        <w:spacing w:line="240" w:lineRule="auto"/>
                        <w:ind w:firstLine="0" w:firstLineChars="0"/>
                        <w:jc w:val="left"/>
                      </w:pPr>
                      <w:r>
                        <w:rPr>
                          <w:rFonts w:hint="eastAsia"/>
                        </w:rPr>
                        <w:t xml:space="preserve">   大气环境评价范围</w:t>
                      </w:r>
                    </w:p>
                    <w:p w14:paraId="7B040A98">
                      <w:pPr>
                        <w:spacing w:line="240" w:lineRule="auto"/>
                        <w:ind w:firstLine="0" w:firstLineChars="0"/>
                        <w:jc w:val="left"/>
                      </w:pPr>
                      <w:r>
                        <w:rPr>
                          <w:rFonts w:hint="eastAsia"/>
                        </w:rPr>
                        <w:t xml:space="preserve">   声环境评价范围</w:t>
                      </w:r>
                    </w:p>
                    <w:p w14:paraId="421AE84F">
                      <w:pPr>
                        <w:spacing w:line="240" w:lineRule="auto"/>
                        <w:ind w:firstLine="0" w:firstLineChars="0"/>
                        <w:jc w:val="left"/>
                        <w:rPr>
                          <w:kern w:val="2"/>
                        </w:rPr>
                      </w:pPr>
                      <w:r>
                        <w:rPr>
                          <w:kern w:val="2"/>
                        </w:rPr>
                        <w:drawing>
                          <wp:inline distT="0" distB="0" distL="114300" distR="114300">
                            <wp:extent cx="1497330" cy="139700"/>
                            <wp:effectExtent l="0" t="0" r="7620" b="12700"/>
                            <wp:docPr id="3726968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96841" name="图片 2"/>
                                    <pic:cNvPicPr>
                                      <a:picLocks noChangeAspect="1"/>
                                    </pic:cNvPicPr>
                                  </pic:nvPicPr>
                                  <pic:blipFill>
                                    <a:blip r:embed="rId111"/>
                                    <a:stretch>
                                      <a:fillRect/>
                                    </a:stretch>
                                  </pic:blipFill>
                                  <pic:spPr>
                                    <a:xfrm>
                                      <a:off x="0" y="0"/>
                                      <a:ext cx="1497330" cy="139700"/>
                                    </a:xfrm>
                                    <a:prstGeom prst="rect">
                                      <a:avLst/>
                                    </a:prstGeom>
                                    <a:noFill/>
                                    <a:ln>
                                      <a:noFill/>
                                    </a:ln>
                                  </pic:spPr>
                                </pic:pic>
                              </a:graphicData>
                            </a:graphic>
                          </wp:inline>
                        </w:drawing>
                      </w:r>
                    </w:p>
                    <w:p w14:paraId="565A50D4">
                      <w:pPr>
                        <w:spacing w:line="240" w:lineRule="auto"/>
                        <w:ind w:firstLine="0" w:firstLineChars="0"/>
                        <w:jc w:val="left"/>
                        <w:rPr>
                          <w:kern w:val="2"/>
                          <w:sz w:val="21"/>
                          <w:szCs w:val="21"/>
                        </w:rPr>
                      </w:pPr>
                      <w:r>
                        <w:rPr>
                          <w:rFonts w:hint="eastAsia"/>
                          <w:kern w:val="2"/>
                          <w:sz w:val="21"/>
                          <w:szCs w:val="21"/>
                        </w:rPr>
                        <w:t>0     50     100    150m</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4274185</wp:posOffset>
                </wp:positionH>
                <wp:positionV relativeFrom="paragraph">
                  <wp:posOffset>4672330</wp:posOffset>
                </wp:positionV>
                <wp:extent cx="817245" cy="27114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817245" cy="2711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D3757">
                            <w:pPr>
                              <w:ind w:firstLine="0" w:firstLineChars="0"/>
                              <w:rPr>
                                <w:rFonts w:hint="default" w:ascii="黑体" w:hAnsi="黑体" w:eastAsia="黑体" w:cs="黑体"/>
                                <w:b/>
                                <w:bCs/>
                                <w:color w:val="FF0000"/>
                                <w:lang w:val="en-US" w:eastAsia="zh-CN"/>
                              </w:rPr>
                            </w:pPr>
                            <w:r>
                              <w:rPr>
                                <w:rFonts w:hint="eastAsia" w:ascii="黑体" w:hAnsi="黑体" w:eastAsia="黑体" w:cs="黑体"/>
                                <w:b/>
                                <w:bCs/>
                                <w:color w:val="FF0000"/>
                                <w:lang w:val="en-US" w:eastAsia="zh-CN"/>
                              </w:rPr>
                              <w:t>叶家岔</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6.55pt;margin-top:367.9pt;height:21.35pt;width:64.35pt;z-index:251683840;mso-width-relative:page;mso-height-relative:page;" filled="f" stroked="f" coordsize="21600,21600" o:gfxdata="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&#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e0zj3dwAAAALAQAADwAAAAAAAAABACAAAAAiAAAA&#10;ZHJzL2Rvd25yZXYueG1sUEsBAhQAFAAAAAgAh07iQIdFfg88AgAAZwQAAA4AAAAAAAAAAQAgAAAA&#10;KwEAAGRycy9lMm9Eb2MueG1sUEsFBgAAAAAGAAYAWQEAANkFAAAAAA==&#10;">
                <v:fill on="f" focussize="0,0"/>
                <v:stroke on="f" weight="0.5pt"/>
                <v:imagedata o:title=""/>
                <o:lock v:ext="edit" aspectratio="f"/>
                <v:textbox>
                  <w:txbxContent>
                    <w:p w14:paraId="01BD3757">
                      <w:pPr>
                        <w:ind w:firstLine="0" w:firstLineChars="0"/>
                        <w:rPr>
                          <w:rFonts w:hint="default" w:ascii="黑体" w:hAnsi="黑体" w:eastAsia="黑体" w:cs="黑体"/>
                          <w:b/>
                          <w:bCs/>
                          <w:color w:val="FF0000"/>
                          <w:lang w:val="en-US" w:eastAsia="zh-CN"/>
                        </w:rPr>
                      </w:pPr>
                      <w:r>
                        <w:rPr>
                          <w:rFonts w:hint="eastAsia" w:ascii="黑体" w:hAnsi="黑体" w:eastAsia="黑体" w:cs="黑体"/>
                          <w:b/>
                          <w:bCs/>
                          <w:color w:val="FF0000"/>
                          <w:lang w:val="en-US" w:eastAsia="zh-CN"/>
                        </w:rPr>
                        <w:t>叶家岔</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3521075</wp:posOffset>
                </wp:positionH>
                <wp:positionV relativeFrom="paragraph">
                  <wp:posOffset>4444365</wp:posOffset>
                </wp:positionV>
                <wp:extent cx="817245" cy="271145"/>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817245" cy="2711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162E46">
                            <w:pPr>
                              <w:ind w:firstLine="0" w:firstLineChars="0"/>
                              <w:rPr>
                                <w:rFonts w:hint="default" w:ascii="黑体" w:hAnsi="黑体" w:eastAsia="黑体" w:cs="黑体"/>
                                <w:b/>
                                <w:bCs/>
                                <w:color w:val="FF0000"/>
                                <w:lang w:val="en-US" w:eastAsia="zh-CN"/>
                              </w:rPr>
                            </w:pPr>
                            <w:r>
                              <w:rPr>
                                <w:rFonts w:hint="eastAsia" w:ascii="黑体" w:hAnsi="黑体" w:eastAsia="黑体" w:cs="黑体"/>
                                <w:b/>
                                <w:bCs/>
                                <w:color w:val="FF0000"/>
                                <w:lang w:val="en-US" w:eastAsia="zh-CN"/>
                              </w:rPr>
                              <w:t>华能二区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25pt;margin-top:349.95pt;height:21.35pt;width:64.35pt;z-index:251682816;mso-width-relative:page;mso-height-relative:page;" filled="f" stroked="f" coordsize="21600,21600" o:gfxdata="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B1Qc2TdAAAACwEAAA8AAAAAAAAAAQAgAAAAIgAA&#10;AGRycy9kb3ducmV2LnhtbFBLAQIUABQAAAAIAIdO4kDdOr3nPAIAAGcEAAAOAAAAAAAAAAEAIAAA&#10;ACwBAABkcnMvZTJvRG9jLnhtbFBLBQYAAAAABgAGAFkBAADaBQAAAAA=&#10;">
                <v:fill on="f" focussize="0,0"/>
                <v:stroke on="f" weight="0.5pt"/>
                <v:imagedata o:title=""/>
                <o:lock v:ext="edit" aspectratio="f"/>
                <v:textbox>
                  <w:txbxContent>
                    <w:p w14:paraId="19162E46">
                      <w:pPr>
                        <w:ind w:firstLine="0" w:firstLineChars="0"/>
                        <w:rPr>
                          <w:rFonts w:hint="default" w:ascii="黑体" w:hAnsi="黑体" w:eastAsia="黑体" w:cs="黑体"/>
                          <w:b/>
                          <w:bCs/>
                          <w:color w:val="FF0000"/>
                          <w:lang w:val="en-US" w:eastAsia="zh-CN"/>
                        </w:rPr>
                      </w:pPr>
                      <w:r>
                        <w:rPr>
                          <w:rFonts w:hint="eastAsia" w:ascii="黑体" w:hAnsi="黑体" w:eastAsia="黑体" w:cs="黑体"/>
                          <w:b/>
                          <w:bCs/>
                          <w:color w:val="FF0000"/>
                          <w:lang w:val="en-US" w:eastAsia="zh-CN"/>
                        </w:rPr>
                        <w:t>华能二区</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2070735</wp:posOffset>
                </wp:positionH>
                <wp:positionV relativeFrom="paragraph">
                  <wp:posOffset>4756150</wp:posOffset>
                </wp:positionV>
                <wp:extent cx="1024255" cy="271145"/>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024255" cy="2711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7DAEF">
                            <w:pPr>
                              <w:ind w:firstLine="0" w:firstLineChars="0"/>
                              <w:rPr>
                                <w:rFonts w:hint="default" w:ascii="黑体" w:hAnsi="黑体" w:eastAsia="黑体" w:cs="黑体"/>
                                <w:b/>
                                <w:bCs/>
                                <w:color w:val="FF0000"/>
                                <w:lang w:val="en-US" w:eastAsia="zh-CN"/>
                              </w:rPr>
                            </w:pPr>
                            <w:r>
                              <w:rPr>
                                <w:rFonts w:hint="eastAsia" w:ascii="黑体" w:hAnsi="黑体" w:eastAsia="黑体" w:cs="黑体"/>
                                <w:b/>
                                <w:bCs/>
                                <w:color w:val="FF0000"/>
                                <w:lang w:val="en-US" w:eastAsia="zh-CN"/>
                              </w:rPr>
                              <w:t>城陵矶社区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3.05pt;margin-top:374.5pt;height:21.35pt;width:80.65pt;z-index:251680768;mso-width-relative:page;mso-height-relative:page;" filled="f" stroked="f" coordsize="21600,21600" o:gfxdata="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vkY23dAAAACwEAAA8AAAAAAAAAAQAgAAAAIgAA&#10;AGRycy9kb3ducmV2LnhtbFBLAQIUABQAAAAIAIdO4kB9C7o2PAIAAGgEAAAOAAAAAAAAAAEAIAAA&#10;ACwBAABkcnMvZTJvRG9jLnhtbFBLBQYAAAAABgAGAFkBAADaBQAAAAA=&#10;">
                <v:fill on="f" focussize="0,0"/>
                <v:stroke on="f" weight="0.5pt"/>
                <v:imagedata o:title=""/>
                <o:lock v:ext="edit" aspectratio="f"/>
                <v:textbox>
                  <w:txbxContent>
                    <w:p w14:paraId="5707DAEF">
                      <w:pPr>
                        <w:ind w:firstLine="0" w:firstLineChars="0"/>
                        <w:rPr>
                          <w:rFonts w:hint="default" w:ascii="黑体" w:hAnsi="黑体" w:eastAsia="黑体" w:cs="黑体"/>
                          <w:b/>
                          <w:bCs/>
                          <w:color w:val="FF0000"/>
                          <w:lang w:val="en-US" w:eastAsia="zh-CN"/>
                        </w:rPr>
                      </w:pPr>
                      <w:r>
                        <w:rPr>
                          <w:rFonts w:hint="eastAsia" w:ascii="黑体" w:hAnsi="黑体" w:eastAsia="黑体" w:cs="黑体"/>
                          <w:b/>
                          <w:bCs/>
                          <w:color w:val="FF0000"/>
                          <w:lang w:val="en-US" w:eastAsia="zh-CN"/>
                        </w:rPr>
                        <w:t>城陵矶社区</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2410460</wp:posOffset>
                </wp:positionH>
                <wp:positionV relativeFrom="paragraph">
                  <wp:posOffset>4104640</wp:posOffset>
                </wp:positionV>
                <wp:extent cx="894080" cy="271145"/>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894080" cy="2711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C9747">
                            <w:pPr>
                              <w:ind w:firstLine="0" w:firstLineChars="0"/>
                              <w:rPr>
                                <w:rFonts w:hint="eastAsia" w:ascii="黑体" w:hAnsi="黑体" w:eastAsia="黑体" w:cs="黑体"/>
                                <w:b/>
                                <w:bCs/>
                                <w:color w:val="FF0000"/>
                                <w:lang w:val="en-US" w:eastAsia="zh-CN"/>
                              </w:rPr>
                            </w:pPr>
                            <w:r>
                              <w:rPr>
                                <w:rFonts w:hint="eastAsia" w:ascii="黑体" w:hAnsi="黑体" w:eastAsia="黑体" w:cs="黑体"/>
                                <w:b/>
                                <w:bCs/>
                                <w:color w:val="FF0000"/>
                                <w:lang w:val="en-US" w:eastAsia="zh-CN"/>
                              </w:rPr>
                              <w:t>环岛小区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9.8pt;margin-top:323.2pt;height:21.35pt;width:70.4pt;z-index:251663360;mso-width-relative:page;mso-height-relative:page;" filled="f" stroked="f" coordsize="21600,21600" o:gfxdata="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&#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P97BbtwAAAALAQAADwAAAAAAAAABACAAAAAiAAAA&#10;ZHJzL2Rvd25yZXYueG1sUEsBAhQAFAAAAAgAh07iQGG6v7s8AgAAZwQAAA4AAAAAAAAAAQAgAAAA&#10;KwEAAGRycy9lMm9Eb2MueG1sUEsFBgAAAAAGAAYAWQEAANkFAAAAAA==&#10;">
                <v:fill on="f" focussize="0,0"/>
                <v:stroke on="f" weight="0.5pt"/>
                <v:imagedata o:title=""/>
                <o:lock v:ext="edit" aspectratio="f"/>
                <v:textbox>
                  <w:txbxContent>
                    <w:p w14:paraId="51AC9747">
                      <w:pPr>
                        <w:ind w:firstLine="0" w:firstLineChars="0"/>
                        <w:rPr>
                          <w:rFonts w:hint="eastAsia" w:ascii="黑体" w:hAnsi="黑体" w:eastAsia="黑体" w:cs="黑体"/>
                          <w:b/>
                          <w:bCs/>
                          <w:color w:val="FF0000"/>
                          <w:lang w:val="en-US" w:eastAsia="zh-CN"/>
                        </w:rPr>
                      </w:pPr>
                      <w:r>
                        <w:rPr>
                          <w:rFonts w:hint="eastAsia" w:ascii="黑体" w:hAnsi="黑体" w:eastAsia="黑体" w:cs="黑体"/>
                          <w:b/>
                          <w:bCs/>
                          <w:color w:val="FF0000"/>
                          <w:lang w:val="en-US" w:eastAsia="zh-CN"/>
                        </w:rPr>
                        <w:t>环岛小区</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3076575</wp:posOffset>
                </wp:positionH>
                <wp:positionV relativeFrom="paragraph">
                  <wp:posOffset>4126865</wp:posOffset>
                </wp:positionV>
                <wp:extent cx="340360" cy="130937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340360" cy="1309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F1E0D">
                            <w:pPr>
                              <w:keepNext w:val="0"/>
                              <w:keepLines w:val="0"/>
                              <w:pageBreakBefore w:val="0"/>
                              <w:widowControl/>
                              <w:kinsoku/>
                              <w:wordWrap/>
                              <w:overflowPunct/>
                              <w:topLinePunct w:val="0"/>
                              <w:bidi w:val="0"/>
                              <w:adjustRightInd/>
                              <w:snapToGrid/>
                              <w:spacing w:line="240" w:lineRule="auto"/>
                              <w:ind w:firstLine="0" w:firstLineChars="0"/>
                              <w:textAlignment w:val="auto"/>
                              <w:rPr>
                                <w:rFonts w:hint="eastAsia" w:ascii="黑体" w:hAnsi="黑体" w:eastAsia="黑体" w:cs="黑体"/>
                                <w:b/>
                                <w:bCs/>
                                <w:color w:val="FF0000"/>
                                <w:lang w:val="en-US" w:eastAsia="zh-CN"/>
                              </w:rPr>
                            </w:pPr>
                            <w:r>
                              <w:rPr>
                                <w:rFonts w:hint="eastAsia" w:ascii="黑体" w:hAnsi="黑体" w:eastAsia="黑体" w:cs="黑体"/>
                                <w:b/>
                                <w:bCs/>
                                <w:color w:val="FF0000"/>
                                <w:lang w:val="en-US" w:eastAsia="zh-CN"/>
                              </w:rPr>
                              <w:t>环岛小区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25pt;margin-top:324.95pt;height:103.1pt;width:26.8pt;z-index:251681792;mso-width-relative:page;mso-height-relative:page;" filled="f" stroked="f" coordsize="21600,21600" o:gfxdata="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LZMKB3AAAAAsBAAAPAAAAAAAAAAEAIAAAACIA&#10;AABkcnMvZG93bnJldi54bWxQSwECFAAUAAAACACHTuJA/LUqRD4CAABoBAAADgAAAAAAAAABACAA&#10;AAArAQAAZHJzL2Uyb0RvYy54bWxQSwUGAAAAAAYABgBZAQAA2wUAAAAA&#10;">
                <v:fill on="f" focussize="0,0"/>
                <v:stroke on="f" weight="0.5pt"/>
                <v:imagedata o:title=""/>
                <o:lock v:ext="edit" aspectratio="f"/>
                <v:textbox>
                  <w:txbxContent>
                    <w:p w14:paraId="233F1E0D">
                      <w:pPr>
                        <w:keepNext w:val="0"/>
                        <w:keepLines w:val="0"/>
                        <w:pageBreakBefore w:val="0"/>
                        <w:widowControl/>
                        <w:kinsoku/>
                        <w:wordWrap/>
                        <w:overflowPunct/>
                        <w:topLinePunct w:val="0"/>
                        <w:bidi w:val="0"/>
                        <w:adjustRightInd/>
                        <w:snapToGrid/>
                        <w:spacing w:line="240" w:lineRule="auto"/>
                        <w:ind w:firstLine="0" w:firstLineChars="0"/>
                        <w:textAlignment w:val="auto"/>
                        <w:rPr>
                          <w:rFonts w:hint="eastAsia" w:ascii="黑体" w:hAnsi="黑体" w:eastAsia="黑体" w:cs="黑体"/>
                          <w:b/>
                          <w:bCs/>
                          <w:color w:val="FF0000"/>
                          <w:lang w:val="en-US" w:eastAsia="zh-CN"/>
                        </w:rPr>
                      </w:pPr>
                      <w:r>
                        <w:rPr>
                          <w:rFonts w:hint="eastAsia" w:ascii="黑体" w:hAnsi="黑体" w:eastAsia="黑体" w:cs="黑体"/>
                          <w:b/>
                          <w:bCs/>
                          <w:color w:val="FF0000"/>
                          <w:lang w:val="en-US" w:eastAsia="zh-CN"/>
                        </w:rPr>
                        <w:t>环岛小区</w:t>
                      </w:r>
                    </w:p>
                  </w:txbxContent>
                </v:textbox>
              </v:shape>
            </w:pict>
          </mc:Fallback>
        </mc:AlternateContent>
      </w:r>
      <w:r>
        <w:rPr>
          <w:sz w:val="24"/>
        </w:rPr>
        <mc:AlternateContent>
          <mc:Choice Requires="wps">
            <w:drawing>
              <wp:anchor distT="0" distB="0" distL="114300" distR="114300" simplePos="0" relativeHeight="251685888" behindDoc="0" locked="0" layoutInCell="1" allowOverlap="1">
                <wp:simplePos x="0" y="0"/>
                <wp:positionH relativeFrom="column">
                  <wp:posOffset>3402330</wp:posOffset>
                </wp:positionH>
                <wp:positionV relativeFrom="paragraph">
                  <wp:posOffset>4673600</wp:posOffset>
                </wp:positionV>
                <wp:extent cx="122555" cy="262890"/>
                <wp:effectExtent l="8890" t="1905" r="20955" b="1905"/>
                <wp:wrapNone/>
                <wp:docPr id="27" name="直接箭头连接符 27"/>
                <wp:cNvGraphicFramePr/>
                <a:graphic xmlns:a="http://schemas.openxmlformats.org/drawingml/2006/main">
                  <a:graphicData uri="http://schemas.microsoft.com/office/word/2010/wordprocessingShape">
                    <wps:wsp>
                      <wps:cNvCnPr>
                        <a:endCxn id="28" idx="0"/>
                      </wps:cNvCnPr>
                      <wps:spPr>
                        <a:xfrm flipH="1">
                          <a:off x="4239260" y="5596255"/>
                          <a:ext cx="122555" cy="262890"/>
                        </a:xfrm>
                        <a:prstGeom prst="straightConnector1">
                          <a:avLst/>
                        </a:prstGeom>
                        <a:ln w="9525">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267.9pt;margin-top:368pt;height:20.7pt;width:9.65pt;z-index:251685888;mso-width-relative:page;mso-height-relative:page;" filled="f" stroked="t" coordsize="21600,21600" o:gfxdata="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Q/fPHZAAAACwEAAA8AAAAAAAAAAQAgAAAAIgAAAGRycy9kb3ducmV2LnhtbFBLAQIUABQAAAAI&#10;AIdO4kCyysSvJQIAAAsEAAAOAAAAAAAAAAEAIAAAACgBAABkcnMvZTJvRG9jLnhtbFBLBQYAAAAA&#10;BgAGAFkBAAC/BQAAAAA=&#10;">
                <v:fill on="f" focussize="0,0"/>
                <v:stroke color="#FF0000 [3204]" joinstyle="round" endarrow="open"/>
                <v:imagedata o:title=""/>
                <o:lock v:ext="edit" aspectratio="f"/>
              </v:shape>
            </w:pict>
          </mc:Fallback>
        </mc:AlternateContent>
      </w:r>
      <w:r>
        <w:rPr>
          <w:sz w:val="24"/>
        </w:rPr>
        <mc:AlternateContent>
          <mc:Choice Requires="wps">
            <w:drawing>
              <wp:anchor distT="0" distB="0" distL="114300" distR="114300" simplePos="0" relativeHeight="251684864" behindDoc="0" locked="0" layoutInCell="1" allowOverlap="1">
                <wp:simplePos x="0" y="0"/>
                <wp:positionH relativeFrom="column">
                  <wp:posOffset>3482975</wp:posOffset>
                </wp:positionH>
                <wp:positionV relativeFrom="paragraph">
                  <wp:posOffset>4676775</wp:posOffset>
                </wp:positionV>
                <wp:extent cx="86360" cy="75565"/>
                <wp:effectExtent l="12700" t="12700" r="15240" b="26035"/>
                <wp:wrapNone/>
                <wp:docPr id="26" name="椭圆 26"/>
                <wp:cNvGraphicFramePr/>
                <a:graphic xmlns:a="http://schemas.openxmlformats.org/drawingml/2006/main">
                  <a:graphicData uri="http://schemas.microsoft.com/office/word/2010/wordprocessingShape">
                    <wps:wsp>
                      <wps:cNvSpPr/>
                      <wps:spPr>
                        <a:xfrm>
                          <a:off x="4351655" y="5558155"/>
                          <a:ext cx="86360" cy="75565"/>
                        </a:xfrm>
                        <a:prstGeom prst="ellipse">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4.25pt;margin-top:368.25pt;height:5.95pt;width:6.8pt;z-index:251684864;v-text-anchor:middle;mso-width-relative:page;mso-height-relative:page;" fillcolor="#FF0000" filled="t" stroked="t" coordsize="21600,21600" o:gfxdata="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mQZxkNcAAAALAQAADwAAAAAAAAABACAAAAAiAAAAZHJzL2Rvd25yZXYu&#10;eG1sUEsBAhQAFAAAAAgAh07iQFyEAD5uAgAA6wQAAA4AAAAAAAAAAQAgAAAAJgEAAGRycy9lMm9E&#10;b2MueG1sUEsFBgAAAAAGAAYAWQEAAAYGAAAAAA==&#10;">
                <v:fill on="t" focussize="0,0"/>
                <v:stroke weight="2pt" color="#FF0000 [2404]" joinstyle="round"/>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2993390</wp:posOffset>
                </wp:positionH>
                <wp:positionV relativeFrom="paragraph">
                  <wp:posOffset>4936490</wp:posOffset>
                </wp:positionV>
                <wp:extent cx="817245" cy="271145"/>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817245" cy="2711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1E799">
                            <w:pPr>
                              <w:ind w:firstLine="0" w:firstLineChars="0"/>
                              <w:rPr>
                                <w:rFonts w:hint="default" w:ascii="黑体" w:hAnsi="黑体" w:eastAsia="黑体" w:cs="黑体"/>
                                <w:b/>
                                <w:bCs/>
                                <w:color w:val="FF0000"/>
                                <w:lang w:val="en-US" w:eastAsia="zh-CN"/>
                              </w:rPr>
                            </w:pPr>
                            <w:r>
                              <w:rPr>
                                <w:rFonts w:hint="eastAsia" w:ascii="黑体" w:hAnsi="黑体" w:eastAsia="黑体" w:cs="黑体"/>
                                <w:b/>
                                <w:bCs/>
                                <w:color w:val="FF0000"/>
                                <w:lang w:val="en-US" w:eastAsia="zh-CN"/>
                              </w:rPr>
                              <w:t>岳纸学校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7pt;margin-top:388.7pt;height:21.35pt;width:64.35pt;z-index:251687936;mso-width-relative:page;mso-height-relative:page;" filled="f" stroked="f" coordsize="21600,21600" o:gfxdata="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jY/YZ2wAAAAsBAAAPAAAAAAAAAAEAIAAAACIAAABk&#10;cnMvZG93bnJldi54bWxQSwECFAAUAAAACACHTuJA4yiN2TwCAABnBAAADgAAAAAAAAABACAAAAAq&#10;AQAAZHJzL2Uyb0RvYy54bWxQSwUGAAAAAAYABgBZAQAA2AUAAAAA&#10;">
                <v:fill on="f" focussize="0,0"/>
                <v:stroke on="f" weight="0.5pt"/>
                <v:imagedata o:title=""/>
                <o:lock v:ext="edit" aspectratio="f"/>
                <v:textbox>
                  <w:txbxContent>
                    <w:p w14:paraId="7F01E799">
                      <w:pPr>
                        <w:ind w:firstLine="0" w:firstLineChars="0"/>
                        <w:rPr>
                          <w:rFonts w:hint="default" w:ascii="黑体" w:hAnsi="黑体" w:eastAsia="黑体" w:cs="黑体"/>
                          <w:b/>
                          <w:bCs/>
                          <w:color w:val="FF0000"/>
                          <w:lang w:val="en-US" w:eastAsia="zh-CN"/>
                        </w:rPr>
                      </w:pPr>
                      <w:r>
                        <w:rPr>
                          <w:rFonts w:hint="eastAsia" w:ascii="黑体" w:hAnsi="黑体" w:eastAsia="黑体" w:cs="黑体"/>
                          <w:b/>
                          <w:bCs/>
                          <w:color w:val="FF0000"/>
                          <w:lang w:val="en-US" w:eastAsia="zh-CN"/>
                        </w:rPr>
                        <w:t>岳纸学校</w:t>
                      </w:r>
                    </w:p>
                  </w:txbxContent>
                </v:textbox>
              </v:shape>
            </w:pict>
          </mc:Fallback>
        </mc:AlternateContent>
      </w:r>
      <w:r>
        <w:drawing>
          <wp:anchor distT="0" distB="0" distL="114300" distR="114300" simplePos="0" relativeHeight="251668480" behindDoc="0" locked="0" layoutInCell="1" allowOverlap="1">
            <wp:simplePos x="0" y="0"/>
            <wp:positionH relativeFrom="column">
              <wp:posOffset>7435850</wp:posOffset>
            </wp:positionH>
            <wp:positionV relativeFrom="paragraph">
              <wp:posOffset>9525</wp:posOffset>
            </wp:positionV>
            <wp:extent cx="449580" cy="847725"/>
            <wp:effectExtent l="0" t="0" r="7620" b="9525"/>
            <wp:wrapNone/>
            <wp:docPr id="22" name="图片 2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1"/>
                    <pic:cNvPicPr>
                      <a:picLocks noChangeAspect="1"/>
                    </pic:cNvPicPr>
                  </pic:nvPicPr>
                  <pic:blipFill>
                    <a:blip r:embed="rId110"/>
                    <a:stretch>
                      <a:fillRect/>
                    </a:stretch>
                  </pic:blipFill>
                  <pic:spPr>
                    <a:xfrm>
                      <a:off x="0" y="0"/>
                      <a:ext cx="449580" cy="847725"/>
                    </a:xfrm>
                    <a:prstGeom prst="rect">
                      <a:avLst/>
                    </a:prstGeom>
                  </pic:spPr>
                </pic:pic>
              </a:graphicData>
            </a:graphic>
          </wp:anchor>
        </w:drawing>
      </w:r>
      <w:r>
        <w:drawing>
          <wp:inline distT="0" distB="0" distL="114300" distR="114300">
            <wp:extent cx="8889365" cy="5238750"/>
            <wp:effectExtent l="0" t="0" r="6985" b="0"/>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14"/>
                    <a:stretch>
                      <a:fillRect/>
                    </a:stretch>
                  </pic:blipFill>
                  <pic:spPr>
                    <a:xfrm>
                      <a:off x="0" y="0"/>
                      <a:ext cx="8889365" cy="5238750"/>
                    </a:xfrm>
                    <a:prstGeom prst="rect">
                      <a:avLst/>
                    </a:prstGeom>
                    <a:noFill/>
                    <a:ln>
                      <a:noFill/>
                    </a:ln>
                  </pic:spPr>
                </pic:pic>
              </a:graphicData>
            </a:graphic>
          </wp:inline>
        </w:drawing>
      </w:r>
    </w:p>
    <w:p w14:paraId="4916148D">
      <w:pPr>
        <w:keepNext w:val="0"/>
        <w:keepLines w:val="0"/>
        <w:pageBreakBefore w:val="0"/>
        <w:widowControl w:val="0"/>
        <w:numPr>
          <w:ilvl w:val="1"/>
          <w:numId w:val="34"/>
        </w:numPr>
        <w:kinsoku/>
        <w:wordWrap/>
        <w:overflowPunct/>
        <w:topLinePunct w:val="0"/>
        <w:autoSpaceDE/>
        <w:autoSpaceDN/>
        <w:bidi w:val="0"/>
        <w:adjustRightInd w:val="0"/>
        <w:snapToGrid w:val="0"/>
        <w:ind w:left="0" w:leftChars="0" w:right="0" w:rightChars="0" w:firstLine="0" w:firstLineChars="0"/>
        <w:jc w:val="center"/>
        <w:textAlignment w:val="auto"/>
        <w:outlineLvl w:val="0"/>
        <w:rPr>
          <w:b/>
          <w:bCs/>
        </w:rPr>
        <w:sectPr>
          <w:pgSz w:w="16840" w:h="11905" w:orient="landscape"/>
          <w:pgMar w:top="1701" w:right="1418" w:bottom="1418" w:left="1418" w:header="851" w:footer="992" w:gutter="0"/>
          <w:pgBorders>
            <w:top w:val="none" w:sz="0" w:space="0"/>
            <w:left w:val="none" w:sz="0" w:space="0"/>
            <w:bottom w:val="none" w:sz="0" w:space="0"/>
            <w:right w:val="none" w:sz="0" w:space="0"/>
          </w:pgBorders>
          <w:cols w:space="720" w:num="1"/>
          <w:docGrid w:linePitch="326" w:charSpace="0"/>
        </w:sectPr>
      </w:pPr>
      <w:bookmarkStart w:id="213" w:name="_Toc27804"/>
      <w:bookmarkStart w:id="214" w:name="_Toc13009"/>
      <w:bookmarkStart w:id="215" w:name="_Toc16561"/>
      <w:bookmarkStart w:id="216" w:name="_Toc21420"/>
      <w:r>
        <w:rPr>
          <w:rFonts w:hint="eastAsia"/>
          <w:b/>
          <w:bCs/>
          <w:sz w:val="28"/>
          <w:szCs w:val="28"/>
        </w:rPr>
        <w:t>项目环境保护目标图</w:t>
      </w:r>
      <w:bookmarkEnd w:id="213"/>
      <w:bookmarkEnd w:id="214"/>
      <w:bookmarkEnd w:id="215"/>
      <w:bookmarkEnd w:id="216"/>
    </w:p>
    <w:p w14:paraId="4EE892D3">
      <w:pPr>
        <w:widowControl w:val="0"/>
        <w:adjustRightInd w:val="0"/>
        <w:snapToGrid w:val="0"/>
        <w:ind w:firstLine="0" w:firstLineChars="0"/>
        <w:jc w:val="center"/>
        <w:rPr>
          <w:b/>
          <w:bCs/>
        </w:rPr>
      </w:pPr>
      <w:r>
        <w:drawing>
          <wp:anchor distT="0" distB="0" distL="114300" distR="114300" simplePos="0" relativeHeight="251672576" behindDoc="0" locked="0" layoutInCell="1" allowOverlap="1">
            <wp:simplePos x="0" y="0"/>
            <wp:positionH relativeFrom="column">
              <wp:posOffset>8368030</wp:posOffset>
            </wp:positionH>
            <wp:positionV relativeFrom="paragraph">
              <wp:posOffset>35560</wp:posOffset>
            </wp:positionV>
            <wp:extent cx="449580" cy="847725"/>
            <wp:effectExtent l="0" t="0" r="7620" b="9525"/>
            <wp:wrapNone/>
            <wp:docPr id="38" name="图片 3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图片1"/>
                    <pic:cNvPicPr>
                      <a:picLocks noChangeAspect="1"/>
                    </pic:cNvPicPr>
                  </pic:nvPicPr>
                  <pic:blipFill>
                    <a:blip r:embed="rId110"/>
                    <a:stretch>
                      <a:fillRect/>
                    </a:stretch>
                  </pic:blipFill>
                  <pic:spPr>
                    <a:xfrm>
                      <a:off x="0" y="0"/>
                      <a:ext cx="449580" cy="847725"/>
                    </a:xfrm>
                    <a:prstGeom prst="rect">
                      <a:avLst/>
                    </a:prstGeom>
                  </pic:spPr>
                </pic:pic>
              </a:graphicData>
            </a:graphic>
          </wp:anchor>
        </w:drawing>
      </w:r>
      <w:r>
        <mc:AlternateContent>
          <mc:Choice Requires="wps">
            <w:drawing>
              <wp:anchor distT="0" distB="0" distL="114300" distR="114300" simplePos="0" relativeHeight="251674624" behindDoc="0" locked="0" layoutInCell="1" allowOverlap="1">
                <wp:simplePos x="0" y="0"/>
                <wp:positionH relativeFrom="column">
                  <wp:posOffset>158115</wp:posOffset>
                </wp:positionH>
                <wp:positionV relativeFrom="paragraph">
                  <wp:posOffset>4709795</wp:posOffset>
                </wp:positionV>
                <wp:extent cx="76200" cy="76200"/>
                <wp:effectExtent l="12700" t="12700" r="25400" b="25400"/>
                <wp:wrapNone/>
                <wp:docPr id="76" name="椭圆 76"/>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2.45pt;margin-top:370.85pt;height:6pt;width:6pt;z-index:251674624;v-text-anchor:middle;mso-width-relative:page;mso-height-relative:page;" fillcolor="#FF0000" filled="t" stroked="t" coordsize="21600,21600" o:gfxdata="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BS&#10;mYzWAAAACQEAAA8AAAAAAAAAAQAgAAAAIgAAAGRycy9kb3ducmV2LnhtbFBLAQIUABQAAAAIAIdO&#10;4kDW+SKuXgIAAN8EAAAOAAAAAAAAAAEAIAAAACUBAABkcnMvZTJvRG9jLnhtbFBLBQYAAAAABgAG&#10;AFkBAAD1BQAAAAA=&#10;">
                <v:fill on="t" focussize="0,0"/>
                <v:stroke weight="2pt" color="#FF0000 [2404]" joinstyle="round"/>
                <v:imagedata o:title=""/>
                <o:lock v:ext="edit" aspectratio="f"/>
              </v:shape>
            </w:pict>
          </mc:Fallback>
        </mc:AlternateContent>
      </w:r>
      <w:r>
        <w:rPr>
          <w:sz w:val="24"/>
        </w:rPr>
        <mc:AlternateContent>
          <mc:Choice Requires="wps">
            <w:drawing>
              <wp:anchor distT="0" distB="0" distL="114300" distR="114300" simplePos="0" relativeHeight="251688960" behindDoc="0" locked="0" layoutInCell="1" allowOverlap="1">
                <wp:simplePos x="0" y="0"/>
                <wp:positionH relativeFrom="column">
                  <wp:posOffset>142240</wp:posOffset>
                </wp:positionH>
                <wp:positionV relativeFrom="paragraph">
                  <wp:posOffset>4463415</wp:posOffset>
                </wp:positionV>
                <wp:extent cx="139700" cy="159385"/>
                <wp:effectExtent l="12700" t="12700" r="19050" b="18415"/>
                <wp:wrapNone/>
                <wp:docPr id="30" name="任意多边形 30"/>
                <wp:cNvGraphicFramePr/>
                <a:graphic xmlns:a="http://schemas.openxmlformats.org/drawingml/2006/main">
                  <a:graphicData uri="http://schemas.microsoft.com/office/word/2010/wordprocessingShape">
                    <wps:wsp>
                      <wps:cNvSpPr/>
                      <wps:spPr>
                        <a:xfrm>
                          <a:off x="0" y="0"/>
                          <a:ext cx="139700" cy="159385"/>
                        </a:xfrm>
                        <a:custGeom>
                          <a:avLst/>
                          <a:gdLst>
                            <a:gd name="connisteX0" fmla="*/ 1411605 w 2580640"/>
                            <a:gd name="connsiteY0" fmla="*/ 0 h 2945130"/>
                            <a:gd name="connisteX1" fmla="*/ 2580640 w 2580640"/>
                            <a:gd name="connsiteY1" fmla="*/ 1126490 h 2945130"/>
                            <a:gd name="connisteX2" fmla="*/ 1974215 w 2580640"/>
                            <a:gd name="connsiteY2" fmla="*/ 1680845 h 2945130"/>
                            <a:gd name="connisteX3" fmla="*/ 1749425 w 2580640"/>
                            <a:gd name="connsiteY3" fmla="*/ 2104390 h 2945130"/>
                            <a:gd name="connisteX4" fmla="*/ 1177925 w 2580640"/>
                            <a:gd name="connsiteY4" fmla="*/ 2685415 h 2945130"/>
                            <a:gd name="connisteX5" fmla="*/ 1134745 w 2580640"/>
                            <a:gd name="connsiteY5" fmla="*/ 2780665 h 2945130"/>
                            <a:gd name="connisteX6" fmla="*/ 840105 w 2580640"/>
                            <a:gd name="connsiteY6" fmla="*/ 2945130 h 2945130"/>
                            <a:gd name="connisteX7" fmla="*/ 354965 w 2580640"/>
                            <a:gd name="connsiteY7" fmla="*/ 2901315 h 2945130"/>
                            <a:gd name="connisteX8" fmla="*/ 0 w 2580640"/>
                            <a:gd name="connsiteY8" fmla="*/ 2304415 h 2945130"/>
                            <a:gd name="connisteX9" fmla="*/ 121285 w 2580640"/>
                            <a:gd name="connsiteY9" fmla="*/ 2199640 h 2945130"/>
                            <a:gd name="connisteX10" fmla="*/ 580390 w 2580640"/>
                            <a:gd name="connsiteY10" fmla="*/ 1516380 h 2945130"/>
                            <a:gd name="connisteX11" fmla="*/ 675640 w 2580640"/>
                            <a:gd name="connsiteY11" fmla="*/ 866140 h 2945130"/>
                            <a:gd name="connisteX12" fmla="*/ 1411605 w 2580640"/>
                            <a:gd name="connsiteY12" fmla="*/ 0 h 294513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Lst>
                          <a:rect l="l" t="t" r="r" b="b"/>
                          <a:pathLst>
                            <a:path w="2580640" h="2945130">
                              <a:moveTo>
                                <a:pt x="1411605" y="0"/>
                              </a:moveTo>
                              <a:lnTo>
                                <a:pt x="2580640" y="1126490"/>
                              </a:lnTo>
                              <a:lnTo>
                                <a:pt x="1974215" y="1680845"/>
                              </a:lnTo>
                              <a:lnTo>
                                <a:pt x="1749425" y="2104390"/>
                              </a:lnTo>
                              <a:lnTo>
                                <a:pt x="1177925" y="2685415"/>
                              </a:lnTo>
                              <a:lnTo>
                                <a:pt x="1134745" y="2780665"/>
                              </a:lnTo>
                              <a:lnTo>
                                <a:pt x="840105" y="2945130"/>
                              </a:lnTo>
                              <a:lnTo>
                                <a:pt x="354965" y="2901315"/>
                              </a:lnTo>
                              <a:lnTo>
                                <a:pt x="0" y="2304415"/>
                              </a:lnTo>
                              <a:lnTo>
                                <a:pt x="121285" y="2199640"/>
                              </a:lnTo>
                              <a:lnTo>
                                <a:pt x="580390" y="1516380"/>
                              </a:lnTo>
                              <a:lnTo>
                                <a:pt x="675640" y="866140"/>
                              </a:lnTo>
                              <a:lnTo>
                                <a:pt x="1411605" y="0"/>
                              </a:lnTo>
                              <a:close/>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1.2pt;margin-top:351.45pt;height:12.55pt;width:11pt;z-index:251688960;mso-width-relative:page;mso-height-relative:page;" filled="f" stroked="t" coordsize="2580640,2945130" o:gfxdata="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" path="m1411605,0l2580640,1126490,1974215,1680845,1749425,2104390,1177925,2685415,1134745,2780665,840105,2945130,354965,2901315,0,2304415,121285,2199640,580390,1516380,675640,866140,1411605,0xe">
                <v:path o:connectlocs="76415,0;139700,60963;106871,90964;94703,113885;63765,145329;61428,150484;45478,159385;19215,157013;0,124710;6565,119040;31418,82063;36575,46873;76415,0" o:connectangles="0,0,0,0,0,0,0,0,0,0,0,0,0"/>
                <v:fill on="f" focussize="0,0"/>
                <v:stroke weight="2pt" color="#FF0000 [2404]" joinstyle="round"/>
                <v:imagedata o:title=""/>
                <o:lock v:ext="edit" aspectratio="f"/>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14605</wp:posOffset>
                </wp:positionH>
                <wp:positionV relativeFrom="paragraph">
                  <wp:posOffset>4201795</wp:posOffset>
                </wp:positionV>
                <wp:extent cx="1873250" cy="1010920"/>
                <wp:effectExtent l="4445" t="4445" r="8255" b="13335"/>
                <wp:wrapNone/>
                <wp:docPr id="73" name="文本框 73"/>
                <wp:cNvGraphicFramePr/>
                <a:graphic xmlns:a="http://schemas.openxmlformats.org/drawingml/2006/main">
                  <a:graphicData uri="http://schemas.microsoft.com/office/word/2010/wordprocessingShape">
                    <wps:wsp>
                      <wps:cNvSpPr txBox="1"/>
                      <wps:spPr>
                        <a:xfrm>
                          <a:off x="0" y="0"/>
                          <a:ext cx="1873250" cy="10109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80F96F4">
                            <w:pPr>
                              <w:spacing w:line="240" w:lineRule="auto"/>
                              <w:ind w:firstLine="0" w:firstLineChars="0"/>
                              <w:jc w:val="left"/>
                            </w:pPr>
                            <w:r>
                              <w:rPr>
                                <w:rFonts w:hint="eastAsia"/>
                              </w:rPr>
                              <w:t>图例：</w:t>
                            </w:r>
                          </w:p>
                          <w:p w14:paraId="17FB522E">
                            <w:pPr>
                              <w:spacing w:line="240" w:lineRule="auto"/>
                              <w:ind w:firstLine="0" w:firstLineChars="0"/>
                              <w:jc w:val="left"/>
                            </w:pPr>
                            <w:r>
                              <w:rPr>
                                <w:rFonts w:hint="eastAsia"/>
                              </w:rPr>
                              <w:t xml:space="preserve">   项目</w:t>
                            </w:r>
                            <w:r>
                              <w:rPr>
                                <w:rFonts w:hint="eastAsia"/>
                                <w:lang w:val="en-US" w:eastAsia="zh-CN"/>
                              </w:rPr>
                              <w:t>厂界</w:t>
                            </w:r>
                          </w:p>
                          <w:p w14:paraId="08180FB2">
                            <w:pPr>
                              <w:spacing w:line="240" w:lineRule="auto"/>
                              <w:ind w:firstLine="0" w:firstLineChars="0"/>
                              <w:jc w:val="left"/>
                            </w:pPr>
                            <w:r>
                              <w:rPr>
                                <w:rFonts w:hint="eastAsia"/>
                              </w:rPr>
                              <w:t xml:space="preserve">   监测点位</w:t>
                            </w:r>
                          </w:p>
                          <w:p w14:paraId="19E35B0F">
                            <w:pPr>
                              <w:spacing w:line="240" w:lineRule="auto"/>
                              <w:ind w:firstLine="0" w:firstLineChars="0"/>
                              <w:jc w:val="left"/>
                              <w:rPr>
                                <w:kern w:val="2"/>
                              </w:rPr>
                            </w:pPr>
                            <w:r>
                              <w:rPr>
                                <w:kern w:val="2"/>
                              </w:rPr>
                              <w:drawing>
                                <wp:inline distT="0" distB="0" distL="114300" distR="114300">
                                  <wp:extent cx="1497330" cy="139700"/>
                                  <wp:effectExtent l="0" t="0" r="7620" b="12700"/>
                                  <wp:docPr id="11554998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499896" name="图片 2"/>
                                          <pic:cNvPicPr>
                                            <a:picLocks noChangeAspect="1"/>
                                          </pic:cNvPicPr>
                                        </pic:nvPicPr>
                                        <pic:blipFill>
                                          <a:blip r:embed="rId111"/>
                                          <a:stretch>
                                            <a:fillRect/>
                                          </a:stretch>
                                        </pic:blipFill>
                                        <pic:spPr>
                                          <a:xfrm>
                                            <a:off x="0" y="0"/>
                                            <a:ext cx="1497330" cy="139700"/>
                                          </a:xfrm>
                                          <a:prstGeom prst="rect">
                                            <a:avLst/>
                                          </a:prstGeom>
                                          <a:noFill/>
                                          <a:ln>
                                            <a:noFill/>
                                          </a:ln>
                                        </pic:spPr>
                                      </pic:pic>
                                    </a:graphicData>
                                  </a:graphic>
                                </wp:inline>
                              </w:drawing>
                            </w:r>
                          </w:p>
                          <w:p w14:paraId="5FCDE64C">
                            <w:pPr>
                              <w:spacing w:line="240" w:lineRule="auto"/>
                              <w:ind w:firstLine="0" w:firstLineChars="0"/>
                              <w:jc w:val="left"/>
                              <w:rPr>
                                <w:kern w:val="2"/>
                                <w:sz w:val="21"/>
                                <w:szCs w:val="21"/>
                              </w:rPr>
                            </w:pPr>
                            <w:r>
                              <w:rPr>
                                <w:rFonts w:hint="eastAsia"/>
                                <w:kern w:val="2"/>
                                <w:sz w:val="21"/>
                                <w:szCs w:val="21"/>
                              </w:rPr>
                              <w:t xml:space="preserve">0     </w:t>
                            </w:r>
                            <w:r>
                              <w:rPr>
                                <w:rFonts w:hint="eastAsia"/>
                                <w:kern w:val="2"/>
                                <w:sz w:val="21"/>
                                <w:szCs w:val="21"/>
                                <w:lang w:val="en-US" w:eastAsia="zh-CN"/>
                              </w:rPr>
                              <w:t>2</w:t>
                            </w:r>
                            <w:r>
                              <w:rPr>
                                <w:rFonts w:hint="eastAsia"/>
                                <w:kern w:val="2"/>
                                <w:sz w:val="21"/>
                                <w:szCs w:val="21"/>
                              </w:rPr>
                              <w:t xml:space="preserve">00    </w:t>
                            </w:r>
                            <w:r>
                              <w:rPr>
                                <w:rFonts w:hint="eastAsia"/>
                                <w:kern w:val="2"/>
                                <w:sz w:val="21"/>
                                <w:szCs w:val="21"/>
                                <w:lang w:val="en-US" w:eastAsia="zh-CN"/>
                              </w:rPr>
                              <w:t>4</w:t>
                            </w:r>
                            <w:r>
                              <w:rPr>
                                <w:rFonts w:hint="eastAsia"/>
                                <w:kern w:val="2"/>
                                <w:sz w:val="21"/>
                                <w:szCs w:val="21"/>
                              </w:rPr>
                              <w:t xml:space="preserve">00    </w:t>
                            </w:r>
                            <w:r>
                              <w:rPr>
                                <w:rFonts w:hint="eastAsia"/>
                                <w:kern w:val="2"/>
                                <w:sz w:val="21"/>
                                <w:szCs w:val="21"/>
                                <w:lang w:val="en-US" w:eastAsia="zh-CN"/>
                              </w:rPr>
                              <w:t>6</w:t>
                            </w:r>
                            <w:r>
                              <w:rPr>
                                <w:rFonts w:hint="eastAsia"/>
                                <w:kern w:val="2"/>
                                <w:sz w:val="21"/>
                                <w:szCs w:val="21"/>
                              </w:rPr>
                              <w:t>00m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5pt;margin-top:330.85pt;height:79.6pt;width:147.5pt;z-index:251673600;mso-width-relative:page;mso-height-relative:page;" fillcolor="#FFFFFF [3201]" filled="t" stroked="t" coordsize="21600,21600" o:gfxdata="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lWdni1gAA&#10;AAkBAAAPAAAAAAAAAAEAIAAAACIAAABkcnMvZG93bnJldi54bWxQSwECFAAUAAAACACHTuJAh2eT&#10;Q1kCAAC6BAAADgAAAAAAAAABACAAAAAlAQAAZHJzL2Uyb0RvYy54bWxQSwUGAAAAAAYABgBZAQAA&#10;8AUAAAAA&#10;">
                <v:fill on="t" focussize="0,0"/>
                <v:stroke weight="0.5pt" color="#000000 [3204]" joinstyle="round"/>
                <v:imagedata o:title=""/>
                <o:lock v:ext="edit" aspectratio="f"/>
                <v:textbox>
                  <w:txbxContent>
                    <w:p w14:paraId="380F96F4">
                      <w:pPr>
                        <w:spacing w:line="240" w:lineRule="auto"/>
                        <w:ind w:firstLine="0" w:firstLineChars="0"/>
                        <w:jc w:val="left"/>
                      </w:pPr>
                      <w:r>
                        <w:rPr>
                          <w:rFonts w:hint="eastAsia"/>
                        </w:rPr>
                        <w:t>图例：</w:t>
                      </w:r>
                    </w:p>
                    <w:p w14:paraId="17FB522E">
                      <w:pPr>
                        <w:spacing w:line="240" w:lineRule="auto"/>
                        <w:ind w:firstLine="0" w:firstLineChars="0"/>
                        <w:jc w:val="left"/>
                      </w:pPr>
                      <w:r>
                        <w:rPr>
                          <w:rFonts w:hint="eastAsia"/>
                        </w:rPr>
                        <w:t xml:space="preserve">   项目</w:t>
                      </w:r>
                      <w:r>
                        <w:rPr>
                          <w:rFonts w:hint="eastAsia"/>
                          <w:lang w:val="en-US" w:eastAsia="zh-CN"/>
                        </w:rPr>
                        <w:t>厂界</w:t>
                      </w:r>
                    </w:p>
                    <w:p w14:paraId="08180FB2">
                      <w:pPr>
                        <w:spacing w:line="240" w:lineRule="auto"/>
                        <w:ind w:firstLine="0" w:firstLineChars="0"/>
                        <w:jc w:val="left"/>
                      </w:pPr>
                      <w:r>
                        <w:rPr>
                          <w:rFonts w:hint="eastAsia"/>
                        </w:rPr>
                        <w:t xml:space="preserve">   监测点位</w:t>
                      </w:r>
                    </w:p>
                    <w:p w14:paraId="19E35B0F">
                      <w:pPr>
                        <w:spacing w:line="240" w:lineRule="auto"/>
                        <w:ind w:firstLine="0" w:firstLineChars="0"/>
                        <w:jc w:val="left"/>
                        <w:rPr>
                          <w:kern w:val="2"/>
                        </w:rPr>
                      </w:pPr>
                      <w:r>
                        <w:rPr>
                          <w:kern w:val="2"/>
                        </w:rPr>
                        <w:drawing>
                          <wp:inline distT="0" distB="0" distL="114300" distR="114300">
                            <wp:extent cx="1497330" cy="139700"/>
                            <wp:effectExtent l="0" t="0" r="7620" b="12700"/>
                            <wp:docPr id="11554998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499896" name="图片 2"/>
                                    <pic:cNvPicPr>
                                      <a:picLocks noChangeAspect="1"/>
                                    </pic:cNvPicPr>
                                  </pic:nvPicPr>
                                  <pic:blipFill>
                                    <a:blip r:embed="rId111"/>
                                    <a:stretch>
                                      <a:fillRect/>
                                    </a:stretch>
                                  </pic:blipFill>
                                  <pic:spPr>
                                    <a:xfrm>
                                      <a:off x="0" y="0"/>
                                      <a:ext cx="1497330" cy="139700"/>
                                    </a:xfrm>
                                    <a:prstGeom prst="rect">
                                      <a:avLst/>
                                    </a:prstGeom>
                                    <a:noFill/>
                                    <a:ln>
                                      <a:noFill/>
                                    </a:ln>
                                  </pic:spPr>
                                </pic:pic>
                              </a:graphicData>
                            </a:graphic>
                          </wp:inline>
                        </w:drawing>
                      </w:r>
                    </w:p>
                    <w:p w14:paraId="5FCDE64C">
                      <w:pPr>
                        <w:spacing w:line="240" w:lineRule="auto"/>
                        <w:ind w:firstLine="0" w:firstLineChars="0"/>
                        <w:jc w:val="left"/>
                        <w:rPr>
                          <w:kern w:val="2"/>
                          <w:sz w:val="21"/>
                          <w:szCs w:val="21"/>
                        </w:rPr>
                      </w:pPr>
                      <w:r>
                        <w:rPr>
                          <w:rFonts w:hint="eastAsia"/>
                          <w:kern w:val="2"/>
                          <w:sz w:val="21"/>
                          <w:szCs w:val="21"/>
                        </w:rPr>
                        <w:t xml:space="preserve">0     </w:t>
                      </w:r>
                      <w:r>
                        <w:rPr>
                          <w:rFonts w:hint="eastAsia"/>
                          <w:kern w:val="2"/>
                          <w:sz w:val="21"/>
                          <w:szCs w:val="21"/>
                          <w:lang w:val="en-US" w:eastAsia="zh-CN"/>
                        </w:rPr>
                        <w:t>2</w:t>
                      </w:r>
                      <w:r>
                        <w:rPr>
                          <w:rFonts w:hint="eastAsia"/>
                          <w:kern w:val="2"/>
                          <w:sz w:val="21"/>
                          <w:szCs w:val="21"/>
                        </w:rPr>
                        <w:t xml:space="preserve">00    </w:t>
                      </w:r>
                      <w:r>
                        <w:rPr>
                          <w:rFonts w:hint="eastAsia"/>
                          <w:kern w:val="2"/>
                          <w:sz w:val="21"/>
                          <w:szCs w:val="21"/>
                          <w:lang w:val="en-US" w:eastAsia="zh-CN"/>
                        </w:rPr>
                        <w:t>4</w:t>
                      </w:r>
                      <w:r>
                        <w:rPr>
                          <w:rFonts w:hint="eastAsia"/>
                          <w:kern w:val="2"/>
                          <w:sz w:val="21"/>
                          <w:szCs w:val="21"/>
                        </w:rPr>
                        <w:t xml:space="preserve">00    </w:t>
                      </w:r>
                      <w:r>
                        <w:rPr>
                          <w:rFonts w:hint="eastAsia"/>
                          <w:kern w:val="2"/>
                          <w:sz w:val="21"/>
                          <w:szCs w:val="21"/>
                          <w:lang w:val="en-US" w:eastAsia="zh-CN"/>
                        </w:rPr>
                        <w:t>6</w:t>
                      </w:r>
                      <w:r>
                        <w:rPr>
                          <w:rFonts w:hint="eastAsia"/>
                          <w:kern w:val="2"/>
                          <w:sz w:val="21"/>
                          <w:szCs w:val="21"/>
                        </w:rPr>
                        <w:t>00m</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4881245</wp:posOffset>
                </wp:positionH>
                <wp:positionV relativeFrom="paragraph">
                  <wp:posOffset>2239010</wp:posOffset>
                </wp:positionV>
                <wp:extent cx="694690" cy="325755"/>
                <wp:effectExtent l="0" t="0" r="0" b="0"/>
                <wp:wrapNone/>
                <wp:docPr id="37" name="文本框 37"/>
                <wp:cNvGraphicFramePr/>
                <a:graphic xmlns:a="http://schemas.openxmlformats.org/drawingml/2006/main">
                  <a:graphicData uri="http://schemas.microsoft.com/office/word/2010/wordprocessingShape">
                    <wps:wsp>
                      <wps:cNvSpPr txBox="1"/>
                      <wps:spPr>
                        <a:xfrm rot="19800000">
                          <a:off x="0" y="0"/>
                          <a:ext cx="694690" cy="3257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A5243">
                            <w:pPr>
                              <w:ind w:firstLine="0" w:firstLineChars="0"/>
                              <w:rPr>
                                <w:b/>
                                <w:bCs/>
                                <w:color w:val="auto"/>
                              </w:rPr>
                            </w:pPr>
                            <w:r>
                              <w:rPr>
                                <w:rFonts w:hint="eastAsia"/>
                                <w:b/>
                                <w:bCs/>
                                <w:color w:val="auto"/>
                                <w:lang w:val="en-US" w:eastAsia="zh-CN"/>
                              </w:rPr>
                              <w:t>3</w:t>
                            </w:r>
                            <w:r>
                              <w:rPr>
                                <w:rFonts w:hint="eastAsia"/>
                                <w:b/>
                                <w:bCs/>
                                <w:color w:val="auto"/>
                              </w:rPr>
                              <w:t>km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4.35pt;margin-top:176.3pt;height:25.65pt;width:54.7pt;rotation:-1966080f;z-index:251672576;mso-width-relative:page;mso-height-relative:page;" filled="f" stroked="f" coordsize="21600,21600" o:gfxdata="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UR3Jj9sAAAALAQAADwAAAAAAAAABACAA&#10;AAAiAAAAZHJzL2Rvd25yZXYueG1sUEsBAhQAFAAAAAgAh07iQEmzxuBDAgAAdgQAAA4AAAAAAAAA&#10;AQAgAAAAKgEAAGRycy9lMm9Eb2MueG1sUEsFBgAAAAAGAAYAWQEAAN8FAAAAAA==&#10;">
                <v:fill on="f" focussize="0,0"/>
                <v:stroke on="f" weight="0.5pt"/>
                <v:imagedata o:title=""/>
                <o:lock v:ext="edit" aspectratio="f"/>
                <v:textbox>
                  <w:txbxContent>
                    <w:p w14:paraId="02EA5243">
                      <w:pPr>
                        <w:ind w:firstLine="0" w:firstLineChars="0"/>
                        <w:rPr>
                          <w:b/>
                          <w:bCs/>
                          <w:color w:val="auto"/>
                        </w:rPr>
                      </w:pPr>
                      <w:r>
                        <w:rPr>
                          <w:rFonts w:hint="eastAsia"/>
                          <w:b/>
                          <w:bCs/>
                          <w:color w:val="auto"/>
                          <w:lang w:val="en-US" w:eastAsia="zh-CN"/>
                        </w:rPr>
                        <w:t>3</w:t>
                      </w:r>
                      <w:r>
                        <w:rPr>
                          <w:rFonts w:hint="eastAsia"/>
                          <w:b/>
                          <w:bCs/>
                          <w:color w:val="auto"/>
                        </w:rPr>
                        <w:t>km</w:t>
                      </w:r>
                    </w:p>
                  </w:txbxContent>
                </v:textbox>
              </v:shape>
            </w:pict>
          </mc:Fallback>
        </mc:AlternateContent>
      </w:r>
      <w:r>
        <w:rPr>
          <w:sz w:val="24"/>
        </w:rPr>
        <mc:AlternateContent>
          <mc:Choice Requires="wps">
            <w:drawing>
              <wp:anchor distT="0" distB="0" distL="114300" distR="114300" simplePos="0" relativeHeight="251698176" behindDoc="0" locked="0" layoutInCell="1" allowOverlap="1">
                <wp:simplePos x="0" y="0"/>
                <wp:positionH relativeFrom="column">
                  <wp:posOffset>7066280</wp:posOffset>
                </wp:positionH>
                <wp:positionV relativeFrom="paragraph">
                  <wp:posOffset>1516380</wp:posOffset>
                </wp:positionV>
                <wp:extent cx="103505" cy="102870"/>
                <wp:effectExtent l="12700" t="12700" r="17145" b="17780"/>
                <wp:wrapNone/>
                <wp:docPr id="16" name="椭圆 16"/>
                <wp:cNvGraphicFramePr/>
                <a:graphic xmlns:a="http://schemas.openxmlformats.org/drawingml/2006/main">
                  <a:graphicData uri="http://schemas.microsoft.com/office/word/2010/wordprocessingShape">
                    <wps:wsp>
                      <wps:cNvSpPr/>
                      <wps:spPr>
                        <a:xfrm>
                          <a:off x="7966710" y="2596515"/>
                          <a:ext cx="103505" cy="102870"/>
                        </a:xfrm>
                        <a:prstGeom prst="ellipse">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56.4pt;margin-top:119.4pt;height:8.1pt;width:8.15pt;z-index:251698176;v-text-anchor:middle;mso-width-relative:page;mso-height-relative:page;" fillcolor="#FF0000" filled="t" stroked="t" coordsize="21600,21600" o:gfxdata="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mjEAO9gAAAANAQAADwAAAAAAAAABACAAAAAiAAAAZHJzL2Rvd25y&#10;ZXYueG1sUEsBAhQAFAAAAAgAh07iQLFy+69wAgAA7QQAAA4AAAAAAAAAAQAgAAAAJwEAAGRycy9l&#10;Mm9Eb2MueG1sUEsFBgAAAAAGAAYAWQEAAAkGAAAAAA==&#10;">
                <v:fill on="t" focussize="0,0"/>
                <v:stroke weight="2pt" color="#FF0000 [2404]" joinstyle="round"/>
                <v:imagedata o:title=""/>
                <o:lock v:ext="edit" aspectratio="f"/>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4534535</wp:posOffset>
                </wp:positionH>
                <wp:positionV relativeFrom="paragraph">
                  <wp:posOffset>1572260</wp:posOffset>
                </wp:positionV>
                <wp:extent cx="2524125" cy="1483995"/>
                <wp:effectExtent l="2540" t="0" r="6985" b="20955"/>
                <wp:wrapNone/>
                <wp:docPr id="8" name="直接箭头连接符 8"/>
                <wp:cNvGraphicFramePr/>
                <a:graphic xmlns:a="http://schemas.openxmlformats.org/drawingml/2006/main">
                  <a:graphicData uri="http://schemas.microsoft.com/office/word/2010/wordprocessingShape">
                    <wps:wsp>
                      <wps:cNvCnPr/>
                      <wps:spPr>
                        <a:xfrm flipV="1">
                          <a:off x="5160645" y="3124200"/>
                          <a:ext cx="2524125" cy="1483995"/>
                        </a:xfrm>
                        <a:prstGeom prst="straightConnector1">
                          <a:avLst/>
                        </a:prstGeom>
                        <a:ln w="9525">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357.05pt;margin-top:123.8pt;height:116.85pt;width:198.75pt;z-index:251671552;mso-width-relative:page;mso-height-relative:page;" filled="f" stroked="t" coordsize="21600,21600" o:gfxdata="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hwaP99gAAAAMAQAADwAAAAAA&#10;AAABACAAAAAiAAAAZHJzL2Rvd25yZXYueG1sUEsBAhQAFAAAAAgAh07iQJRnej0TAgAA4wMAAA4A&#10;AAAAAAAAAQAgAAAAJwEAAGRycy9lMm9Eb2MueG1sUEsFBgAAAAAGAAYAWQEAAKwFAAAAAA==&#10;">
                <v:fill on="f" focussize="0,0"/>
                <v:stroke color="#FF0000 [3204]" joinstyle="round" endarrow="open"/>
                <v:imagedata o:title=""/>
                <o:lock v:ext="edit" aspectratio="f"/>
              </v:shape>
            </w:pict>
          </mc:Fallback>
        </mc:AlternateContent>
      </w:r>
      <w:r>
        <w:drawing>
          <wp:inline distT="0" distB="0" distL="114300" distR="114300">
            <wp:extent cx="8887460" cy="5217795"/>
            <wp:effectExtent l="0" t="0" r="8890" b="190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15"/>
                    <a:stretch>
                      <a:fillRect/>
                    </a:stretch>
                  </pic:blipFill>
                  <pic:spPr>
                    <a:xfrm>
                      <a:off x="0" y="0"/>
                      <a:ext cx="8887460" cy="5217795"/>
                    </a:xfrm>
                    <a:prstGeom prst="rect">
                      <a:avLst/>
                    </a:prstGeom>
                    <a:noFill/>
                    <a:ln>
                      <a:noFill/>
                    </a:ln>
                  </pic:spPr>
                </pic:pic>
              </a:graphicData>
            </a:graphic>
          </wp:inline>
        </w:drawing>
      </w:r>
    </w:p>
    <w:p w14:paraId="3FE479E0">
      <w:pPr>
        <w:keepNext w:val="0"/>
        <w:keepLines w:val="0"/>
        <w:pageBreakBefore w:val="0"/>
        <w:widowControl w:val="0"/>
        <w:numPr>
          <w:ilvl w:val="1"/>
          <w:numId w:val="34"/>
        </w:numPr>
        <w:kinsoku/>
        <w:wordWrap/>
        <w:overflowPunct/>
        <w:topLinePunct w:val="0"/>
        <w:autoSpaceDE/>
        <w:autoSpaceDN/>
        <w:bidi w:val="0"/>
        <w:adjustRightInd w:val="0"/>
        <w:snapToGrid w:val="0"/>
        <w:ind w:left="0" w:leftChars="0" w:right="0" w:rightChars="0" w:firstLine="0" w:firstLineChars="0"/>
        <w:jc w:val="center"/>
        <w:textAlignment w:val="auto"/>
        <w:outlineLvl w:val="0"/>
        <w:rPr>
          <w:rFonts w:hint="eastAsia"/>
          <w:b/>
          <w:bCs/>
          <w:sz w:val="28"/>
          <w:szCs w:val="28"/>
        </w:rPr>
      </w:pPr>
      <w:bookmarkStart w:id="217" w:name="_Toc8945"/>
      <w:r>
        <w:rPr>
          <w:rFonts w:hint="eastAsia"/>
          <w:b/>
          <w:bCs/>
          <w:sz w:val="28"/>
          <w:szCs w:val="28"/>
        </w:rPr>
        <w:t>引用</w:t>
      </w:r>
      <w:r>
        <w:rPr>
          <w:rFonts w:hint="eastAsia"/>
          <w:b/>
          <w:bCs/>
          <w:sz w:val="28"/>
          <w:szCs w:val="28"/>
          <w:lang w:val="en-US" w:eastAsia="zh-CN"/>
        </w:rPr>
        <w:t>TSP</w:t>
      </w:r>
      <w:r>
        <w:rPr>
          <w:rFonts w:hint="eastAsia"/>
          <w:b/>
          <w:bCs/>
          <w:sz w:val="28"/>
          <w:szCs w:val="28"/>
        </w:rPr>
        <w:t>环境空气监测点位</w:t>
      </w:r>
      <w:r>
        <w:rPr>
          <w:rFonts w:hint="eastAsia"/>
          <w:b/>
          <w:bCs/>
        </w:rPr>
        <w:t>图</w:t>
      </w:r>
      <w:bookmarkEnd w:id="217"/>
    </w:p>
    <w:p w14:paraId="14F0747E">
      <w:pPr>
        <w:widowControl w:val="0"/>
        <w:adjustRightInd w:val="0"/>
        <w:snapToGrid w:val="0"/>
        <w:ind w:firstLine="0" w:firstLineChars="0"/>
        <w:jc w:val="center"/>
        <w:outlineLvl w:val="0"/>
        <w:rPr>
          <w:b/>
          <w:bCs/>
        </w:rPr>
        <w:sectPr>
          <w:pgSz w:w="16840" w:h="11905" w:orient="landscape"/>
          <w:pgMar w:top="1701" w:right="1418" w:bottom="1418" w:left="1418" w:header="851" w:footer="992" w:gutter="0"/>
          <w:pgBorders>
            <w:top w:val="none" w:sz="0" w:space="0"/>
            <w:left w:val="none" w:sz="0" w:space="0"/>
            <w:bottom w:val="none" w:sz="0" w:space="0"/>
            <w:right w:val="none" w:sz="0" w:space="0"/>
          </w:pgBorders>
          <w:cols w:space="720" w:num="1"/>
          <w:docGrid w:linePitch="326" w:charSpace="0"/>
        </w:sectPr>
      </w:pP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20"/>
      </w:tblGrid>
      <w:tr w14:paraId="7704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20" w:type="dxa"/>
          </w:tcPr>
          <w:p w14:paraId="7B297D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rPr>
            </w:pPr>
            <w:bookmarkStart w:id="218" w:name="_Toc17468"/>
            <w:bookmarkStart w:id="219" w:name="_Toc23876"/>
            <w:bookmarkStart w:id="220" w:name="_Toc7027"/>
            <w:bookmarkStart w:id="221" w:name="_Toc22707"/>
            <w:bookmarkStart w:id="222" w:name="_Toc213"/>
            <w:bookmarkStart w:id="223" w:name="_Toc16016"/>
            <w:bookmarkStart w:id="224" w:name="_Toc24506"/>
            <w:bookmarkStart w:id="225" w:name="_Toc19755"/>
            <w:bookmarkStart w:id="226" w:name="_Toc22182"/>
            <w:bookmarkStart w:id="227" w:name="_Toc10586"/>
            <w:bookmarkStart w:id="228" w:name="_Toc14155"/>
            <w:bookmarkStart w:id="229" w:name="_Toc30723"/>
            <w:bookmarkStart w:id="230" w:name="_Toc13241"/>
            <w:bookmarkStart w:id="231" w:name="_Toc228"/>
            <w:r>
              <w:rPr>
                <w:sz w:val="24"/>
              </w:rPr>
              <mc:AlternateContent>
                <mc:Choice Requires="wps">
                  <w:drawing>
                    <wp:anchor distT="0" distB="0" distL="114300" distR="114300" simplePos="0" relativeHeight="251697152" behindDoc="0" locked="0" layoutInCell="1" allowOverlap="1">
                      <wp:simplePos x="0" y="0"/>
                      <wp:positionH relativeFrom="column">
                        <wp:posOffset>7216140</wp:posOffset>
                      </wp:positionH>
                      <wp:positionV relativeFrom="paragraph">
                        <wp:posOffset>3314065</wp:posOffset>
                      </wp:positionV>
                      <wp:extent cx="909955" cy="27686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909955"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41F3F">
                                  <w:pPr>
                                    <w:ind w:left="0" w:leftChars="0" w:firstLine="0" w:firstLineChars="0"/>
                                    <w:rPr>
                                      <w:rFonts w:hint="eastAsia" w:ascii="黑体" w:hAnsi="黑体" w:eastAsia="黑体" w:cs="黑体"/>
                                      <w:color w:val="FF0000"/>
                                      <w:lang w:val="en-US" w:eastAsia="zh-CN"/>
                                    </w:rPr>
                                  </w:pPr>
                                  <w:r>
                                    <w:rPr>
                                      <w:rFonts w:hint="eastAsia" w:ascii="黑体" w:hAnsi="黑体" w:eastAsia="黑体" w:cs="黑体"/>
                                      <w:b/>
                                      <w:bCs/>
                                      <w:color w:val="FF0000"/>
                                      <w:lang w:val="en-US" w:eastAsia="zh-CN"/>
                                    </w:rPr>
                                    <w:t>一期灰库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8.2pt;margin-top:260.95pt;height:21.8pt;width:71.65pt;z-index:251697152;mso-width-relative:page;mso-height-relative:page;" filled="f" stroked="f" coordsize="21600,21600" o:gfxdata="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XBkob90AAAANAQAADwAAAAAAAAABACAAAAAi&#10;AAAAZHJzL2Rvd25yZXYueG1sUEsBAhQAFAAAAAgAh07iQITvIOU+AgAAZwQAAA4AAAAAAAAAAQAg&#10;AAAALAEAAGRycy9lMm9Eb2MueG1sUEsFBgAAAAAGAAYAWQEAANwFAAAAAA==&#10;">
                      <v:fill on="f" focussize="0,0"/>
                      <v:stroke on="f" weight="0.5pt"/>
                      <v:imagedata o:title=""/>
                      <o:lock v:ext="edit" aspectratio="f"/>
                      <v:textbox>
                        <w:txbxContent>
                          <w:p w14:paraId="7B141F3F">
                            <w:pPr>
                              <w:ind w:left="0" w:leftChars="0" w:firstLine="0" w:firstLineChars="0"/>
                              <w:rPr>
                                <w:rFonts w:hint="eastAsia" w:ascii="黑体" w:hAnsi="黑体" w:eastAsia="黑体" w:cs="黑体"/>
                                <w:color w:val="FF0000"/>
                                <w:lang w:val="en-US" w:eastAsia="zh-CN"/>
                              </w:rPr>
                            </w:pPr>
                            <w:r>
                              <w:rPr>
                                <w:rFonts w:hint="eastAsia" w:ascii="黑体" w:hAnsi="黑体" w:eastAsia="黑体" w:cs="黑体"/>
                                <w:b/>
                                <w:bCs/>
                                <w:color w:val="FF0000"/>
                                <w:lang w:val="en-US" w:eastAsia="zh-CN"/>
                              </w:rPr>
                              <w:t>一期灰库</w:t>
                            </w:r>
                          </w:p>
                        </w:txbxContent>
                      </v:textbox>
                    </v:shape>
                  </w:pict>
                </mc:Fallback>
              </mc:AlternateContent>
            </w:r>
            <w:r>
              <w:drawing>
                <wp:anchor distT="0" distB="0" distL="114300" distR="114300" simplePos="0" relativeHeight="251693056" behindDoc="0" locked="0" layoutInCell="1" allowOverlap="1">
                  <wp:simplePos x="0" y="0"/>
                  <wp:positionH relativeFrom="column">
                    <wp:posOffset>6642735</wp:posOffset>
                  </wp:positionH>
                  <wp:positionV relativeFrom="paragraph">
                    <wp:posOffset>3210560</wp:posOffset>
                  </wp:positionV>
                  <wp:extent cx="1748155" cy="1971675"/>
                  <wp:effectExtent l="0" t="0" r="4445" b="9525"/>
                  <wp:wrapNone/>
                  <wp:docPr id="4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2"/>
                          <pic:cNvPicPr>
                            <a:picLocks noChangeAspect="1"/>
                          </pic:cNvPicPr>
                        </pic:nvPicPr>
                        <pic:blipFill>
                          <a:blip r:embed="rId116"/>
                          <a:stretch>
                            <a:fillRect/>
                          </a:stretch>
                        </pic:blipFill>
                        <pic:spPr>
                          <a:xfrm>
                            <a:off x="0" y="0"/>
                            <a:ext cx="1748155" cy="1971675"/>
                          </a:xfrm>
                          <a:prstGeom prst="rect">
                            <a:avLst/>
                          </a:prstGeom>
                          <a:noFill/>
                          <a:ln>
                            <a:noFill/>
                          </a:ln>
                        </pic:spPr>
                      </pic:pic>
                    </a:graphicData>
                  </a:graphic>
                </wp:anchor>
              </w:drawing>
            </w:r>
            <w:r>
              <w:drawing>
                <wp:anchor distT="0" distB="0" distL="114300" distR="114300" simplePos="0" relativeHeight="251702272" behindDoc="0" locked="0" layoutInCell="1" allowOverlap="1">
                  <wp:simplePos x="0" y="0"/>
                  <wp:positionH relativeFrom="column">
                    <wp:posOffset>7931785</wp:posOffset>
                  </wp:positionH>
                  <wp:positionV relativeFrom="paragraph">
                    <wp:posOffset>70485</wp:posOffset>
                  </wp:positionV>
                  <wp:extent cx="449580" cy="847725"/>
                  <wp:effectExtent l="0" t="0" r="7620" b="9525"/>
                  <wp:wrapNone/>
                  <wp:docPr id="143" name="图片 14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descr="图片1"/>
                          <pic:cNvPicPr>
                            <a:picLocks noChangeAspect="1"/>
                          </pic:cNvPicPr>
                        </pic:nvPicPr>
                        <pic:blipFill>
                          <a:blip r:embed="rId110"/>
                          <a:stretch>
                            <a:fillRect/>
                          </a:stretch>
                        </pic:blipFill>
                        <pic:spPr>
                          <a:xfrm>
                            <a:off x="0" y="0"/>
                            <a:ext cx="449580" cy="847725"/>
                          </a:xfrm>
                          <a:prstGeom prst="rect">
                            <a:avLst/>
                          </a:prstGeom>
                        </pic:spPr>
                      </pic:pic>
                    </a:graphicData>
                  </a:graphic>
                </wp:anchor>
              </w:drawing>
            </w:r>
            <w:r>
              <w:rPr>
                <w:sz w:val="24"/>
              </w:rPr>
              <mc:AlternateContent>
                <mc:Choice Requires="wps">
                  <w:drawing>
                    <wp:anchor distT="0" distB="0" distL="114300" distR="114300" simplePos="0" relativeHeight="251696128" behindDoc="0" locked="0" layoutInCell="1" allowOverlap="1">
                      <wp:simplePos x="0" y="0"/>
                      <wp:positionH relativeFrom="column">
                        <wp:posOffset>749935</wp:posOffset>
                      </wp:positionH>
                      <wp:positionV relativeFrom="paragraph">
                        <wp:posOffset>2739390</wp:posOffset>
                      </wp:positionV>
                      <wp:extent cx="909955" cy="27686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909955"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BCDC81">
                                  <w:pPr>
                                    <w:ind w:left="0" w:leftChars="0" w:firstLine="0" w:firstLineChars="0"/>
                                    <w:rPr>
                                      <w:rFonts w:hint="eastAsia" w:ascii="黑体" w:hAnsi="黑体" w:eastAsia="黑体" w:cs="黑体"/>
                                      <w:color w:val="FF0000"/>
                                      <w:lang w:val="en-US" w:eastAsia="zh-CN"/>
                                    </w:rPr>
                                  </w:pPr>
                                  <w:r>
                                    <w:rPr>
                                      <w:rFonts w:hint="eastAsia" w:ascii="黑体" w:hAnsi="黑体" w:eastAsia="黑体" w:cs="黑体"/>
                                      <w:b/>
                                      <w:bCs/>
                                      <w:color w:val="FF0000"/>
                                      <w:lang w:val="en-US" w:eastAsia="zh-CN"/>
                                    </w:rPr>
                                    <w:t>二期灰库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05pt;margin-top:215.7pt;height:21.8pt;width:71.65pt;z-index:251696128;mso-width-relative:page;mso-height-relative:page;" filled="f" stroked="f" coordsize="21600,21600" o:gfxdata="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78HJbbAAAACwEAAA8AAAAAAAAAAQAgAAAAIgAA&#10;AGRycy9kb3ducmV2LnhtbFBLAQIUABQAAAAIAIdO4kDekOMNPgIAAGcEAAAOAAAAAAAAAAEAIAAA&#10;ACoBAABkcnMvZTJvRG9jLnhtbFBLBQYAAAAABgAGAFkBAADaBQAAAAA=&#10;">
                      <v:fill on="f" focussize="0,0"/>
                      <v:stroke on="f" weight="0.5pt"/>
                      <v:imagedata o:title=""/>
                      <o:lock v:ext="edit" aspectratio="f"/>
                      <v:textbox>
                        <w:txbxContent>
                          <w:p w14:paraId="1BBCDC81">
                            <w:pPr>
                              <w:ind w:left="0" w:leftChars="0" w:firstLine="0" w:firstLineChars="0"/>
                              <w:rPr>
                                <w:rFonts w:hint="eastAsia" w:ascii="黑体" w:hAnsi="黑体" w:eastAsia="黑体" w:cs="黑体"/>
                                <w:color w:val="FF0000"/>
                                <w:lang w:val="en-US" w:eastAsia="zh-CN"/>
                              </w:rPr>
                            </w:pPr>
                            <w:r>
                              <w:rPr>
                                <w:rFonts w:hint="eastAsia" w:ascii="黑体" w:hAnsi="黑体" w:eastAsia="黑体" w:cs="黑体"/>
                                <w:b/>
                                <w:bCs/>
                                <w:color w:val="FF0000"/>
                                <w:lang w:val="en-US" w:eastAsia="zh-CN"/>
                              </w:rPr>
                              <w:t>二期灰库</w:t>
                            </w:r>
                          </w:p>
                        </w:txbxContent>
                      </v:textbox>
                    </v:shape>
                  </w:pict>
                </mc:Fallback>
              </mc:AlternateContent>
            </w:r>
            <w:r>
              <w:drawing>
                <wp:anchor distT="0" distB="0" distL="114300" distR="114300" simplePos="0" relativeHeight="251691008" behindDoc="0" locked="0" layoutInCell="1" allowOverlap="1">
                  <wp:simplePos x="0" y="0"/>
                  <wp:positionH relativeFrom="column">
                    <wp:posOffset>657860</wp:posOffset>
                  </wp:positionH>
                  <wp:positionV relativeFrom="paragraph">
                    <wp:posOffset>1822450</wp:posOffset>
                  </wp:positionV>
                  <wp:extent cx="1978660" cy="1466215"/>
                  <wp:effectExtent l="0" t="0" r="2540" b="635"/>
                  <wp:wrapNone/>
                  <wp:docPr id="3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1"/>
                          <pic:cNvPicPr>
                            <a:picLocks noChangeAspect="1"/>
                          </pic:cNvPicPr>
                        </pic:nvPicPr>
                        <pic:blipFill>
                          <a:blip r:embed="rId117"/>
                          <a:stretch>
                            <a:fillRect/>
                          </a:stretch>
                        </pic:blipFill>
                        <pic:spPr>
                          <a:xfrm>
                            <a:off x="0" y="0"/>
                            <a:ext cx="1978660" cy="1466215"/>
                          </a:xfrm>
                          <a:prstGeom prst="rect">
                            <a:avLst/>
                          </a:prstGeom>
                          <a:noFill/>
                          <a:ln>
                            <a:noFill/>
                          </a:ln>
                        </pic:spPr>
                      </pic:pic>
                    </a:graphicData>
                  </a:graphic>
                </wp:anchor>
              </w:drawing>
            </w:r>
            <w:r>
              <w:rPr>
                <w:sz w:val="24"/>
              </w:rPr>
              <mc:AlternateContent>
                <mc:Choice Requires="wps">
                  <w:drawing>
                    <wp:anchor distT="0" distB="0" distL="114300" distR="114300" simplePos="0" relativeHeight="251695104" behindDoc="0" locked="0" layoutInCell="1" allowOverlap="1">
                      <wp:simplePos x="0" y="0"/>
                      <wp:positionH relativeFrom="column">
                        <wp:posOffset>834390</wp:posOffset>
                      </wp:positionH>
                      <wp:positionV relativeFrom="paragraph">
                        <wp:posOffset>307340</wp:posOffset>
                      </wp:positionV>
                      <wp:extent cx="909955" cy="276860"/>
                      <wp:effectExtent l="0" t="0" r="0" b="0"/>
                      <wp:wrapNone/>
                      <wp:docPr id="42" name="文本框 42"/>
                      <wp:cNvGraphicFramePr/>
                      <a:graphic xmlns:a="http://schemas.openxmlformats.org/drawingml/2006/main">
                        <a:graphicData uri="http://schemas.microsoft.com/office/word/2010/wordprocessingShape">
                          <wps:wsp>
                            <wps:cNvSpPr txBox="1"/>
                            <wps:spPr>
                              <a:xfrm>
                                <a:off x="2030730" y="2726690"/>
                                <a:ext cx="909955"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538E8A">
                                  <w:pPr>
                                    <w:ind w:left="0" w:leftChars="0" w:firstLine="0" w:firstLineChars="0"/>
                                    <w:rPr>
                                      <w:rFonts w:hint="eastAsia" w:ascii="黑体" w:hAnsi="黑体" w:eastAsia="黑体" w:cs="黑体"/>
                                      <w:color w:val="FF0000"/>
                                      <w:lang w:val="en-US" w:eastAsia="zh-CN"/>
                                    </w:rPr>
                                  </w:pPr>
                                  <w:r>
                                    <w:rPr>
                                      <w:rFonts w:hint="eastAsia" w:ascii="黑体" w:hAnsi="黑体" w:eastAsia="黑体" w:cs="黑体"/>
                                      <w:b/>
                                      <w:bCs/>
                                      <w:color w:val="FF0000"/>
                                      <w:lang w:val="en-US" w:eastAsia="zh-CN"/>
                                    </w:rPr>
                                    <w:t>三期灰库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5.7pt;margin-top:24.2pt;height:21.8pt;width:71.65pt;z-index:251695104;mso-width-relative:page;mso-height-relative:page;" filled="f" stroked="f" coordsize="21600,21600" o:gfxdata="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p6V+i9oAAAAJAQAADwAAAAAAAAAB&#10;ACAAAAAiAAAAZHJzL2Rvd25yZXYueG1sUEsBAhQAFAAAAAgAh07iQB/k+zxHAgAAcwQAAA4AAAAA&#10;AAAAAQAgAAAAKQEAAGRycy9lMm9Eb2MueG1sUEsFBgAAAAAGAAYAWQEAAOIFAAAAAA==&#10;">
                      <v:fill on="f" focussize="0,0"/>
                      <v:stroke on="f" weight="0.5pt"/>
                      <v:imagedata o:title=""/>
                      <o:lock v:ext="edit" aspectratio="f"/>
                      <v:textbox>
                        <w:txbxContent>
                          <w:p w14:paraId="48538E8A">
                            <w:pPr>
                              <w:ind w:left="0" w:leftChars="0" w:firstLine="0" w:firstLineChars="0"/>
                              <w:rPr>
                                <w:rFonts w:hint="eastAsia" w:ascii="黑体" w:hAnsi="黑体" w:eastAsia="黑体" w:cs="黑体"/>
                                <w:color w:val="FF0000"/>
                                <w:lang w:val="en-US" w:eastAsia="zh-CN"/>
                              </w:rPr>
                            </w:pPr>
                            <w:r>
                              <w:rPr>
                                <w:rFonts w:hint="eastAsia" w:ascii="黑体" w:hAnsi="黑体" w:eastAsia="黑体" w:cs="黑体"/>
                                <w:b/>
                                <w:bCs/>
                                <w:color w:val="FF0000"/>
                                <w:lang w:val="en-US" w:eastAsia="zh-CN"/>
                              </w:rPr>
                              <w:t>三期灰库</w:t>
                            </w:r>
                          </w:p>
                        </w:txbxContent>
                      </v:textbox>
                    </v:shape>
                  </w:pict>
                </mc:Fallback>
              </mc:AlternateContent>
            </w:r>
            <w:r>
              <w:drawing>
                <wp:anchor distT="0" distB="0" distL="114300" distR="114300" simplePos="0" relativeHeight="251686912" behindDoc="0" locked="0" layoutInCell="1" allowOverlap="1">
                  <wp:simplePos x="0" y="0"/>
                  <wp:positionH relativeFrom="column">
                    <wp:posOffset>593090</wp:posOffset>
                  </wp:positionH>
                  <wp:positionV relativeFrom="paragraph">
                    <wp:posOffset>36830</wp:posOffset>
                  </wp:positionV>
                  <wp:extent cx="2076450" cy="1619885"/>
                  <wp:effectExtent l="0" t="0" r="0" b="18415"/>
                  <wp:wrapNone/>
                  <wp:docPr id="3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0"/>
                          <pic:cNvPicPr>
                            <a:picLocks noChangeAspect="1"/>
                          </pic:cNvPicPr>
                        </pic:nvPicPr>
                        <pic:blipFill>
                          <a:blip r:embed="rId118"/>
                          <a:stretch>
                            <a:fillRect/>
                          </a:stretch>
                        </pic:blipFill>
                        <pic:spPr>
                          <a:xfrm>
                            <a:off x="0" y="0"/>
                            <a:ext cx="2076450" cy="1619885"/>
                          </a:xfrm>
                          <a:prstGeom prst="rect">
                            <a:avLst/>
                          </a:prstGeom>
                          <a:noFill/>
                          <a:ln>
                            <a:noFill/>
                          </a:ln>
                        </pic:spPr>
                      </pic:pic>
                    </a:graphicData>
                  </a:graphic>
                </wp:anchor>
              </w:drawing>
            </w:r>
            <w:r>
              <w:rPr>
                <w:sz w:val="24"/>
              </w:rPr>
              <mc:AlternateContent>
                <mc:Choice Requires="wps">
                  <w:drawing>
                    <wp:anchor distT="0" distB="0" distL="114300" distR="114300" simplePos="0" relativeHeight="251694080" behindDoc="0" locked="0" layoutInCell="1" allowOverlap="1">
                      <wp:simplePos x="0" y="0"/>
                      <wp:positionH relativeFrom="column">
                        <wp:posOffset>4593590</wp:posOffset>
                      </wp:positionH>
                      <wp:positionV relativeFrom="paragraph">
                        <wp:posOffset>4336415</wp:posOffset>
                      </wp:positionV>
                      <wp:extent cx="2502535" cy="588645"/>
                      <wp:effectExtent l="1270" t="28575" r="10795" b="11430"/>
                      <wp:wrapNone/>
                      <wp:docPr id="39" name="直接箭头连接符 39"/>
                      <wp:cNvGraphicFramePr/>
                      <a:graphic xmlns:a="http://schemas.openxmlformats.org/drawingml/2006/main">
                        <a:graphicData uri="http://schemas.microsoft.com/office/word/2010/wordprocessingShape">
                          <wps:wsp>
                            <wps:cNvCnPr/>
                            <wps:spPr>
                              <a:xfrm flipV="1">
                                <a:off x="0" y="0"/>
                                <a:ext cx="2502535" cy="588645"/>
                              </a:xfrm>
                              <a:prstGeom prst="straightConnector1">
                                <a:avLst/>
                              </a:prstGeom>
                              <a:ln w="9525">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361.7pt;margin-top:341.45pt;height:46.35pt;width:197.05pt;z-index:251694080;mso-width-relative:page;mso-height-relative:page;" filled="f" stroked="t" coordsize="21600,21600" o:gfxdata="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07PE+2QAAAAwBAAAPAAAAAAAAAAEAIAAAACIA&#10;AABkcnMvZG93bnJldi54bWxQSwECFAAUAAAACACHTuJA9vMrDAgCAADYAwAADgAAAAAAAAABACAA&#10;AAAoAQAAZHJzL2Uyb0RvYy54bWxQSwUGAAAAAAYABgBZAQAAogUAAAAA&#10;">
                      <v:fill on="f" focussize="0,0"/>
                      <v:stroke color="#FF0000 [3204]" joinstyle="round" endarrow="open"/>
                      <v:imagedata o:title=""/>
                      <o:lock v:ext="edit" aspectratio="f"/>
                    </v:shape>
                  </w:pict>
                </mc:Fallback>
              </mc:AlternateContent>
            </w:r>
            <w:r>
              <w:drawing>
                <wp:inline distT="0" distB="0" distL="114300" distR="114300">
                  <wp:extent cx="8030845" cy="5328920"/>
                  <wp:effectExtent l="0" t="0" r="8255" b="5080"/>
                  <wp:docPr id="14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55"/>
                          <pic:cNvPicPr>
                            <a:picLocks noChangeAspect="1"/>
                          </pic:cNvPicPr>
                        </pic:nvPicPr>
                        <pic:blipFill>
                          <a:blip r:embed="rId119"/>
                          <a:stretch>
                            <a:fillRect/>
                          </a:stretch>
                        </pic:blipFill>
                        <pic:spPr>
                          <a:xfrm>
                            <a:off x="0" y="0"/>
                            <a:ext cx="8030845" cy="5328920"/>
                          </a:xfrm>
                          <a:prstGeom prst="rect">
                            <a:avLst/>
                          </a:prstGeom>
                          <a:noFill/>
                          <a:ln>
                            <a:noFill/>
                          </a:ln>
                        </pic:spPr>
                      </pic:pic>
                    </a:graphicData>
                  </a:graphic>
                </wp:inline>
              </w:drawing>
            </w:r>
            <w:r>
              <w:rPr>
                <w:sz w:val="24"/>
              </w:rPr>
              <mc:AlternateContent>
                <mc:Choice Requires="wps">
                  <w:drawing>
                    <wp:anchor distT="0" distB="0" distL="114300" distR="114300" simplePos="0" relativeHeight="251692032" behindDoc="0" locked="0" layoutInCell="1" allowOverlap="1">
                      <wp:simplePos x="0" y="0"/>
                      <wp:positionH relativeFrom="column">
                        <wp:posOffset>2038985</wp:posOffset>
                      </wp:positionH>
                      <wp:positionV relativeFrom="paragraph">
                        <wp:posOffset>1938020</wp:posOffset>
                      </wp:positionV>
                      <wp:extent cx="3472180" cy="683895"/>
                      <wp:effectExtent l="0" t="4445" r="13970" b="35560"/>
                      <wp:wrapNone/>
                      <wp:docPr id="35" name="直接箭头连接符 35"/>
                      <wp:cNvGraphicFramePr/>
                      <a:graphic xmlns:a="http://schemas.openxmlformats.org/drawingml/2006/main">
                        <a:graphicData uri="http://schemas.microsoft.com/office/word/2010/wordprocessingShape">
                          <wps:wsp>
                            <wps:cNvCnPr/>
                            <wps:spPr>
                              <a:xfrm flipH="1">
                                <a:off x="0" y="0"/>
                                <a:ext cx="3472180" cy="683895"/>
                              </a:xfrm>
                              <a:prstGeom prst="straightConnector1">
                                <a:avLst/>
                              </a:prstGeom>
                              <a:ln w="9525">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160.55pt;margin-top:152.6pt;height:53.85pt;width:273.4pt;z-index:251692032;mso-width-relative:page;mso-height-relative:page;" filled="f" stroked="t" coordsize="21600,21600" o:gfxdata="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zsMya2QAAAAsBAAAPAAAAAAAAAAEAIAAAACIA&#10;AABkcnMvZG93bnJldi54bWxQSwECFAAUAAAACACHTuJAzDo5ZQgCAADYAwAADgAAAAAAAAABACAA&#10;AAAoAQAAZHJzL2Uyb0RvYy54bWxQSwUGAAAAAAYABgBZAQAAogUAAAAA&#10;">
                      <v:fill on="f" focussize="0,0"/>
                      <v:stroke color="#FF0000 [3204]" joinstyle="round" endarrow="open"/>
                      <v:imagedata o:title=""/>
                      <o:lock v:ext="edit" aspectratio="f"/>
                    </v:shape>
                  </w:pict>
                </mc:Fallback>
              </mc:AlternateContent>
            </w:r>
            <w:r>
              <w:rPr>
                <w:sz w:val="24"/>
              </w:rPr>
              <mc:AlternateContent>
                <mc:Choice Requires="wps">
                  <w:drawing>
                    <wp:anchor distT="0" distB="0" distL="114300" distR="114300" simplePos="0" relativeHeight="251689984" behindDoc="0" locked="0" layoutInCell="1" allowOverlap="1">
                      <wp:simplePos x="0" y="0"/>
                      <wp:positionH relativeFrom="column">
                        <wp:posOffset>2298700</wp:posOffset>
                      </wp:positionH>
                      <wp:positionV relativeFrom="paragraph">
                        <wp:posOffset>1141095</wp:posOffset>
                      </wp:positionV>
                      <wp:extent cx="3152140" cy="346075"/>
                      <wp:effectExtent l="0" t="39370" r="10160" b="14605"/>
                      <wp:wrapNone/>
                      <wp:docPr id="34" name="直接箭头连接符 34"/>
                      <wp:cNvGraphicFramePr/>
                      <a:graphic xmlns:a="http://schemas.openxmlformats.org/drawingml/2006/main">
                        <a:graphicData uri="http://schemas.microsoft.com/office/word/2010/wordprocessingShape">
                          <wps:wsp>
                            <wps:cNvCnPr/>
                            <wps:spPr>
                              <a:xfrm flipH="1" flipV="1">
                                <a:off x="3208655" y="2566670"/>
                                <a:ext cx="3152140" cy="346075"/>
                              </a:xfrm>
                              <a:prstGeom prst="straightConnector1">
                                <a:avLst/>
                              </a:prstGeom>
                              <a:ln w="9525">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181pt;margin-top:89.85pt;height:27.25pt;width:248.2pt;z-index:251689984;mso-width-relative:page;mso-height-relative:page;" filled="f" stroked="t" coordsize="21600,21600" o:gfxdata="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BsY/PvbAAAA&#10;CwEAAA8AAAAAAAAAAQAgAAAAIgAAAGRycy9kb3ducmV2LnhtbFBLAQIUABQAAAAIAIdO4kBDmJJE&#10;GgIAAO4DAAAOAAAAAAAAAAEAIAAAACoBAABkcnMvZTJvRG9jLnhtbFBLBQYAAAAABgAGAFkBAAC2&#10;BQAAAAA=&#10;">
                      <v:fill on="f" focussize="0,0"/>
                      <v:stroke color="#FF0000 [3204]" joinstyle="round" endarrow="open"/>
                      <v:imagedata o:title=""/>
                      <o:lock v:ext="edit" aspectratio="f"/>
                    </v:shape>
                  </w:pict>
                </mc:Fallback>
              </mc:AlternateContent>
            </w:r>
          </w:p>
        </w:tc>
      </w:tr>
    </w:tbl>
    <w:p w14:paraId="748785D3">
      <w:pPr>
        <w:widowControl w:val="0"/>
        <w:numPr>
          <w:ilvl w:val="1"/>
          <w:numId w:val="34"/>
        </w:numPr>
        <w:adjustRightInd w:val="0"/>
        <w:snapToGrid w:val="0"/>
        <w:ind w:left="0" w:firstLine="0" w:firstLineChars="0"/>
        <w:jc w:val="center"/>
        <w:outlineLvl w:val="0"/>
        <w:rPr>
          <w:b/>
          <w:bCs/>
        </w:rPr>
        <w:sectPr>
          <w:pgSz w:w="16840" w:h="11905" w:orient="landscape"/>
          <w:pgMar w:top="1701" w:right="1418" w:bottom="1418" w:left="1418" w:header="851" w:footer="992" w:gutter="0"/>
          <w:pgBorders>
            <w:top w:val="none" w:sz="0" w:space="0"/>
            <w:left w:val="none" w:sz="0" w:space="0"/>
            <w:bottom w:val="none" w:sz="0" w:space="0"/>
            <w:right w:val="none" w:sz="0" w:space="0"/>
          </w:pgBorders>
          <w:cols w:space="720" w:num="1"/>
          <w:docGrid w:linePitch="326" w:charSpace="0"/>
        </w:sectPr>
      </w:pPr>
      <w:bookmarkStart w:id="232" w:name="_Toc26439"/>
      <w:r>
        <w:rPr>
          <w:rFonts w:hint="eastAsia"/>
          <w:b/>
          <w:bCs/>
          <w:sz w:val="28"/>
          <w:szCs w:val="28"/>
        </w:rPr>
        <w:t>总平面布置图</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Start w:id="233" w:name="_Toc13453"/>
      <w:bookmarkEnd w:id="233"/>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0"/>
        <w:gridCol w:w="4740"/>
        <w:gridCol w:w="4740"/>
      </w:tblGrid>
      <w:tr w14:paraId="5FA3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8" w:type="dxa"/>
            <w:vAlign w:val="center"/>
          </w:tcPr>
          <w:p w14:paraId="171E906F">
            <w:pPr>
              <w:widowControl w:val="0"/>
              <w:adjustRightInd w:val="0"/>
              <w:snapToGrid w:val="0"/>
              <w:spacing w:line="240" w:lineRule="auto"/>
              <w:ind w:firstLine="0" w:firstLineChars="0"/>
              <w:jc w:val="center"/>
              <w:rPr>
                <w:rFonts w:hint="eastAsia" w:eastAsia="宋体"/>
                <w:b/>
                <w:bCs/>
                <w:lang w:eastAsia="zh-CN"/>
              </w:rPr>
            </w:pPr>
            <w:r>
              <w:rPr>
                <w:rFonts w:hint="eastAsia" w:eastAsia="宋体"/>
                <w:b/>
                <w:bCs/>
                <w:lang w:eastAsia="zh-CN"/>
              </w:rPr>
              <w:drawing>
                <wp:inline distT="0" distB="0" distL="114300" distR="114300">
                  <wp:extent cx="2872740" cy="2154555"/>
                  <wp:effectExtent l="0" t="0" r="3810" b="17145"/>
                  <wp:docPr id="46" name="图片 46" descr="a2204a7dbc70735297460593c9b27b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a2204a7dbc70735297460593c9b27b36"/>
                          <pic:cNvPicPr>
                            <a:picLocks noChangeAspect="1"/>
                          </pic:cNvPicPr>
                        </pic:nvPicPr>
                        <pic:blipFill>
                          <a:blip r:embed="rId120"/>
                          <a:stretch>
                            <a:fillRect/>
                          </a:stretch>
                        </pic:blipFill>
                        <pic:spPr>
                          <a:xfrm>
                            <a:off x="0" y="0"/>
                            <a:ext cx="2872740" cy="2154555"/>
                          </a:xfrm>
                          <a:prstGeom prst="rect">
                            <a:avLst/>
                          </a:prstGeom>
                        </pic:spPr>
                      </pic:pic>
                    </a:graphicData>
                  </a:graphic>
                </wp:inline>
              </w:drawing>
            </w:r>
          </w:p>
        </w:tc>
        <w:tc>
          <w:tcPr>
            <w:tcW w:w="5181" w:type="dxa"/>
            <w:vAlign w:val="center"/>
          </w:tcPr>
          <w:p w14:paraId="42776FFE">
            <w:pPr>
              <w:widowControl w:val="0"/>
              <w:adjustRightInd w:val="0"/>
              <w:snapToGrid w:val="0"/>
              <w:spacing w:line="240" w:lineRule="auto"/>
              <w:ind w:firstLine="0" w:firstLineChars="0"/>
              <w:jc w:val="center"/>
              <w:rPr>
                <w:rFonts w:hint="eastAsia" w:eastAsia="宋体"/>
                <w:b/>
                <w:bCs/>
                <w:lang w:eastAsia="zh-CN"/>
              </w:rPr>
            </w:pPr>
            <w:r>
              <w:rPr>
                <w:rFonts w:hint="eastAsia" w:eastAsia="宋体"/>
                <w:b/>
                <w:bCs/>
                <w:lang w:eastAsia="zh-CN"/>
              </w:rPr>
              <w:drawing>
                <wp:inline distT="0" distB="0" distL="114300" distR="114300">
                  <wp:extent cx="2865120" cy="2148840"/>
                  <wp:effectExtent l="0" t="0" r="11430" b="3810"/>
                  <wp:docPr id="47" name="图片 47" descr="4d833aae2840d5df82cea623d4cde7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4d833aae2840d5df82cea623d4cde7bf"/>
                          <pic:cNvPicPr>
                            <a:picLocks noChangeAspect="1"/>
                          </pic:cNvPicPr>
                        </pic:nvPicPr>
                        <pic:blipFill>
                          <a:blip r:embed="rId121"/>
                          <a:stretch>
                            <a:fillRect/>
                          </a:stretch>
                        </pic:blipFill>
                        <pic:spPr>
                          <a:xfrm>
                            <a:off x="0" y="0"/>
                            <a:ext cx="2865120" cy="2148840"/>
                          </a:xfrm>
                          <a:prstGeom prst="rect">
                            <a:avLst/>
                          </a:prstGeom>
                        </pic:spPr>
                      </pic:pic>
                    </a:graphicData>
                  </a:graphic>
                </wp:inline>
              </w:drawing>
            </w:r>
          </w:p>
        </w:tc>
        <w:tc>
          <w:tcPr>
            <w:tcW w:w="4641" w:type="dxa"/>
            <w:vAlign w:val="center"/>
          </w:tcPr>
          <w:p w14:paraId="6A93BAB4">
            <w:pPr>
              <w:widowControl w:val="0"/>
              <w:adjustRightInd w:val="0"/>
              <w:snapToGrid w:val="0"/>
              <w:spacing w:line="240" w:lineRule="auto"/>
              <w:ind w:firstLine="0" w:firstLineChars="0"/>
              <w:jc w:val="center"/>
              <w:rPr>
                <w:rFonts w:hint="eastAsia" w:eastAsia="宋体"/>
                <w:b/>
                <w:bCs/>
                <w:lang w:eastAsia="zh-CN"/>
              </w:rPr>
            </w:pPr>
            <w:r>
              <w:rPr>
                <w:rFonts w:hint="eastAsia" w:eastAsia="宋体"/>
                <w:b/>
                <w:bCs/>
                <w:lang w:eastAsia="zh-CN"/>
              </w:rPr>
              <w:drawing>
                <wp:inline distT="0" distB="0" distL="114300" distR="114300">
                  <wp:extent cx="2865120" cy="2148840"/>
                  <wp:effectExtent l="0" t="0" r="11430" b="3810"/>
                  <wp:docPr id="48" name="图片 48" descr="e1a11a00be433c85f6426ea674574f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e1a11a00be433c85f6426ea674574f74"/>
                          <pic:cNvPicPr>
                            <a:picLocks noChangeAspect="1"/>
                          </pic:cNvPicPr>
                        </pic:nvPicPr>
                        <pic:blipFill>
                          <a:blip r:embed="rId122"/>
                          <a:stretch>
                            <a:fillRect/>
                          </a:stretch>
                        </pic:blipFill>
                        <pic:spPr>
                          <a:xfrm>
                            <a:off x="0" y="0"/>
                            <a:ext cx="2865120" cy="2148840"/>
                          </a:xfrm>
                          <a:prstGeom prst="rect">
                            <a:avLst/>
                          </a:prstGeom>
                        </pic:spPr>
                      </pic:pic>
                    </a:graphicData>
                  </a:graphic>
                </wp:inline>
              </w:drawing>
            </w:r>
          </w:p>
        </w:tc>
      </w:tr>
      <w:tr w14:paraId="3EF4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8" w:type="dxa"/>
            <w:vAlign w:val="center"/>
          </w:tcPr>
          <w:p w14:paraId="2909DBA0">
            <w:pPr>
              <w:widowControl w:val="0"/>
              <w:adjustRightInd w:val="0"/>
              <w:snapToGrid w:val="0"/>
              <w:spacing w:line="240" w:lineRule="auto"/>
              <w:ind w:firstLine="0" w:firstLineChars="0"/>
              <w:jc w:val="center"/>
              <w:rPr>
                <w:rFonts w:hint="eastAsia" w:eastAsia="宋体"/>
                <w:b/>
                <w:bCs/>
                <w:lang w:val="en-US" w:eastAsia="zh-CN"/>
              </w:rPr>
            </w:pPr>
            <w:r>
              <w:rPr>
                <w:rFonts w:hint="eastAsia"/>
                <w:b/>
                <w:bCs/>
                <w:lang w:val="en-US" w:eastAsia="zh-CN"/>
              </w:rPr>
              <w:t>一期灰库</w:t>
            </w:r>
          </w:p>
        </w:tc>
        <w:tc>
          <w:tcPr>
            <w:tcW w:w="5181" w:type="dxa"/>
            <w:vAlign w:val="center"/>
          </w:tcPr>
          <w:p w14:paraId="00E50153">
            <w:pPr>
              <w:widowControl w:val="0"/>
              <w:adjustRightInd w:val="0"/>
              <w:snapToGrid w:val="0"/>
              <w:spacing w:line="240" w:lineRule="auto"/>
              <w:ind w:firstLine="0" w:firstLineChars="0"/>
              <w:jc w:val="center"/>
              <w:rPr>
                <w:rFonts w:hint="eastAsia" w:eastAsia="宋体"/>
                <w:b/>
                <w:bCs/>
                <w:lang w:val="en-US" w:eastAsia="zh-CN"/>
              </w:rPr>
            </w:pPr>
            <w:r>
              <w:rPr>
                <w:rFonts w:hint="eastAsia"/>
                <w:b/>
                <w:bCs/>
                <w:lang w:val="en-US" w:eastAsia="zh-CN"/>
              </w:rPr>
              <w:t>二期灰库</w:t>
            </w:r>
          </w:p>
        </w:tc>
        <w:tc>
          <w:tcPr>
            <w:tcW w:w="4641" w:type="dxa"/>
            <w:vAlign w:val="center"/>
          </w:tcPr>
          <w:p w14:paraId="32D4ED91">
            <w:pPr>
              <w:widowControl w:val="0"/>
              <w:adjustRightInd w:val="0"/>
              <w:snapToGrid w:val="0"/>
              <w:spacing w:line="240" w:lineRule="auto"/>
              <w:ind w:firstLine="0" w:firstLineChars="0"/>
              <w:jc w:val="center"/>
              <w:rPr>
                <w:rFonts w:hint="eastAsia" w:eastAsia="宋体"/>
                <w:b/>
                <w:bCs/>
                <w:lang w:val="en-US" w:eastAsia="zh-CN"/>
              </w:rPr>
            </w:pPr>
            <w:r>
              <w:rPr>
                <w:rFonts w:hint="eastAsia"/>
                <w:b/>
                <w:bCs/>
                <w:lang w:val="en-US" w:eastAsia="zh-CN"/>
              </w:rPr>
              <w:t>三期灰库</w:t>
            </w:r>
          </w:p>
        </w:tc>
      </w:tr>
      <w:tr w14:paraId="69B1C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8" w:type="dxa"/>
            <w:vAlign w:val="center"/>
          </w:tcPr>
          <w:p w14:paraId="7B79FBDE">
            <w:pPr>
              <w:widowControl w:val="0"/>
              <w:adjustRightInd w:val="0"/>
              <w:snapToGrid w:val="0"/>
              <w:spacing w:line="240" w:lineRule="auto"/>
              <w:ind w:firstLine="0" w:firstLineChars="0"/>
              <w:jc w:val="center"/>
              <w:rPr>
                <w:rFonts w:hint="eastAsia" w:cs="Times New Roman"/>
                <w:sz w:val="24"/>
                <w:szCs w:val="24"/>
                <w:lang w:val="en-US" w:eastAsia="zh-CN"/>
              </w:rPr>
            </w:pPr>
            <w:r>
              <w:rPr>
                <w:rFonts w:hint="eastAsia" w:eastAsia="宋体"/>
                <w:b/>
                <w:bCs/>
                <w:lang w:eastAsia="zh-CN"/>
              </w:rPr>
              <w:drawing>
                <wp:inline distT="0" distB="0" distL="114300" distR="114300">
                  <wp:extent cx="2648585" cy="1985645"/>
                  <wp:effectExtent l="0" t="0" r="18415" b="14605"/>
                  <wp:docPr id="77" name="图片 77" descr="dd0bf61956374f3cab4dec19ebb5b0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dd0bf61956374f3cab4dec19ebb5b0ab"/>
                          <pic:cNvPicPr>
                            <a:picLocks noChangeAspect="1"/>
                          </pic:cNvPicPr>
                        </pic:nvPicPr>
                        <pic:blipFill>
                          <a:blip r:embed="rId123"/>
                          <a:stretch>
                            <a:fillRect/>
                          </a:stretch>
                        </pic:blipFill>
                        <pic:spPr>
                          <a:xfrm>
                            <a:off x="0" y="0"/>
                            <a:ext cx="2648585" cy="1985645"/>
                          </a:xfrm>
                          <a:prstGeom prst="rect">
                            <a:avLst/>
                          </a:prstGeom>
                        </pic:spPr>
                      </pic:pic>
                    </a:graphicData>
                  </a:graphic>
                </wp:inline>
              </w:drawing>
            </w:r>
          </w:p>
        </w:tc>
        <w:tc>
          <w:tcPr>
            <w:tcW w:w="5181" w:type="dxa"/>
            <w:vAlign w:val="center"/>
          </w:tcPr>
          <w:p w14:paraId="41252A09">
            <w:pPr>
              <w:widowControl w:val="0"/>
              <w:adjustRightInd w:val="0"/>
              <w:snapToGrid w:val="0"/>
              <w:spacing w:line="240" w:lineRule="auto"/>
              <w:ind w:firstLine="0" w:firstLineChars="0"/>
              <w:jc w:val="center"/>
              <w:rPr>
                <w:rFonts w:hint="eastAsia"/>
                <w:b/>
                <w:bCs/>
                <w:lang w:val="en-US" w:eastAsia="zh-CN"/>
              </w:rPr>
            </w:pPr>
            <w:r>
              <w:rPr>
                <w:rFonts w:hint="eastAsia" w:eastAsia="宋体"/>
                <w:b/>
                <w:bCs/>
                <w:lang w:eastAsia="zh-CN"/>
              </w:rPr>
              <w:drawing>
                <wp:inline distT="0" distB="0" distL="114300" distR="114300">
                  <wp:extent cx="1898650" cy="2531745"/>
                  <wp:effectExtent l="0" t="0" r="6350" b="1905"/>
                  <wp:docPr id="78" name="图片 78" descr="d8e9c1788766da0fa585f8e48562da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d8e9c1788766da0fa585f8e48562da15"/>
                          <pic:cNvPicPr>
                            <a:picLocks noChangeAspect="1"/>
                          </pic:cNvPicPr>
                        </pic:nvPicPr>
                        <pic:blipFill>
                          <a:blip r:embed="rId124"/>
                          <a:stretch>
                            <a:fillRect/>
                          </a:stretch>
                        </pic:blipFill>
                        <pic:spPr>
                          <a:xfrm>
                            <a:off x="0" y="0"/>
                            <a:ext cx="1898650" cy="2531745"/>
                          </a:xfrm>
                          <a:prstGeom prst="rect">
                            <a:avLst/>
                          </a:prstGeom>
                        </pic:spPr>
                      </pic:pic>
                    </a:graphicData>
                  </a:graphic>
                </wp:inline>
              </w:drawing>
            </w:r>
          </w:p>
        </w:tc>
        <w:tc>
          <w:tcPr>
            <w:tcW w:w="4641" w:type="dxa"/>
            <w:vAlign w:val="center"/>
          </w:tcPr>
          <w:p w14:paraId="46F816A4">
            <w:pPr>
              <w:widowControl w:val="0"/>
              <w:adjustRightInd w:val="0"/>
              <w:snapToGrid w:val="0"/>
              <w:spacing w:line="240" w:lineRule="auto"/>
              <w:ind w:firstLine="0" w:firstLineChars="0"/>
              <w:jc w:val="center"/>
              <w:rPr>
                <w:rFonts w:hint="eastAsia"/>
                <w:b/>
                <w:bCs/>
                <w:lang w:val="en-US" w:eastAsia="zh-CN"/>
              </w:rPr>
            </w:pPr>
            <w:r>
              <w:rPr>
                <w:rFonts w:hint="eastAsia" w:eastAsia="宋体"/>
                <w:b/>
                <w:bCs/>
                <w:lang w:eastAsia="zh-CN"/>
              </w:rPr>
              <w:drawing>
                <wp:inline distT="0" distB="0" distL="114300" distR="114300">
                  <wp:extent cx="1846580" cy="2461895"/>
                  <wp:effectExtent l="0" t="0" r="1270" b="14605"/>
                  <wp:docPr id="80" name="图片 80" descr="dd6a75d428f9e23193aebda7d39c16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dd6a75d428f9e23193aebda7d39c16fb"/>
                          <pic:cNvPicPr>
                            <a:picLocks noChangeAspect="1"/>
                          </pic:cNvPicPr>
                        </pic:nvPicPr>
                        <pic:blipFill>
                          <a:blip r:embed="rId125"/>
                          <a:stretch>
                            <a:fillRect/>
                          </a:stretch>
                        </pic:blipFill>
                        <pic:spPr>
                          <a:xfrm>
                            <a:off x="0" y="0"/>
                            <a:ext cx="1846580" cy="2461895"/>
                          </a:xfrm>
                          <a:prstGeom prst="rect">
                            <a:avLst/>
                          </a:prstGeom>
                        </pic:spPr>
                      </pic:pic>
                    </a:graphicData>
                  </a:graphic>
                </wp:inline>
              </w:drawing>
            </w:r>
          </w:p>
        </w:tc>
      </w:tr>
      <w:tr w14:paraId="01BBC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8" w:type="dxa"/>
            <w:vAlign w:val="center"/>
          </w:tcPr>
          <w:p w14:paraId="5468684C">
            <w:pPr>
              <w:widowControl w:val="0"/>
              <w:adjustRightInd w:val="0"/>
              <w:snapToGrid w:val="0"/>
              <w:spacing w:line="240" w:lineRule="auto"/>
              <w:ind w:firstLine="0" w:firstLineChars="0"/>
              <w:jc w:val="center"/>
              <w:rPr>
                <w:rFonts w:hint="eastAsia" w:cs="Times New Roman"/>
                <w:sz w:val="24"/>
                <w:szCs w:val="24"/>
                <w:lang w:val="en-US" w:eastAsia="zh-CN"/>
              </w:rPr>
            </w:pPr>
            <w:r>
              <w:rPr>
                <w:rFonts w:hint="eastAsia"/>
                <w:b/>
                <w:bCs/>
                <w:lang w:val="en-US" w:eastAsia="zh-CN"/>
              </w:rPr>
              <w:t>仓顶除尘器</w:t>
            </w:r>
          </w:p>
        </w:tc>
        <w:tc>
          <w:tcPr>
            <w:tcW w:w="5181" w:type="dxa"/>
            <w:vAlign w:val="center"/>
          </w:tcPr>
          <w:p w14:paraId="7ADFEF44">
            <w:pPr>
              <w:widowControl w:val="0"/>
              <w:adjustRightInd w:val="0"/>
              <w:snapToGrid w:val="0"/>
              <w:spacing w:line="240" w:lineRule="auto"/>
              <w:ind w:firstLine="0" w:firstLineChars="0"/>
              <w:jc w:val="center"/>
              <w:rPr>
                <w:rFonts w:hint="eastAsia"/>
                <w:b/>
                <w:bCs/>
                <w:lang w:val="en-US" w:eastAsia="zh-CN"/>
              </w:rPr>
            </w:pPr>
            <w:r>
              <w:rPr>
                <w:rFonts w:hint="eastAsia"/>
                <w:b/>
                <w:bCs/>
                <w:lang w:val="en-US" w:eastAsia="zh-CN"/>
              </w:rPr>
              <w:t>散装机布袋除尘器</w:t>
            </w:r>
          </w:p>
        </w:tc>
        <w:tc>
          <w:tcPr>
            <w:tcW w:w="4641" w:type="dxa"/>
            <w:vAlign w:val="center"/>
          </w:tcPr>
          <w:p w14:paraId="2232D2C8">
            <w:pPr>
              <w:widowControl w:val="0"/>
              <w:adjustRightInd w:val="0"/>
              <w:snapToGrid w:val="0"/>
              <w:spacing w:line="240" w:lineRule="auto"/>
              <w:ind w:firstLine="0" w:firstLineChars="0"/>
              <w:jc w:val="center"/>
              <w:rPr>
                <w:rFonts w:hint="eastAsia"/>
                <w:b/>
                <w:bCs/>
                <w:lang w:val="en-US" w:eastAsia="zh-CN"/>
              </w:rPr>
            </w:pPr>
            <w:r>
              <w:rPr>
                <w:rFonts w:hint="eastAsia"/>
                <w:b/>
                <w:bCs/>
              </w:rPr>
              <w:t>工程师现场踏勘照</w:t>
            </w:r>
          </w:p>
        </w:tc>
      </w:tr>
    </w:tbl>
    <w:p w14:paraId="7719BEAF">
      <w:pPr>
        <w:widowControl w:val="0"/>
        <w:numPr>
          <w:ilvl w:val="1"/>
          <w:numId w:val="34"/>
        </w:numPr>
        <w:adjustRightInd w:val="0"/>
        <w:snapToGrid w:val="0"/>
        <w:ind w:left="0" w:firstLine="0" w:firstLineChars="0"/>
        <w:jc w:val="center"/>
        <w:outlineLvl w:val="0"/>
        <w:rPr>
          <w:b/>
          <w:bCs/>
          <w:sz w:val="28"/>
          <w:szCs w:val="28"/>
        </w:rPr>
      </w:pPr>
      <w:bookmarkStart w:id="234" w:name="_Toc14675"/>
      <w:r>
        <w:rPr>
          <w:rFonts w:hint="eastAsia"/>
          <w:b/>
          <w:bCs/>
          <w:sz w:val="28"/>
          <w:szCs w:val="28"/>
        </w:rPr>
        <w:t>项目现场图</w:t>
      </w:r>
      <w:bookmarkEnd w:id="234"/>
    </w:p>
    <w:sectPr>
      <w:pgSz w:w="16840" w:h="11905" w:orient="landscape"/>
      <w:pgMar w:top="1701" w:right="1418" w:bottom="1418" w:left="1418" w:header="851" w:footer="992" w:gutter="0"/>
      <w:pgBorders>
        <w:top w:val="none" w:sz="0" w:space="0"/>
        <w:left w:val="none" w:sz="0" w:space="0"/>
        <w:bottom w:val="none" w:sz="0" w:space="0"/>
        <w:right w:val="none" w:sz="0" w:space="0"/>
      </w:pgBorders>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FE04A4A-494E-4F65-A7FB-F136982E1014}"/>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125CF0A7-FED7-402B-B2C1-A3CD68BCB3C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3" w:fontKey="{4AF4F564-63BC-436D-A15B-81925A93071B}"/>
  </w:font>
  <w:font w:name="等线">
    <w:panose1 w:val="02010600030101010101"/>
    <w:charset w:val="86"/>
    <w:family w:val="auto"/>
    <w:pitch w:val="default"/>
    <w:sig w:usb0="A00002BF" w:usb1="38CF7CFA" w:usb2="00000016" w:usb3="00000000" w:csb0="0004000F" w:csb1="00000000"/>
    <w:embedRegular r:id="rId4" w:fontKey="{59E0923A-7F57-4F05-ABC0-B6B8B3A28F19}"/>
  </w:font>
  <w:font w:name="MingLiU">
    <w:panose1 w:val="02010609000101010101"/>
    <w:charset w:val="88"/>
    <w:family w:val="modern"/>
    <w:pitch w:val="default"/>
    <w:sig w:usb0="80000001" w:usb1="28091800" w:usb2="00000016" w:usb3="00000000" w:csb0="00100001" w:csb1="00000000"/>
  </w:font>
  <w:font w:name="Arial Unicode MS">
    <w:altName w:val="宋体"/>
    <w:panose1 w:val="020B0604020202020204"/>
    <w:charset w:val="86"/>
    <w:family w:val="swiss"/>
    <w:pitch w:val="default"/>
    <w:sig w:usb0="00000000" w:usb1="00000000" w:usb2="0000003F" w:usb3="00000000" w:csb0="603F01FF" w:csb1="FFFF0000"/>
  </w:font>
  <w:font w:name="Microsoft YaHei UI">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Courier">
    <w:altName w:val="Courier New"/>
    <w:panose1 w:val="02070409020205020404"/>
    <w:charset w:val="00"/>
    <w:family w:val="modern"/>
    <w:pitch w:val="default"/>
    <w:sig w:usb0="00000000" w:usb1="00000000" w:usb2="00000000" w:usb3="00000000" w:csb0="00000001" w:csb1="00000000"/>
  </w:font>
  <w:font w:name="TimesNewRomanPSMT">
    <w:altName w:val="等线"/>
    <w:panose1 w:val="00000000000000000000"/>
    <w:charset w:val="00"/>
    <w:family w:val="roman"/>
    <w:pitch w:val="default"/>
    <w:sig w:usb0="00000000" w:usb1="00000000" w:usb2="00000010" w:usb3="00000000" w:csb0="00040001" w:csb1="00000000"/>
  </w:font>
  <w:font w:name="Arial Black">
    <w:panose1 w:val="020B0A04020102020204"/>
    <w:charset w:val="00"/>
    <w:family w:val="swiss"/>
    <w:pitch w:val="default"/>
    <w:sig w:usb0="A00002AF" w:usb1="400078FB" w:usb2="00000000" w:usb3="00000000" w:csb0="6000009F" w:csb1="DFD70000"/>
  </w:font>
  <w:font w:name="等线 Light">
    <w:panose1 w:val="02010600030101010101"/>
    <w:charset w:val="86"/>
    <w:family w:val="auto"/>
    <w:pitch w:val="default"/>
    <w:sig w:usb0="A00002BF" w:usb1="38CF7CFA" w:usb2="00000016" w:usb3="00000000" w:csb0="0004000F" w:csb1="00000000"/>
  </w:font>
  <w:font w:name="Noto Sans CJK JP Black">
    <w:altName w:val="Arial"/>
    <w:panose1 w:val="00000000000000000000"/>
    <w:charset w:val="00"/>
    <w:family w:val="swiss"/>
    <w:pitch w:val="default"/>
    <w:sig w:usb0="00000000" w:usb1="00000000" w:usb2="00000000" w:usb3="00000000" w:csb0="00000000" w:csb1="00000000"/>
  </w:font>
  <w:font w:name="MS Mincho">
    <w:altName w:val="MS UI Gothic"/>
    <w:panose1 w:val="02020609040205080304"/>
    <w:charset w:val="80"/>
    <w:family w:val="modern"/>
    <w:pitch w:val="default"/>
    <w:sig w:usb0="00000000" w:usb1="00000000" w:usb2="08000012" w:usb3="00000000" w:csb0="4002009F" w:csb1="DFD70000"/>
  </w:font>
  <w:font w:name="仿宋">
    <w:panose1 w:val="02010609060101010101"/>
    <w:charset w:val="86"/>
    <w:family w:val="modern"/>
    <w:pitch w:val="default"/>
    <w:sig w:usb0="800002BF" w:usb1="38CF7CFA" w:usb2="00000016" w:usb3="00000000" w:csb0="00040001" w:csb1="00000000"/>
    <w:embedRegular r:id="rId5" w:fontKey="{BFF05F56-EAEE-43AA-91AF-2BA54C4B8BAB}"/>
  </w:font>
  <w:font w:name="大黑体">
    <w:altName w:val="宋体"/>
    <w:panose1 w:val="00000000000000000000"/>
    <w:charset w:val="86"/>
    <w:family w:val="roman"/>
    <w:pitch w:val="default"/>
    <w:sig w:usb0="00000000" w:usb1="00000000" w:usb2="00000000" w:usb3="00000000" w:csb0="00040001" w:csb1="00000000"/>
  </w:font>
  <w:font w:name="Bookman Old Style">
    <w:panose1 w:val="02050604050505020204"/>
    <w:charset w:val="00"/>
    <w:family w:val="roman"/>
    <w:pitch w:val="default"/>
    <w:sig w:usb0="00000287" w:usb1="00000000" w:usb2="00000000" w:usb3="00000000" w:csb0="2000009F" w:csb1="DFD70000"/>
  </w:font>
  <w:font w:name="方正小标宋_GBK">
    <w:panose1 w:val="02000000000000000000"/>
    <w:charset w:val="86"/>
    <w:family w:val="script"/>
    <w:pitch w:val="default"/>
    <w:sig w:usb0="A00002BF" w:usb1="38CF7CFA" w:usb2="00082016" w:usb3="00000000" w:csb0="00040001" w:csb1="00000000"/>
    <w:embedRegular r:id="rId6" w:fontKey="{FD565318-D319-4082-8737-D35458128B03}"/>
  </w:font>
  <w:font w:name="楷体_GB2312">
    <w:panose1 w:val="02010609030101010101"/>
    <w:charset w:val="86"/>
    <w:family w:val="modern"/>
    <w:pitch w:val="default"/>
    <w:sig w:usb0="00000001" w:usb1="080E0000" w:usb2="00000000" w:usb3="00000000" w:csb0="00040000" w:csb1="00000000"/>
    <w:embedRegular r:id="rId7" w:fontKey="{4CDE25C6-5910-4184-A47E-169C9E181926}"/>
  </w:font>
  <w:font w:name="Segoe UI">
    <w:panose1 w:val="020B0502040204020203"/>
    <w:charset w:val="00"/>
    <w:family w:val="auto"/>
    <w:pitch w:val="default"/>
    <w:sig w:usb0="E4002EFF" w:usb1="C000E47F" w:usb2="00000009" w:usb3="00000000" w:csb0="200001FF" w:csb1="00000000"/>
    <w:embedRegular r:id="rId8" w:fontKey="{EC157B9C-AE95-4CF1-9D02-9A67989C39CF}"/>
  </w:font>
  <w:font w:name="微软雅黑">
    <w:panose1 w:val="020B0503020204020204"/>
    <w:charset w:val="86"/>
    <w:family w:val="swiss"/>
    <w:pitch w:val="default"/>
    <w:sig w:usb0="80000287" w:usb1="2ACF3C50" w:usb2="00000016" w:usb3="00000000" w:csb0="0004001F" w:csb1="00000000"/>
    <w:embedRegular r:id="rId9" w:fontKey="{2F27CD22-73BC-4E36-99AE-80B4F24B6F65}"/>
  </w:font>
  <w:font w:name="WPSEMBED1">
    <w:panose1 w:val="02000000000000000000"/>
    <w:charset w:val="86"/>
    <w:family w:val="auto"/>
    <w:pitch w:val="default"/>
    <w:sig w:usb0="A00002BF" w:usb1="38CF7CFA" w:usb2="00082016" w:usb3="00000000" w:csb0="00040001" w:csb1="00000000"/>
  </w:font>
  <w:font w:name="KSOF7FC4CF2A">
    <w:panose1 w:val="020B0604020202020204"/>
    <w:charset w:val="00"/>
    <w:family w:val="auto"/>
    <w:pitch w:val="default"/>
    <w:sig w:usb0="00000001" w:usb1="00000000" w:usb2="00000000" w:usb3="00000000" w:csb0="00000001" w:csb1="00000000"/>
  </w:font>
  <w:font w:name="Tahoma">
    <w:panose1 w:val="020B0604030504040204"/>
    <w:charset w:val="00"/>
    <w:family w:val="auto"/>
    <w:pitch w:val="default"/>
    <w:sig w:usb0="E1002EFF" w:usb1="C000605B" w:usb2="00000029" w:usb3="00000000" w:csb0="200101FF" w:csb1="2028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14868">
    <w:pPr>
      <w:pStyle w:val="1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D7052">
    <w:pPr>
      <w:pStyle w:val="1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2A4C8">
    <w:pPr>
      <w:pStyle w:val="1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D4164">
    <w:pPr>
      <w:pStyle w:val="18"/>
      <w:ind w:firstLine="0" w:firstLineChars="0"/>
      <w:rPr>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1EACCC">
                          <w:pPr>
                            <w:pStyle w:val="18"/>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57ZuItAgAAVw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57ZuItAgAAVwQAAA4AAAAAAAAAAQAgAAAAHwEAAGRycy9lMm9Eb2MueG1sUEsFBgAAAAAG&#10;AAYAWQEAAL4FAAAAAA==&#10;">
              <v:fill on="f" focussize="0,0"/>
              <v:stroke on="f" weight="0.5pt"/>
              <v:imagedata o:title=""/>
              <o:lock v:ext="edit" aspectratio="f"/>
              <v:textbox inset="0mm,0mm,0mm,0mm" style="mso-fit-shape-to-text:t;">
                <w:txbxContent>
                  <w:p w14:paraId="651EACCC">
                    <w:pPr>
                      <w:pStyle w:val="18"/>
                      <w:ind w:firstLine="360"/>
                    </w:pPr>
                    <w:r>
                      <w:fldChar w:fldCharType="begin"/>
                    </w:r>
                    <w:r>
                      <w:instrText xml:space="preserve"> PAGE  \* MERGEFORMAT </w:instrText>
                    </w:r>
                    <w:r>
                      <w:fldChar w:fldCharType="separate"/>
                    </w:r>
                    <w:r>
                      <w:t>1</w:t>
                    </w:r>
                    <w:r>
                      <w:fldChar w:fldCharType="end"/>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54822A">
                          <w:pPr>
                            <w:pStyle w:val="18"/>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4A54822A">
                    <w:pPr>
                      <w:pStyle w:val="18"/>
                      <w:ind w:firstLine="360"/>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4140312"/>
    </w:sdtPr>
    <w:sdtContent>
      <w:p w14:paraId="15C5B582">
        <w:pPr>
          <w:pStyle w:val="18"/>
          <w:ind w:firstLine="360"/>
          <w:jc w:val="center"/>
        </w:pPr>
        <w:r>
          <w:fldChar w:fldCharType="begin"/>
        </w:r>
        <w:r>
          <w:instrText xml:space="preserve">PAGE   \* MERGEFORMAT</w:instrText>
        </w:r>
        <w:r>
          <w:fldChar w:fldCharType="separate"/>
        </w:r>
        <w:r>
          <w:rPr>
            <w:lang w:val="zh-CN"/>
          </w:rPr>
          <w:t>2</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1592980"/>
    </w:sdtPr>
    <w:sdtContent>
      <w:p w14:paraId="58D5E38D">
        <w:pPr>
          <w:pStyle w:val="18"/>
          <w:ind w:firstLine="360"/>
          <w:jc w:val="center"/>
        </w:pPr>
        <w:r>
          <w:fldChar w:fldCharType="begin"/>
        </w:r>
        <w:r>
          <w:instrText xml:space="preserve">PAGE   \* MERGEFORMAT</w:instrText>
        </w:r>
        <w:r>
          <w:fldChar w:fldCharType="separate"/>
        </w:r>
        <w:r>
          <w:rPr>
            <w:lang w:val="zh-CN"/>
          </w:rPr>
          <w:t>2</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EC3B0">
    <w:pPr>
      <w:pStyle w:val="18"/>
      <w:ind w:firstLine="0" w:firstLineChars="0"/>
      <w:rPr>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EB32DA">
                          <w:pPr>
                            <w:pStyle w:val="18"/>
                            <w:ind w:firstLine="360"/>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06EB32DA">
                    <w:pPr>
                      <w:pStyle w:val="18"/>
                      <w:ind w:firstLine="360"/>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E51B8">
    <w:pPr>
      <w:pStyle w:val="18"/>
      <w:framePr w:wrap="around" w:vAnchor="text" w:hAnchor="margin" w:xAlign="center" w:y="1"/>
      <w:ind w:firstLine="360"/>
      <w:rPr>
        <w:rStyle w:val="36"/>
      </w:rPr>
    </w:pPr>
    <w:r>
      <w:fldChar w:fldCharType="begin"/>
    </w:r>
    <w:r>
      <w:rPr>
        <w:rStyle w:val="36"/>
      </w:rPr>
      <w:instrText xml:space="preserve">PAGE  </w:instrText>
    </w:r>
    <w:r>
      <w:fldChar w:fldCharType="end"/>
    </w:r>
  </w:p>
  <w:p w14:paraId="58B6B907">
    <w:pPr>
      <w:pStyle w:val="18"/>
      <w:ind w:firstLine="360"/>
    </w:pPr>
  </w:p>
  <w:p w14:paraId="6DB7CA1E">
    <w:pPr>
      <w:ind w:firstLine="48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14DE1">
    <w:pPr>
      <w:pStyle w:val="18"/>
      <w:ind w:firstLine="400"/>
      <w:rPr>
        <w:sz w:val="20"/>
        <w:szCs w:val="20"/>
      </w:rPr>
    </w:pPr>
    <w:r>
      <w:rPr>
        <w:sz w:val="20"/>
        <w:szCs w:val="20"/>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307251">
                          <w:pPr>
                            <w:pStyle w:val="18"/>
                            <w:ind w:firstLine="360"/>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vE67A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FJJopVPz04/vp&#10;58Pp1zeCMwjUWj9D3L1FZOjemQ5tM5x7HEbeXeVU/IIRgR9Yx4u8oguEx0vTyXSaw8XhGzbAzx6v&#10;W+fDe2EUiUZBHeqXZGWHjQ996BASs2mzbqRMNZSatAW9ev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e8TrsCwCAABXBAAADgAAAAAAAAABACAAAAAfAQAAZHJzL2Uyb0RvYy54bWxQSwUGAAAAAAYA&#10;BgBZAQAAvQUAAAAA&#10;">
              <v:fill on="f" focussize="0,0"/>
              <v:stroke on="f" weight="0.5pt"/>
              <v:imagedata o:title=""/>
              <o:lock v:ext="edit" aspectratio="f"/>
              <v:textbox inset="0mm,0mm,0mm,0mm" style="mso-fit-shape-to-text:t;">
                <w:txbxContent>
                  <w:p w14:paraId="57307251">
                    <w:pPr>
                      <w:pStyle w:val="18"/>
                      <w:ind w:firstLine="360"/>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69298">
    <w:pPr>
      <w:pStyle w:val="19"/>
      <w:pBdr>
        <w:bottom w:val="none" w:color="auto" w:sz="0" w:space="1"/>
      </w:pBdr>
      <w:ind w:firstLine="36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C628D">
    <w:pPr>
      <w:pStyle w:val="1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E422F">
    <w:pPr>
      <w:pStyle w:val="1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7E0A0">
    <w:pPr>
      <w:pStyle w:val="19"/>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F9D6E">
    <w:pPr>
      <w:pStyle w:val="19"/>
      <w:ind w:firstLine="360"/>
      <w:jc w:val="right"/>
      <w:rPr>
        <w:rFonts w:hint="default" w:eastAsia="宋体"/>
        <w:lang w:val="en-US" w:eastAsia="zh-CN"/>
      </w:rPr>
    </w:pPr>
    <w:r>
      <w:rPr>
        <w:rFonts w:hint="eastAsia"/>
        <w:sz w:val="21"/>
        <w:szCs w:val="21"/>
        <w:lang w:val="en-US" w:eastAsia="zh-CN"/>
      </w:rPr>
      <w:t>90万吨/年粉煤灰分级综合利用建设项目环境影响报告表</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228F7">
    <w:pPr>
      <w:pStyle w:val="19"/>
      <w:pBdr>
        <w:bottom w:val="single" w:color="auto" w:sz="4" w:space="1"/>
      </w:pBdr>
      <w:ind w:firstLine="360"/>
      <w:jc w:val="right"/>
    </w:pPr>
    <w:r>
      <w:rPr>
        <w:rFonts w:hint="eastAsia"/>
        <w:sz w:val="21"/>
        <w:szCs w:val="21"/>
        <w:lang w:val="en-US" w:eastAsia="zh-CN"/>
      </w:rPr>
      <w:t>年综合利用90万吨粉煤灰建设项目环境影响报告表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A4139"/>
    <w:multiLevelType w:val="multilevel"/>
    <w:tmpl w:val="817A4139"/>
    <w:lvl w:ilvl="0" w:tentative="0">
      <w:start w:val="1"/>
      <w:numFmt w:val="decimal"/>
      <w:pStyle w:val="379"/>
      <w:suff w:val="space"/>
      <w:lvlText w:val="表4-%1"/>
      <w:lvlJc w:val="center"/>
      <w:pPr>
        <w:tabs>
          <w:tab w:val="left" w:pos="0"/>
        </w:tabs>
        <w:ind w:left="0" w:firstLine="0"/>
      </w:pPr>
      <w:rPr>
        <w:rFonts w:hint="default" w:ascii="Times New Roman" w:hAnsi="Times New Roman" w:eastAsia="宋体" w:cs="宋体"/>
        <w:b/>
        <w:bCs/>
        <w:snapToGrid w:val="0"/>
        <w:sz w:val="24"/>
        <w:szCs w:val="24"/>
      </w:rPr>
    </w:lvl>
    <w:lvl w:ilvl="1" w:tentative="0">
      <w:start w:val="1"/>
      <w:numFmt w:val="lowerLetter"/>
      <w:lvlText w:val="%2)"/>
      <w:lvlJc w:val="left"/>
      <w:pPr>
        <w:ind w:left="3392" w:hanging="420"/>
      </w:pPr>
      <w:rPr>
        <w:rFonts w:hint="default" w:ascii="宋体" w:hAnsi="宋体" w:eastAsia="宋体" w:cs="宋体"/>
      </w:rPr>
    </w:lvl>
    <w:lvl w:ilvl="2" w:tentative="0">
      <w:start w:val="1"/>
      <w:numFmt w:val="lowerRoman"/>
      <w:lvlText w:val="%3."/>
      <w:lvlJc w:val="right"/>
      <w:pPr>
        <w:ind w:left="3812" w:hanging="420"/>
      </w:pPr>
    </w:lvl>
    <w:lvl w:ilvl="3" w:tentative="0">
      <w:start w:val="1"/>
      <w:numFmt w:val="decimal"/>
      <w:lvlText w:val="%4."/>
      <w:lvlJc w:val="left"/>
      <w:pPr>
        <w:ind w:left="4232" w:hanging="420"/>
      </w:pPr>
    </w:lvl>
    <w:lvl w:ilvl="4" w:tentative="0">
      <w:start w:val="1"/>
      <w:numFmt w:val="lowerLetter"/>
      <w:lvlText w:val="%5)"/>
      <w:lvlJc w:val="left"/>
      <w:pPr>
        <w:ind w:left="4652" w:hanging="420"/>
      </w:pPr>
    </w:lvl>
    <w:lvl w:ilvl="5" w:tentative="0">
      <w:start w:val="1"/>
      <w:numFmt w:val="lowerRoman"/>
      <w:lvlText w:val="%6."/>
      <w:lvlJc w:val="right"/>
      <w:pPr>
        <w:ind w:left="5072" w:hanging="420"/>
      </w:pPr>
    </w:lvl>
    <w:lvl w:ilvl="6" w:tentative="0">
      <w:start w:val="1"/>
      <w:numFmt w:val="decimal"/>
      <w:lvlText w:val="%7."/>
      <w:lvlJc w:val="left"/>
      <w:pPr>
        <w:ind w:left="5492" w:hanging="420"/>
      </w:pPr>
    </w:lvl>
    <w:lvl w:ilvl="7" w:tentative="0">
      <w:start w:val="1"/>
      <w:numFmt w:val="lowerLetter"/>
      <w:lvlText w:val="%8)"/>
      <w:lvlJc w:val="left"/>
      <w:pPr>
        <w:ind w:left="5912" w:hanging="420"/>
      </w:pPr>
    </w:lvl>
    <w:lvl w:ilvl="8" w:tentative="0">
      <w:start w:val="1"/>
      <w:numFmt w:val="lowerRoman"/>
      <w:lvlText w:val="%9."/>
      <w:lvlJc w:val="right"/>
      <w:pPr>
        <w:ind w:left="6332" w:hanging="420"/>
      </w:pPr>
    </w:lvl>
  </w:abstractNum>
  <w:abstractNum w:abstractNumId="1">
    <w:nsid w:val="97B18D13"/>
    <w:multiLevelType w:val="multilevel"/>
    <w:tmpl w:val="97B18D13"/>
    <w:lvl w:ilvl="0" w:tentative="0">
      <w:start w:val="1"/>
      <w:numFmt w:val="decimal"/>
      <w:suff w:val="space"/>
      <w:lvlText w:val="表2-%1"/>
      <w:lvlJc w:val="center"/>
      <w:pPr>
        <w:tabs>
          <w:tab w:val="left" w:pos="0"/>
        </w:tabs>
        <w:ind w:left="0" w:firstLine="0"/>
      </w:pPr>
      <w:rPr>
        <w:rFonts w:hint="default" w:ascii="Times New Roman" w:hAnsi="Times New Roman" w:eastAsia="宋体" w:cs="宋体"/>
        <w:b/>
        <w:bCs/>
        <w:snapToGrid w:val="0"/>
        <w:sz w:val="24"/>
        <w:szCs w:val="24"/>
        <w:highlight w:val="none"/>
      </w:rPr>
    </w:lvl>
    <w:lvl w:ilvl="1" w:tentative="0">
      <w:start w:val="1"/>
      <w:numFmt w:val="lowerLetter"/>
      <w:lvlText w:val="%2)"/>
      <w:lvlJc w:val="left"/>
      <w:pPr>
        <w:ind w:left="3392" w:hanging="420"/>
      </w:pPr>
      <w:rPr>
        <w:rFonts w:hint="default" w:ascii="宋体" w:hAnsi="宋体" w:eastAsia="宋体" w:cs="宋体"/>
      </w:rPr>
    </w:lvl>
    <w:lvl w:ilvl="2" w:tentative="0">
      <w:start w:val="1"/>
      <w:numFmt w:val="lowerRoman"/>
      <w:lvlText w:val="%3."/>
      <w:lvlJc w:val="right"/>
      <w:pPr>
        <w:ind w:left="3812" w:hanging="420"/>
      </w:pPr>
    </w:lvl>
    <w:lvl w:ilvl="3" w:tentative="0">
      <w:start w:val="1"/>
      <w:numFmt w:val="decimal"/>
      <w:lvlText w:val="%4."/>
      <w:lvlJc w:val="left"/>
      <w:pPr>
        <w:ind w:left="4232" w:hanging="420"/>
      </w:pPr>
    </w:lvl>
    <w:lvl w:ilvl="4" w:tentative="0">
      <w:start w:val="1"/>
      <w:numFmt w:val="lowerLetter"/>
      <w:lvlText w:val="%5)"/>
      <w:lvlJc w:val="left"/>
      <w:pPr>
        <w:ind w:left="4652" w:hanging="420"/>
      </w:pPr>
    </w:lvl>
    <w:lvl w:ilvl="5" w:tentative="0">
      <w:start w:val="1"/>
      <w:numFmt w:val="lowerRoman"/>
      <w:lvlText w:val="%6."/>
      <w:lvlJc w:val="right"/>
      <w:pPr>
        <w:ind w:left="5072" w:hanging="420"/>
      </w:pPr>
    </w:lvl>
    <w:lvl w:ilvl="6" w:tentative="0">
      <w:start w:val="1"/>
      <w:numFmt w:val="decimal"/>
      <w:lvlText w:val="%7."/>
      <w:lvlJc w:val="left"/>
      <w:pPr>
        <w:ind w:left="5492" w:hanging="420"/>
      </w:pPr>
    </w:lvl>
    <w:lvl w:ilvl="7" w:tentative="0">
      <w:start w:val="1"/>
      <w:numFmt w:val="lowerLetter"/>
      <w:lvlText w:val="%8)"/>
      <w:lvlJc w:val="left"/>
      <w:pPr>
        <w:ind w:left="5912" w:hanging="420"/>
      </w:pPr>
    </w:lvl>
    <w:lvl w:ilvl="8" w:tentative="0">
      <w:start w:val="1"/>
      <w:numFmt w:val="lowerRoman"/>
      <w:lvlText w:val="%9."/>
      <w:lvlJc w:val="right"/>
      <w:pPr>
        <w:ind w:left="6332" w:hanging="420"/>
      </w:pPr>
    </w:lvl>
  </w:abstractNum>
  <w:abstractNum w:abstractNumId="2">
    <w:nsid w:val="B177FE06"/>
    <w:multiLevelType w:val="multilevel"/>
    <w:tmpl w:val="B177FE06"/>
    <w:lvl w:ilvl="0" w:tentative="0">
      <w:start w:val="1"/>
      <w:numFmt w:val="decimal"/>
      <w:lvlText w:val="附件%1"/>
      <w:lvlJc w:val="left"/>
      <w:pPr>
        <w:ind w:left="900" w:hanging="420"/>
      </w:pPr>
      <w:rPr>
        <w:rFonts w:hint="eastAsia"/>
      </w:rPr>
    </w:lvl>
    <w:lvl w:ilvl="1" w:tentative="0">
      <w:start w:val="1"/>
      <w:numFmt w:val="decimal"/>
      <w:lvlText w:val="附图%2"/>
      <w:lvlJc w:val="left"/>
      <w:pPr>
        <w:tabs>
          <w:tab w:val="left" w:pos="420"/>
        </w:tabs>
        <w:ind w:left="6840" w:hanging="420"/>
      </w:pPr>
      <w:rPr>
        <w:rFonts w:hint="default"/>
        <w:sz w:val="28"/>
        <w:szCs w:val="28"/>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B7EBF014"/>
    <w:multiLevelType w:val="singleLevel"/>
    <w:tmpl w:val="B7EBF014"/>
    <w:lvl w:ilvl="0" w:tentative="0">
      <w:start w:val="1"/>
      <w:numFmt w:val="decimal"/>
      <w:suff w:val="nothing"/>
      <w:lvlText w:val="%1、"/>
      <w:lvlJc w:val="left"/>
    </w:lvl>
  </w:abstractNum>
  <w:abstractNum w:abstractNumId="4">
    <w:nsid w:val="BA57EB3C"/>
    <w:multiLevelType w:val="singleLevel"/>
    <w:tmpl w:val="BA57EB3C"/>
    <w:lvl w:ilvl="0" w:tentative="0">
      <w:start w:val="4"/>
      <w:numFmt w:val="chineseCounting"/>
      <w:suff w:val="nothing"/>
      <w:lvlText w:val="（%1）"/>
      <w:lvlJc w:val="left"/>
      <w:rPr>
        <w:rFonts w:hint="eastAsia"/>
      </w:rPr>
    </w:lvl>
  </w:abstractNum>
  <w:abstractNum w:abstractNumId="5">
    <w:nsid w:val="C57A824F"/>
    <w:multiLevelType w:val="singleLevel"/>
    <w:tmpl w:val="C57A824F"/>
    <w:lvl w:ilvl="0" w:tentative="0">
      <w:start w:val="11"/>
      <w:numFmt w:val="chineseCounting"/>
      <w:suff w:val="nothing"/>
      <w:lvlText w:val="（%1）"/>
      <w:lvlJc w:val="left"/>
      <w:rPr>
        <w:rFonts w:hint="eastAsia"/>
      </w:rPr>
    </w:lvl>
  </w:abstractNum>
  <w:abstractNum w:abstractNumId="6">
    <w:nsid w:val="CEEC0BF8"/>
    <w:multiLevelType w:val="singleLevel"/>
    <w:tmpl w:val="CEEC0BF8"/>
    <w:lvl w:ilvl="0" w:tentative="0">
      <w:start w:val="1"/>
      <w:numFmt w:val="chineseCounting"/>
      <w:suff w:val="nothing"/>
      <w:lvlText w:val="（%1）"/>
      <w:lvlJc w:val="left"/>
      <w:pPr>
        <w:ind w:left="0" w:firstLine="420"/>
      </w:pPr>
      <w:rPr>
        <w:rFonts w:hint="eastAsia"/>
      </w:rPr>
    </w:lvl>
  </w:abstractNum>
  <w:abstractNum w:abstractNumId="7">
    <w:nsid w:val="D07A9565"/>
    <w:multiLevelType w:val="singleLevel"/>
    <w:tmpl w:val="D07A9565"/>
    <w:lvl w:ilvl="0" w:tentative="0">
      <w:start w:val="1"/>
      <w:numFmt w:val="decimal"/>
      <w:suff w:val="space"/>
      <w:lvlText w:val="%1."/>
      <w:lvlJc w:val="left"/>
      <w:pPr>
        <w:ind w:left="0" w:firstLine="0"/>
      </w:pPr>
      <w:rPr>
        <w:rFonts w:hint="default"/>
        <w:sz w:val="28"/>
        <w:szCs w:val="28"/>
      </w:rPr>
    </w:lvl>
  </w:abstractNum>
  <w:abstractNum w:abstractNumId="8">
    <w:nsid w:val="F2E4078D"/>
    <w:multiLevelType w:val="multilevel"/>
    <w:tmpl w:val="F2E4078D"/>
    <w:lvl w:ilvl="0" w:tentative="0">
      <w:start w:val="1"/>
      <w:numFmt w:val="decimal"/>
      <w:suff w:val="space"/>
      <w:lvlText w:val="表1-%1"/>
      <w:lvlJc w:val="center"/>
      <w:pPr>
        <w:ind w:left="0" w:firstLine="0"/>
      </w:pPr>
      <w:rPr>
        <w:rFonts w:hint="default" w:ascii="Times New Roman" w:hAnsi="Times New Roman" w:eastAsia="宋体" w:cs="Times New Roman"/>
        <w:b/>
        <w:bCs/>
        <w:snapToGrid w:val="0"/>
        <w:sz w:val="24"/>
        <w:szCs w:val="24"/>
      </w:rPr>
    </w:lvl>
    <w:lvl w:ilvl="1" w:tentative="0">
      <w:start w:val="1"/>
      <w:numFmt w:val="lowerLetter"/>
      <w:lvlText w:val="%2)"/>
      <w:lvlJc w:val="left"/>
      <w:pPr>
        <w:ind w:left="3392" w:hanging="420"/>
      </w:pPr>
    </w:lvl>
    <w:lvl w:ilvl="2" w:tentative="0">
      <w:start w:val="1"/>
      <w:numFmt w:val="lowerRoman"/>
      <w:lvlText w:val="%3."/>
      <w:lvlJc w:val="right"/>
      <w:pPr>
        <w:ind w:left="3812" w:hanging="420"/>
      </w:pPr>
    </w:lvl>
    <w:lvl w:ilvl="3" w:tentative="0">
      <w:start w:val="1"/>
      <w:numFmt w:val="decimal"/>
      <w:lvlText w:val="%4."/>
      <w:lvlJc w:val="left"/>
      <w:pPr>
        <w:ind w:left="4232" w:hanging="420"/>
      </w:pPr>
    </w:lvl>
    <w:lvl w:ilvl="4" w:tentative="0">
      <w:start w:val="1"/>
      <w:numFmt w:val="lowerLetter"/>
      <w:lvlText w:val="%5)"/>
      <w:lvlJc w:val="left"/>
      <w:pPr>
        <w:ind w:left="4652" w:hanging="420"/>
      </w:pPr>
    </w:lvl>
    <w:lvl w:ilvl="5" w:tentative="0">
      <w:start w:val="1"/>
      <w:numFmt w:val="lowerRoman"/>
      <w:lvlText w:val="%6."/>
      <w:lvlJc w:val="right"/>
      <w:pPr>
        <w:ind w:left="5072" w:hanging="420"/>
      </w:pPr>
    </w:lvl>
    <w:lvl w:ilvl="6" w:tentative="0">
      <w:start w:val="1"/>
      <w:numFmt w:val="decimal"/>
      <w:lvlText w:val="%7."/>
      <w:lvlJc w:val="left"/>
      <w:pPr>
        <w:ind w:left="5492" w:hanging="420"/>
      </w:pPr>
    </w:lvl>
    <w:lvl w:ilvl="7" w:tentative="0">
      <w:start w:val="1"/>
      <w:numFmt w:val="lowerLetter"/>
      <w:lvlText w:val="%8)"/>
      <w:lvlJc w:val="left"/>
      <w:pPr>
        <w:ind w:left="5912" w:hanging="420"/>
      </w:pPr>
    </w:lvl>
    <w:lvl w:ilvl="8" w:tentative="0">
      <w:start w:val="1"/>
      <w:numFmt w:val="lowerRoman"/>
      <w:lvlText w:val="%9."/>
      <w:lvlJc w:val="right"/>
      <w:pPr>
        <w:ind w:left="6332" w:hanging="420"/>
      </w:pPr>
    </w:lvl>
  </w:abstractNum>
  <w:abstractNum w:abstractNumId="9">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57"/>
      <w:lvlText w:val="%3."/>
      <w:lvlJc w:val="right"/>
      <w:pPr>
        <w:tabs>
          <w:tab w:val="left" w:pos="1260"/>
        </w:tabs>
        <w:ind w:left="1260" w:hanging="420"/>
      </w:pPr>
    </w:lvl>
    <w:lvl w:ilvl="3" w:tentative="0">
      <w:start w:val="1"/>
      <w:numFmt w:val="decimal"/>
      <w:pStyle w:val="356"/>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CE2342"/>
    <w:multiLevelType w:val="singleLevel"/>
    <w:tmpl w:val="00CE2342"/>
    <w:lvl w:ilvl="0" w:tentative="0">
      <w:start w:val="1"/>
      <w:numFmt w:val="decimal"/>
      <w:lvlText w:val="%1."/>
      <w:lvlJc w:val="left"/>
      <w:pPr>
        <w:ind w:left="425" w:hanging="425"/>
      </w:pPr>
      <w:rPr>
        <w:rFonts w:hint="default"/>
        <w:sz w:val="24"/>
        <w:szCs w:val="24"/>
      </w:rPr>
    </w:lvl>
  </w:abstractNum>
  <w:abstractNum w:abstractNumId="11">
    <w:nsid w:val="04CD5844"/>
    <w:multiLevelType w:val="multilevel"/>
    <w:tmpl w:val="04CD5844"/>
    <w:lvl w:ilvl="0" w:tentative="0">
      <w:start w:val="1"/>
      <w:numFmt w:val="decimal"/>
      <w:lvlText w:val="第%1章"/>
      <w:lvlJc w:val="left"/>
      <w:pPr>
        <w:ind w:left="-56" w:firstLine="0"/>
      </w:pPr>
      <w:rPr>
        <w:rFonts w:hint="default" w:ascii="Times New Roman" w:hAnsi="Times New Roman"/>
      </w:rPr>
    </w:lvl>
    <w:lvl w:ilvl="1" w:tentative="0">
      <w:start w:val="1"/>
      <w:numFmt w:val="decimal"/>
      <w:suff w:val="space"/>
      <w:lvlText w:val="%1.%2"/>
      <w:lvlJc w:val="left"/>
      <w:pPr>
        <w:ind w:left="-56" w:firstLine="0"/>
      </w:pPr>
      <w:rPr>
        <w:rFonts w:hint="eastAsia" w:eastAsia="Times New Roman"/>
      </w:rPr>
    </w:lvl>
    <w:lvl w:ilvl="2" w:tentative="0">
      <w:start w:val="1"/>
      <w:numFmt w:val="decimal"/>
      <w:suff w:val="space"/>
      <w:lvlText w:val="%1.%2.%3"/>
      <w:lvlJc w:val="left"/>
      <w:pPr>
        <w:ind w:left="-56" w:firstLine="0"/>
      </w:pPr>
      <w:rPr>
        <w:rFonts w:hint="eastAsia" w:ascii="Times New Roman" w:hAnsi="Times New Roman" w:eastAsia="Times New Roman"/>
        <w:dstrike w:val="0"/>
        <w:snapToGrid/>
        <w:kern w:val="0"/>
        <w:sz w:val="24"/>
        <w:vertAlign w:val="baseline"/>
      </w:rPr>
    </w:lvl>
    <w:lvl w:ilvl="3" w:tentative="0">
      <w:start w:val="1"/>
      <w:numFmt w:val="decimal"/>
      <w:lvlText w:val="%1.%2.%3.%4"/>
      <w:lvlJc w:val="left"/>
      <w:pPr>
        <w:ind w:left="2135" w:hanging="708"/>
      </w:pPr>
      <w:rPr>
        <w:rFonts w:hint="eastAsia"/>
      </w:rPr>
    </w:lvl>
    <w:lvl w:ilvl="4" w:tentative="0">
      <w:start w:val="1"/>
      <w:numFmt w:val="decimal"/>
      <w:lvlText w:val="%1.%2.%3.%4.%5"/>
      <w:lvlJc w:val="left"/>
      <w:pPr>
        <w:ind w:left="2702" w:hanging="850"/>
      </w:pPr>
      <w:rPr>
        <w:rFonts w:hint="eastAsia"/>
      </w:rPr>
    </w:lvl>
    <w:lvl w:ilvl="5" w:tentative="0">
      <w:start w:val="1"/>
      <w:numFmt w:val="decimal"/>
      <w:lvlText w:val="%1.%2.%3.%4.%5.%6"/>
      <w:lvlJc w:val="left"/>
      <w:pPr>
        <w:ind w:left="3411" w:hanging="1134"/>
      </w:pPr>
      <w:rPr>
        <w:rFonts w:hint="eastAsia"/>
      </w:rPr>
    </w:lvl>
    <w:lvl w:ilvl="6" w:tentative="0">
      <w:start w:val="1"/>
      <w:numFmt w:val="decimal"/>
      <w:lvlText w:val="%1.%2.%3.%4.%5.%6.%7"/>
      <w:lvlJc w:val="left"/>
      <w:pPr>
        <w:ind w:left="3978" w:hanging="1276"/>
      </w:pPr>
      <w:rPr>
        <w:rFonts w:hint="eastAsia"/>
      </w:rPr>
    </w:lvl>
    <w:lvl w:ilvl="7" w:tentative="0">
      <w:start w:val="1"/>
      <w:numFmt w:val="decimal"/>
      <w:lvlText w:val="%1.%2.%3.%4.%5.%6.%7.%8"/>
      <w:lvlJc w:val="left"/>
      <w:pPr>
        <w:ind w:left="4545" w:hanging="1418"/>
      </w:pPr>
      <w:rPr>
        <w:rFonts w:hint="eastAsia"/>
      </w:rPr>
    </w:lvl>
    <w:lvl w:ilvl="8" w:tentative="0">
      <w:start w:val="1"/>
      <w:numFmt w:val="decimal"/>
      <w:lvlText w:val="%1.%2.%3.%4.%5.%6.%7.%8.%9"/>
      <w:lvlJc w:val="left"/>
      <w:pPr>
        <w:ind w:left="5253" w:hanging="1700"/>
      </w:pPr>
      <w:rPr>
        <w:rFonts w:hint="eastAsia"/>
      </w:rPr>
    </w:lvl>
  </w:abstractNum>
  <w:abstractNum w:abstractNumId="12">
    <w:nsid w:val="0581D146"/>
    <w:multiLevelType w:val="singleLevel"/>
    <w:tmpl w:val="0581D146"/>
    <w:lvl w:ilvl="0" w:tentative="0">
      <w:start w:val="1"/>
      <w:numFmt w:val="decimal"/>
      <w:lvlText w:val="%1."/>
      <w:lvlJc w:val="left"/>
      <w:pPr>
        <w:ind w:left="0" w:firstLine="40"/>
      </w:pPr>
      <w:rPr>
        <w:rFonts w:hint="default"/>
        <w:sz w:val="28"/>
        <w:szCs w:val="28"/>
      </w:rPr>
    </w:lvl>
  </w:abstractNum>
  <w:abstractNum w:abstractNumId="13">
    <w:nsid w:val="09903C77"/>
    <w:multiLevelType w:val="multilevel"/>
    <w:tmpl w:val="09903C77"/>
    <w:lvl w:ilvl="0" w:tentative="0">
      <w:start w:val="1"/>
      <w:numFmt w:val="decimal"/>
      <w:suff w:val="space"/>
      <w:lvlText w:val="表3-%1"/>
      <w:lvlJc w:val="center"/>
      <w:pPr>
        <w:tabs>
          <w:tab w:val="left" w:pos="0"/>
        </w:tabs>
        <w:ind w:left="0" w:firstLine="0"/>
      </w:pPr>
      <w:rPr>
        <w:rFonts w:hint="default" w:ascii="Times New Roman" w:hAnsi="Times New Roman" w:eastAsia="宋体" w:cs="宋体"/>
        <w:b/>
        <w:bCs/>
        <w:snapToGrid w:val="0"/>
        <w:sz w:val="24"/>
        <w:szCs w:val="24"/>
      </w:rPr>
    </w:lvl>
    <w:lvl w:ilvl="1" w:tentative="0">
      <w:start w:val="1"/>
      <w:numFmt w:val="lowerLetter"/>
      <w:lvlText w:val="%2)"/>
      <w:lvlJc w:val="left"/>
      <w:pPr>
        <w:ind w:left="3392" w:hanging="420"/>
      </w:pPr>
      <w:rPr>
        <w:rFonts w:hint="default" w:ascii="宋体" w:hAnsi="宋体" w:eastAsia="宋体" w:cs="宋体"/>
      </w:rPr>
    </w:lvl>
    <w:lvl w:ilvl="2" w:tentative="0">
      <w:start w:val="1"/>
      <w:numFmt w:val="lowerRoman"/>
      <w:lvlText w:val="%3."/>
      <w:lvlJc w:val="right"/>
      <w:pPr>
        <w:ind w:left="3812" w:hanging="420"/>
      </w:pPr>
    </w:lvl>
    <w:lvl w:ilvl="3" w:tentative="0">
      <w:start w:val="1"/>
      <w:numFmt w:val="decimal"/>
      <w:lvlText w:val="%4."/>
      <w:lvlJc w:val="left"/>
      <w:pPr>
        <w:ind w:left="4232" w:hanging="420"/>
      </w:pPr>
    </w:lvl>
    <w:lvl w:ilvl="4" w:tentative="0">
      <w:start w:val="1"/>
      <w:numFmt w:val="lowerLetter"/>
      <w:lvlText w:val="%5)"/>
      <w:lvlJc w:val="left"/>
      <w:pPr>
        <w:ind w:left="4652" w:hanging="420"/>
      </w:pPr>
    </w:lvl>
    <w:lvl w:ilvl="5" w:tentative="0">
      <w:start w:val="1"/>
      <w:numFmt w:val="lowerRoman"/>
      <w:lvlText w:val="%6."/>
      <w:lvlJc w:val="right"/>
      <w:pPr>
        <w:ind w:left="5072" w:hanging="420"/>
      </w:pPr>
    </w:lvl>
    <w:lvl w:ilvl="6" w:tentative="0">
      <w:start w:val="1"/>
      <w:numFmt w:val="decimal"/>
      <w:lvlText w:val="%7."/>
      <w:lvlJc w:val="left"/>
      <w:pPr>
        <w:ind w:left="5492" w:hanging="420"/>
      </w:pPr>
    </w:lvl>
    <w:lvl w:ilvl="7" w:tentative="0">
      <w:start w:val="1"/>
      <w:numFmt w:val="lowerLetter"/>
      <w:lvlText w:val="%8)"/>
      <w:lvlJc w:val="left"/>
      <w:pPr>
        <w:ind w:left="5912" w:hanging="420"/>
      </w:pPr>
    </w:lvl>
    <w:lvl w:ilvl="8" w:tentative="0">
      <w:start w:val="1"/>
      <w:numFmt w:val="lowerRoman"/>
      <w:lvlText w:val="%9."/>
      <w:lvlJc w:val="right"/>
      <w:pPr>
        <w:ind w:left="6332" w:hanging="420"/>
      </w:pPr>
    </w:lvl>
  </w:abstractNum>
  <w:abstractNum w:abstractNumId="14">
    <w:nsid w:val="0AF726BE"/>
    <w:multiLevelType w:val="singleLevel"/>
    <w:tmpl w:val="0AF726BE"/>
    <w:lvl w:ilvl="0" w:tentative="0">
      <w:start w:val="1"/>
      <w:numFmt w:val="chineseCounting"/>
      <w:suff w:val="nothing"/>
      <w:lvlText w:val="（%1）"/>
      <w:lvlJc w:val="left"/>
      <w:rPr>
        <w:rFonts w:hint="eastAsia"/>
      </w:rPr>
    </w:lvl>
  </w:abstractNum>
  <w:abstractNum w:abstractNumId="15">
    <w:nsid w:val="1188EF24"/>
    <w:multiLevelType w:val="singleLevel"/>
    <w:tmpl w:val="1188EF24"/>
    <w:lvl w:ilvl="0" w:tentative="0">
      <w:start w:val="1"/>
      <w:numFmt w:val="decimal"/>
      <w:suff w:val="nothing"/>
      <w:lvlText w:val="%1、"/>
      <w:lvlJc w:val="left"/>
    </w:lvl>
  </w:abstractNum>
  <w:abstractNum w:abstractNumId="16">
    <w:nsid w:val="1C348ED2"/>
    <w:multiLevelType w:val="singleLevel"/>
    <w:tmpl w:val="1C348ED2"/>
    <w:lvl w:ilvl="0" w:tentative="0">
      <w:start w:val="28"/>
      <w:numFmt w:val="decimal"/>
      <w:suff w:val="nothing"/>
      <w:lvlText w:val="%1、"/>
      <w:lvlJc w:val="left"/>
    </w:lvl>
  </w:abstractNum>
  <w:abstractNum w:abstractNumId="17">
    <w:nsid w:val="1C3F612C"/>
    <w:multiLevelType w:val="singleLevel"/>
    <w:tmpl w:val="1C3F612C"/>
    <w:lvl w:ilvl="0" w:tentative="0">
      <w:start w:val="1"/>
      <w:numFmt w:val="decimal"/>
      <w:suff w:val="space"/>
      <w:lvlText w:val="附件%1："/>
      <w:lvlJc w:val="left"/>
      <w:pPr>
        <w:ind w:left="0" w:firstLine="0"/>
      </w:pPr>
      <w:rPr>
        <w:rFonts w:hint="default" w:ascii="Times New Roman" w:hAnsi="Times New Roman" w:eastAsia="宋体" w:cs="宋体"/>
        <w:b/>
        <w:bCs/>
        <w:sz w:val="28"/>
        <w:szCs w:val="28"/>
      </w:rPr>
    </w:lvl>
  </w:abstractNum>
  <w:abstractNum w:abstractNumId="18">
    <w:nsid w:val="1EBF7F7D"/>
    <w:multiLevelType w:val="singleLevel"/>
    <w:tmpl w:val="1EBF7F7D"/>
    <w:lvl w:ilvl="0" w:tentative="0">
      <w:start w:val="2"/>
      <w:numFmt w:val="decimal"/>
      <w:suff w:val="nothing"/>
      <w:lvlText w:val="%1、"/>
      <w:lvlJc w:val="left"/>
    </w:lvl>
  </w:abstractNum>
  <w:abstractNum w:abstractNumId="19">
    <w:nsid w:val="2CC89AD2"/>
    <w:multiLevelType w:val="singleLevel"/>
    <w:tmpl w:val="2CC89AD2"/>
    <w:lvl w:ilvl="0" w:tentative="0">
      <w:start w:val="1"/>
      <w:numFmt w:val="decimal"/>
      <w:suff w:val="nothing"/>
      <w:lvlText w:val="（%1）"/>
      <w:lvlJc w:val="left"/>
    </w:lvl>
  </w:abstractNum>
  <w:abstractNum w:abstractNumId="20">
    <w:nsid w:val="2E0AD2C5"/>
    <w:multiLevelType w:val="multilevel"/>
    <w:tmpl w:val="2E0AD2C5"/>
    <w:lvl w:ilvl="0" w:tentative="0">
      <w:start w:val="1"/>
      <w:numFmt w:val="decimal"/>
      <w:pStyle w:val="2"/>
      <w:suff w:val="space"/>
      <w:lvlText w:val="%1."/>
      <w:lvlJc w:val="left"/>
      <w:pPr>
        <w:tabs>
          <w:tab w:val="left" w:pos="420"/>
        </w:tabs>
        <w:ind w:left="0" w:firstLine="0"/>
      </w:pPr>
      <w:rPr>
        <w:rFonts w:hint="default"/>
        <w:b/>
        <w:sz w:val="30"/>
        <w:szCs w:val="30"/>
      </w:rPr>
    </w:lvl>
    <w:lvl w:ilvl="1" w:tentative="0">
      <w:start w:val="1"/>
      <w:numFmt w:val="decimal"/>
      <w:pStyle w:val="5"/>
      <w:suff w:val="space"/>
      <w:lvlText w:val="%1.%2."/>
      <w:lvlJc w:val="left"/>
      <w:pPr>
        <w:tabs>
          <w:tab w:val="left" w:pos="0"/>
        </w:tabs>
        <w:ind w:left="720" w:firstLine="0"/>
      </w:pPr>
      <w:rPr>
        <w:rFonts w:hint="default"/>
        <w:b/>
        <w:sz w:val="28"/>
        <w:szCs w:val="28"/>
      </w:rPr>
    </w:lvl>
    <w:lvl w:ilvl="2" w:tentative="0">
      <w:start w:val="1"/>
      <w:numFmt w:val="decimal"/>
      <w:pStyle w:val="6"/>
      <w:suff w:val="space"/>
      <w:lvlText w:val="%1.%2.%3."/>
      <w:lvlJc w:val="left"/>
      <w:pPr>
        <w:tabs>
          <w:tab w:val="left" w:pos="420"/>
        </w:tabs>
        <w:ind w:left="0" w:firstLine="0"/>
      </w:pPr>
      <w:rPr>
        <w:rFonts w:hint="default"/>
        <w:b/>
        <w:sz w:val="24"/>
        <w:szCs w:val="24"/>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1">
    <w:nsid w:val="2F4F5CA3"/>
    <w:multiLevelType w:val="singleLevel"/>
    <w:tmpl w:val="2F4F5CA3"/>
    <w:lvl w:ilvl="0" w:tentative="0">
      <w:start w:val="7"/>
      <w:numFmt w:val="chineseCounting"/>
      <w:suff w:val="nothing"/>
      <w:lvlText w:val="（%1）"/>
      <w:lvlJc w:val="left"/>
      <w:rPr>
        <w:rFonts w:hint="eastAsia"/>
      </w:rPr>
    </w:lvl>
  </w:abstractNum>
  <w:abstractNum w:abstractNumId="22">
    <w:nsid w:val="3111C2BD"/>
    <w:multiLevelType w:val="singleLevel"/>
    <w:tmpl w:val="3111C2BD"/>
    <w:lvl w:ilvl="0" w:tentative="0">
      <w:start w:val="1"/>
      <w:numFmt w:val="decimal"/>
      <w:suff w:val="nothing"/>
      <w:lvlText w:val="（%1）"/>
      <w:lvlJc w:val="left"/>
    </w:lvl>
  </w:abstractNum>
  <w:abstractNum w:abstractNumId="23">
    <w:nsid w:val="37FA4107"/>
    <w:multiLevelType w:val="singleLevel"/>
    <w:tmpl w:val="37FA4107"/>
    <w:lvl w:ilvl="0" w:tentative="0">
      <w:start w:val="1"/>
      <w:numFmt w:val="decimal"/>
      <w:suff w:val="nothing"/>
      <w:lvlText w:val="（%1）"/>
      <w:lvlJc w:val="left"/>
    </w:lvl>
  </w:abstractNum>
  <w:abstractNum w:abstractNumId="24">
    <w:nsid w:val="3CC75FBD"/>
    <w:multiLevelType w:val="singleLevel"/>
    <w:tmpl w:val="3CC75FBD"/>
    <w:lvl w:ilvl="0" w:tentative="0">
      <w:start w:val="1"/>
      <w:numFmt w:val="decimal"/>
      <w:suff w:val="nothing"/>
      <w:lvlText w:val="（%1）"/>
      <w:lvlJc w:val="left"/>
      <w:rPr>
        <w:rFonts w:hint="default"/>
        <w:b w:val="0"/>
        <w:bCs w:val="0"/>
      </w:rPr>
    </w:lvl>
  </w:abstractNum>
  <w:abstractNum w:abstractNumId="25">
    <w:nsid w:val="40E02352"/>
    <w:multiLevelType w:val="multilevel"/>
    <w:tmpl w:val="40E02352"/>
    <w:lvl w:ilvl="0" w:tentative="0">
      <w:start w:val="1"/>
      <w:numFmt w:val="decimal"/>
      <w:lvlText w:val="第%1章"/>
      <w:lvlJc w:val="left"/>
      <w:pPr>
        <w:ind w:left="4402" w:hanging="432"/>
      </w:pPr>
      <w:rPr>
        <w:rFonts w:hint="eastAsia"/>
      </w:rPr>
    </w:lvl>
    <w:lvl w:ilvl="1" w:tentative="0">
      <w:start w:val="1"/>
      <w:numFmt w:val="decimal"/>
      <w:lvlText w:val="%1.%2"/>
      <w:lvlJc w:val="left"/>
      <w:pPr>
        <w:ind w:left="576" w:hanging="576"/>
      </w:pPr>
      <w:rPr>
        <w:rFonts w:hint="default" w:ascii="Times New Roman" w:hAnsi="Times New Roman" w:cs="Times New Roman"/>
      </w:rPr>
    </w:lvl>
    <w:lvl w:ilvl="2" w:tentative="0">
      <w:start w:val="1"/>
      <w:numFmt w:val="decimal"/>
      <w:lvlText w:val="%1.%2.%3"/>
      <w:lvlJc w:val="left"/>
      <w:pPr>
        <w:ind w:left="1430" w:hanging="720"/>
      </w:pPr>
      <w:rPr>
        <w:rFonts w:hint="default" w:ascii="Times New Roman" w:hAnsi="Times New Roman" w:cs="Times New Roman"/>
        <w:color w:val="000000"/>
      </w:rPr>
    </w:lvl>
    <w:lvl w:ilvl="3" w:tentative="0">
      <w:start w:val="1"/>
      <w:numFmt w:val="decimal"/>
      <w:pStyle w:val="7"/>
      <w:lvlText w:val="%1.%2.%3.%4"/>
      <w:lvlJc w:val="left"/>
      <w:pPr>
        <w:ind w:left="1006"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26">
    <w:nsid w:val="434D981C"/>
    <w:multiLevelType w:val="singleLevel"/>
    <w:tmpl w:val="434D981C"/>
    <w:lvl w:ilvl="0" w:tentative="0">
      <w:start w:val="1"/>
      <w:numFmt w:val="decimal"/>
      <w:suff w:val="nothing"/>
      <w:lvlText w:val="（%1）"/>
      <w:lvlJc w:val="left"/>
    </w:lvl>
  </w:abstractNum>
  <w:abstractNum w:abstractNumId="27">
    <w:nsid w:val="4F5D34AE"/>
    <w:multiLevelType w:val="singleLevel"/>
    <w:tmpl w:val="4F5D34AE"/>
    <w:lvl w:ilvl="0" w:tentative="0">
      <w:start w:val="1"/>
      <w:numFmt w:val="decimal"/>
      <w:suff w:val="space"/>
      <w:lvlText w:val="%1."/>
      <w:lvlJc w:val="left"/>
      <w:rPr>
        <w:rFonts w:hint="default"/>
        <w:b/>
        <w:bCs/>
        <w:sz w:val="30"/>
        <w:szCs w:val="30"/>
      </w:rPr>
    </w:lvl>
  </w:abstractNum>
  <w:abstractNum w:abstractNumId="28">
    <w:nsid w:val="4FFA5FA7"/>
    <w:multiLevelType w:val="multilevel"/>
    <w:tmpl w:val="4FFA5FA7"/>
    <w:lvl w:ilvl="0" w:tentative="0">
      <w:start w:val="1"/>
      <w:numFmt w:val="upperLetter"/>
      <w:pStyle w:val="147"/>
      <w:lvlText w:val="附录%1"/>
      <w:lvlJc w:val="left"/>
      <w:pPr>
        <w:ind w:left="0" w:firstLine="0"/>
      </w:pPr>
      <w:rPr>
        <w:rFonts w:hint="eastAsia" w:ascii="黑体" w:hAnsi="黑体" w:eastAsia="黑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pStyle w:val="170"/>
      <w:lvlText w:val="%1.%2.%3.%4"/>
      <w:lvlJc w:val="left"/>
      <w:pPr>
        <w:ind w:left="0" w:firstLine="0"/>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9">
    <w:nsid w:val="59EB270E"/>
    <w:multiLevelType w:val="singleLevel"/>
    <w:tmpl w:val="59EB270E"/>
    <w:lvl w:ilvl="0" w:tentative="0">
      <w:start w:val="1"/>
      <w:numFmt w:val="decimal"/>
      <w:lvlText w:val="%1."/>
      <w:lvlJc w:val="left"/>
      <w:pPr>
        <w:ind w:left="425" w:hanging="425"/>
      </w:pPr>
      <w:rPr>
        <w:rFonts w:hint="default" w:ascii="Times New Roman" w:hAnsi="Times New Roman" w:cs="Times New Roman"/>
        <w:sz w:val="24"/>
        <w:szCs w:val="24"/>
      </w:rPr>
    </w:lvl>
  </w:abstractNum>
  <w:abstractNum w:abstractNumId="30">
    <w:nsid w:val="5B42DD7F"/>
    <w:multiLevelType w:val="singleLevel"/>
    <w:tmpl w:val="5B42DD7F"/>
    <w:lvl w:ilvl="0" w:tentative="0">
      <w:start w:val="1"/>
      <w:numFmt w:val="decimal"/>
      <w:lvlText w:val="%1."/>
      <w:lvlJc w:val="left"/>
      <w:pPr>
        <w:ind w:left="425" w:hanging="425"/>
      </w:pPr>
      <w:rPr>
        <w:rFonts w:hint="default"/>
      </w:rPr>
    </w:lvl>
  </w:abstractNum>
  <w:abstractNum w:abstractNumId="31">
    <w:nsid w:val="6461384D"/>
    <w:multiLevelType w:val="singleLevel"/>
    <w:tmpl w:val="6461384D"/>
    <w:lvl w:ilvl="0" w:tentative="0">
      <w:start w:val="1"/>
      <w:numFmt w:val="decimal"/>
      <w:suff w:val="nothing"/>
      <w:lvlText w:val="%1、"/>
      <w:lvlJc w:val="left"/>
    </w:lvl>
  </w:abstractNum>
  <w:abstractNum w:abstractNumId="32">
    <w:nsid w:val="753B1F21"/>
    <w:multiLevelType w:val="multilevel"/>
    <w:tmpl w:val="753B1F21"/>
    <w:lvl w:ilvl="0" w:tentative="0">
      <w:start w:val="1"/>
      <w:numFmt w:val="decimal"/>
      <w:lvlText w:val="附件%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75F3F662"/>
    <w:multiLevelType w:val="singleLevel"/>
    <w:tmpl w:val="75F3F662"/>
    <w:lvl w:ilvl="0" w:tentative="0">
      <w:start w:val="1"/>
      <w:numFmt w:val="decimal"/>
      <w:suff w:val="space"/>
      <w:lvlText w:val="%1."/>
      <w:lvlJc w:val="left"/>
      <w:pPr>
        <w:ind w:left="0" w:firstLine="0"/>
      </w:pPr>
      <w:rPr>
        <w:rFonts w:hint="default"/>
        <w:b/>
        <w:bCs/>
        <w:sz w:val="28"/>
        <w:szCs w:val="28"/>
      </w:rPr>
    </w:lvl>
  </w:abstractNum>
  <w:num w:numId="1">
    <w:abstractNumId w:val="20"/>
  </w:num>
  <w:num w:numId="2">
    <w:abstractNumId w:val="25"/>
  </w:num>
  <w:num w:numId="3">
    <w:abstractNumId w:val="11"/>
    <w:lvlOverride w:ilvl="0">
      <w:lvl w:ilvl="0" w:tentative="1">
        <w:start w:val="1"/>
        <w:numFmt w:val="decimal"/>
        <w:pStyle w:val="91"/>
        <w:lvlText w:val="第%1章"/>
        <w:lvlJc w:val="left"/>
        <w:pPr>
          <w:ind w:left="-56" w:firstLine="0"/>
        </w:pPr>
        <w:rPr>
          <w:rFonts w:hint="default" w:ascii="Times New Roman" w:hAnsi="Times New Roman"/>
          <w:b/>
          <w:bCs/>
        </w:rPr>
      </w:lvl>
    </w:lvlOverride>
  </w:num>
  <w:num w:numId="4">
    <w:abstractNumId w:val="28"/>
  </w:num>
  <w:num w:numId="5">
    <w:abstractNumId w:val="9"/>
  </w:num>
  <w:num w:numId="6">
    <w:abstractNumId w:val="0"/>
  </w:num>
  <w:num w:numId="7">
    <w:abstractNumId w:val="31"/>
  </w:num>
  <w:num w:numId="8">
    <w:abstractNumId w:val="23"/>
  </w:num>
  <w:num w:numId="9">
    <w:abstractNumId w:val="8"/>
  </w:num>
  <w:num w:numId="10">
    <w:abstractNumId w:val="29"/>
  </w:num>
  <w:num w:numId="11">
    <w:abstractNumId w:val="4"/>
  </w:num>
  <w:num w:numId="12">
    <w:abstractNumId w:val="14"/>
  </w:num>
  <w:num w:numId="13">
    <w:abstractNumId w:val="3"/>
  </w:num>
  <w:num w:numId="14">
    <w:abstractNumId w:val="21"/>
  </w:num>
  <w:num w:numId="15">
    <w:abstractNumId w:val="5"/>
  </w:num>
  <w:num w:numId="16">
    <w:abstractNumId w:val="16"/>
  </w:num>
  <w:num w:numId="17">
    <w:abstractNumId w:val="7"/>
  </w:num>
  <w:num w:numId="18">
    <w:abstractNumId w:val="1"/>
  </w:num>
  <w:num w:numId="19">
    <w:abstractNumId w:val="26"/>
  </w:num>
  <w:num w:numId="20">
    <w:abstractNumId w:val="12"/>
  </w:num>
  <w:num w:numId="21">
    <w:abstractNumId w:val="19"/>
  </w:num>
  <w:num w:numId="22">
    <w:abstractNumId w:val="27"/>
  </w:num>
  <w:num w:numId="23">
    <w:abstractNumId w:val="30"/>
  </w:num>
  <w:num w:numId="24">
    <w:abstractNumId w:val="6"/>
  </w:num>
  <w:num w:numId="25">
    <w:abstractNumId w:val="13"/>
  </w:num>
  <w:num w:numId="26">
    <w:abstractNumId w:val="10"/>
  </w:num>
  <w:num w:numId="27">
    <w:abstractNumId w:val="22"/>
  </w:num>
  <w:num w:numId="28">
    <w:abstractNumId w:val="33"/>
  </w:num>
  <w:num w:numId="29">
    <w:abstractNumId w:val="15"/>
  </w:num>
  <w:num w:numId="30">
    <w:abstractNumId w:val="18"/>
  </w:num>
  <w:num w:numId="31">
    <w:abstractNumId w:val="24"/>
  </w:num>
  <w:num w:numId="32">
    <w:abstractNumId w:val="17"/>
  </w:num>
  <w:num w:numId="33">
    <w:abstractNumId w:val="32"/>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hZGY0ZTViYWQyN2I0ZGJhNDk0OThkMjNkNmQ2MDYifQ=="/>
  </w:docVars>
  <w:rsids>
    <w:rsidRoot w:val="00E75334"/>
    <w:rsid w:val="00011EE1"/>
    <w:rsid w:val="00014F26"/>
    <w:rsid w:val="00017537"/>
    <w:rsid w:val="00034906"/>
    <w:rsid w:val="0004582A"/>
    <w:rsid w:val="00060ACC"/>
    <w:rsid w:val="000610CC"/>
    <w:rsid w:val="000749E3"/>
    <w:rsid w:val="000814AA"/>
    <w:rsid w:val="000977F2"/>
    <w:rsid w:val="000B0300"/>
    <w:rsid w:val="000B1B87"/>
    <w:rsid w:val="000B25D7"/>
    <w:rsid w:val="000B5CA6"/>
    <w:rsid w:val="000B67B4"/>
    <w:rsid w:val="000C3CE6"/>
    <w:rsid w:val="000F2A6F"/>
    <w:rsid w:val="000F3AF1"/>
    <w:rsid w:val="00110309"/>
    <w:rsid w:val="00112748"/>
    <w:rsid w:val="00121F55"/>
    <w:rsid w:val="00176544"/>
    <w:rsid w:val="00180F01"/>
    <w:rsid w:val="00182823"/>
    <w:rsid w:val="001B0CB8"/>
    <w:rsid w:val="001D66BE"/>
    <w:rsid w:val="002127DF"/>
    <w:rsid w:val="00222C36"/>
    <w:rsid w:val="002257E4"/>
    <w:rsid w:val="002343F3"/>
    <w:rsid w:val="0023607C"/>
    <w:rsid w:val="00243A8A"/>
    <w:rsid w:val="002517AD"/>
    <w:rsid w:val="0025264E"/>
    <w:rsid w:val="0028309A"/>
    <w:rsid w:val="0028774C"/>
    <w:rsid w:val="0029687C"/>
    <w:rsid w:val="002A40B2"/>
    <w:rsid w:val="002B7243"/>
    <w:rsid w:val="002F5951"/>
    <w:rsid w:val="00301549"/>
    <w:rsid w:val="003147C3"/>
    <w:rsid w:val="00316A94"/>
    <w:rsid w:val="003259B8"/>
    <w:rsid w:val="003302D7"/>
    <w:rsid w:val="00342418"/>
    <w:rsid w:val="0034596F"/>
    <w:rsid w:val="003A456E"/>
    <w:rsid w:val="003A55C4"/>
    <w:rsid w:val="003D4F45"/>
    <w:rsid w:val="003D58B0"/>
    <w:rsid w:val="003D7EB8"/>
    <w:rsid w:val="00411C9C"/>
    <w:rsid w:val="00416499"/>
    <w:rsid w:val="00422F2A"/>
    <w:rsid w:val="00442AC1"/>
    <w:rsid w:val="00450BFB"/>
    <w:rsid w:val="00452ADF"/>
    <w:rsid w:val="0047550D"/>
    <w:rsid w:val="004846CB"/>
    <w:rsid w:val="00490469"/>
    <w:rsid w:val="004D1DC0"/>
    <w:rsid w:val="004D1ED4"/>
    <w:rsid w:val="004D2267"/>
    <w:rsid w:val="004D2EDF"/>
    <w:rsid w:val="004E7DC3"/>
    <w:rsid w:val="00500B0D"/>
    <w:rsid w:val="00527C00"/>
    <w:rsid w:val="005541A0"/>
    <w:rsid w:val="005723DE"/>
    <w:rsid w:val="005746B4"/>
    <w:rsid w:val="00590D40"/>
    <w:rsid w:val="005947FA"/>
    <w:rsid w:val="005D30F8"/>
    <w:rsid w:val="005E5C6D"/>
    <w:rsid w:val="00602141"/>
    <w:rsid w:val="00666169"/>
    <w:rsid w:val="006729BB"/>
    <w:rsid w:val="006852B9"/>
    <w:rsid w:val="006E05BE"/>
    <w:rsid w:val="006E7214"/>
    <w:rsid w:val="006F37CD"/>
    <w:rsid w:val="00702588"/>
    <w:rsid w:val="007046D5"/>
    <w:rsid w:val="00713ABB"/>
    <w:rsid w:val="00715A44"/>
    <w:rsid w:val="00790BC1"/>
    <w:rsid w:val="0079480F"/>
    <w:rsid w:val="007957E1"/>
    <w:rsid w:val="007A2525"/>
    <w:rsid w:val="007B6F0F"/>
    <w:rsid w:val="007C1A47"/>
    <w:rsid w:val="007C79E1"/>
    <w:rsid w:val="007D2BB8"/>
    <w:rsid w:val="007D6A53"/>
    <w:rsid w:val="007E2EF7"/>
    <w:rsid w:val="007E79F4"/>
    <w:rsid w:val="007F396A"/>
    <w:rsid w:val="007F4357"/>
    <w:rsid w:val="00811F16"/>
    <w:rsid w:val="00811FD5"/>
    <w:rsid w:val="008128EA"/>
    <w:rsid w:val="008423E3"/>
    <w:rsid w:val="00843C2E"/>
    <w:rsid w:val="00844285"/>
    <w:rsid w:val="008478F9"/>
    <w:rsid w:val="00866CE3"/>
    <w:rsid w:val="0087356F"/>
    <w:rsid w:val="00884125"/>
    <w:rsid w:val="00891C40"/>
    <w:rsid w:val="00891EEC"/>
    <w:rsid w:val="00893E8B"/>
    <w:rsid w:val="008C156D"/>
    <w:rsid w:val="008C1E57"/>
    <w:rsid w:val="008C5B29"/>
    <w:rsid w:val="008D122C"/>
    <w:rsid w:val="008E0F7E"/>
    <w:rsid w:val="008E58B6"/>
    <w:rsid w:val="00904166"/>
    <w:rsid w:val="00913CE5"/>
    <w:rsid w:val="0094112E"/>
    <w:rsid w:val="00980A4B"/>
    <w:rsid w:val="009825FB"/>
    <w:rsid w:val="009C73E9"/>
    <w:rsid w:val="009E1572"/>
    <w:rsid w:val="009F0882"/>
    <w:rsid w:val="00A01B2A"/>
    <w:rsid w:val="00A14A72"/>
    <w:rsid w:val="00A16731"/>
    <w:rsid w:val="00A20ACF"/>
    <w:rsid w:val="00A253EE"/>
    <w:rsid w:val="00A33017"/>
    <w:rsid w:val="00A4645B"/>
    <w:rsid w:val="00A50454"/>
    <w:rsid w:val="00A77EBC"/>
    <w:rsid w:val="00AB3813"/>
    <w:rsid w:val="00AC5870"/>
    <w:rsid w:val="00AD6CD6"/>
    <w:rsid w:val="00AD75AF"/>
    <w:rsid w:val="00AE2EA7"/>
    <w:rsid w:val="00AF557D"/>
    <w:rsid w:val="00B00BD6"/>
    <w:rsid w:val="00B0248B"/>
    <w:rsid w:val="00B11395"/>
    <w:rsid w:val="00B42B68"/>
    <w:rsid w:val="00B51B45"/>
    <w:rsid w:val="00B6607D"/>
    <w:rsid w:val="00B67194"/>
    <w:rsid w:val="00B70421"/>
    <w:rsid w:val="00BB2383"/>
    <w:rsid w:val="00BB40F5"/>
    <w:rsid w:val="00BC5682"/>
    <w:rsid w:val="00BD5BA9"/>
    <w:rsid w:val="00C0607D"/>
    <w:rsid w:val="00C201B1"/>
    <w:rsid w:val="00C26D31"/>
    <w:rsid w:val="00C726BD"/>
    <w:rsid w:val="00C84C71"/>
    <w:rsid w:val="00C913B7"/>
    <w:rsid w:val="00C947A1"/>
    <w:rsid w:val="00CC04FB"/>
    <w:rsid w:val="00D0212D"/>
    <w:rsid w:val="00D03BEE"/>
    <w:rsid w:val="00D15B99"/>
    <w:rsid w:val="00D23941"/>
    <w:rsid w:val="00D421D7"/>
    <w:rsid w:val="00D614F2"/>
    <w:rsid w:val="00D74630"/>
    <w:rsid w:val="00DD24DC"/>
    <w:rsid w:val="00DE5743"/>
    <w:rsid w:val="00E16FE2"/>
    <w:rsid w:val="00E32D5A"/>
    <w:rsid w:val="00E4432B"/>
    <w:rsid w:val="00E57123"/>
    <w:rsid w:val="00E65BFA"/>
    <w:rsid w:val="00E65C9D"/>
    <w:rsid w:val="00E75334"/>
    <w:rsid w:val="00E90810"/>
    <w:rsid w:val="00EC5361"/>
    <w:rsid w:val="00ED0947"/>
    <w:rsid w:val="00EE29AD"/>
    <w:rsid w:val="00EE568F"/>
    <w:rsid w:val="00EE6E63"/>
    <w:rsid w:val="00EF38A1"/>
    <w:rsid w:val="00F008B4"/>
    <w:rsid w:val="00F036C9"/>
    <w:rsid w:val="00F14AE6"/>
    <w:rsid w:val="00F22F9D"/>
    <w:rsid w:val="00F50B2D"/>
    <w:rsid w:val="00F53182"/>
    <w:rsid w:val="00F63C3D"/>
    <w:rsid w:val="00F76805"/>
    <w:rsid w:val="00F85F1F"/>
    <w:rsid w:val="00FA6EC1"/>
    <w:rsid w:val="00FB397E"/>
    <w:rsid w:val="013637D1"/>
    <w:rsid w:val="014C4DA3"/>
    <w:rsid w:val="014E20A5"/>
    <w:rsid w:val="01545A05"/>
    <w:rsid w:val="01603852"/>
    <w:rsid w:val="0168700A"/>
    <w:rsid w:val="017E0CD4"/>
    <w:rsid w:val="018F20FF"/>
    <w:rsid w:val="01916C5A"/>
    <w:rsid w:val="019D55FE"/>
    <w:rsid w:val="01C52716"/>
    <w:rsid w:val="01C74429"/>
    <w:rsid w:val="01E21263"/>
    <w:rsid w:val="01E918E8"/>
    <w:rsid w:val="01EF1E4F"/>
    <w:rsid w:val="01F64D0F"/>
    <w:rsid w:val="01F837BA"/>
    <w:rsid w:val="020C7E1B"/>
    <w:rsid w:val="021A6C4F"/>
    <w:rsid w:val="0227311A"/>
    <w:rsid w:val="02294C31"/>
    <w:rsid w:val="023201D6"/>
    <w:rsid w:val="0233386D"/>
    <w:rsid w:val="023C1246"/>
    <w:rsid w:val="023F0464"/>
    <w:rsid w:val="025D6B3C"/>
    <w:rsid w:val="026305F6"/>
    <w:rsid w:val="027654C7"/>
    <w:rsid w:val="0294329D"/>
    <w:rsid w:val="0294609E"/>
    <w:rsid w:val="02985DC6"/>
    <w:rsid w:val="02A27D4A"/>
    <w:rsid w:val="02A604E3"/>
    <w:rsid w:val="02AD361F"/>
    <w:rsid w:val="02B7624C"/>
    <w:rsid w:val="02D23F96"/>
    <w:rsid w:val="02D50DC8"/>
    <w:rsid w:val="02D52B76"/>
    <w:rsid w:val="02E01C47"/>
    <w:rsid w:val="02E132C9"/>
    <w:rsid w:val="02FF20EF"/>
    <w:rsid w:val="03065425"/>
    <w:rsid w:val="030E30F3"/>
    <w:rsid w:val="03101E00"/>
    <w:rsid w:val="03321D76"/>
    <w:rsid w:val="03455F4E"/>
    <w:rsid w:val="034A3564"/>
    <w:rsid w:val="03555A65"/>
    <w:rsid w:val="03563CB7"/>
    <w:rsid w:val="03624170"/>
    <w:rsid w:val="03633510"/>
    <w:rsid w:val="036E2C9F"/>
    <w:rsid w:val="03791753"/>
    <w:rsid w:val="0393292F"/>
    <w:rsid w:val="03984491"/>
    <w:rsid w:val="03A74512"/>
    <w:rsid w:val="03AD58A1"/>
    <w:rsid w:val="03B10EED"/>
    <w:rsid w:val="03CA6453"/>
    <w:rsid w:val="03D60954"/>
    <w:rsid w:val="03EA41A9"/>
    <w:rsid w:val="03F4702C"/>
    <w:rsid w:val="03F721BB"/>
    <w:rsid w:val="04051239"/>
    <w:rsid w:val="040A2ABD"/>
    <w:rsid w:val="04280A3D"/>
    <w:rsid w:val="042839DF"/>
    <w:rsid w:val="043A5387"/>
    <w:rsid w:val="04425FE9"/>
    <w:rsid w:val="0449381C"/>
    <w:rsid w:val="044E4F55"/>
    <w:rsid w:val="045521C0"/>
    <w:rsid w:val="046353E3"/>
    <w:rsid w:val="04642403"/>
    <w:rsid w:val="047F0FEB"/>
    <w:rsid w:val="049251C3"/>
    <w:rsid w:val="049D76C3"/>
    <w:rsid w:val="04A70542"/>
    <w:rsid w:val="04A722F0"/>
    <w:rsid w:val="04AC7907"/>
    <w:rsid w:val="04BA2023"/>
    <w:rsid w:val="04C74740"/>
    <w:rsid w:val="04DF7CDC"/>
    <w:rsid w:val="04F20496"/>
    <w:rsid w:val="04F96FF0"/>
    <w:rsid w:val="05062B22"/>
    <w:rsid w:val="05157BA2"/>
    <w:rsid w:val="051C2CDE"/>
    <w:rsid w:val="051F4750"/>
    <w:rsid w:val="052102F4"/>
    <w:rsid w:val="052120A3"/>
    <w:rsid w:val="05223F2D"/>
    <w:rsid w:val="052B1173"/>
    <w:rsid w:val="05562B2E"/>
    <w:rsid w:val="05616943"/>
    <w:rsid w:val="056B7658"/>
    <w:rsid w:val="056D178C"/>
    <w:rsid w:val="058368B9"/>
    <w:rsid w:val="05A3035A"/>
    <w:rsid w:val="05AF5397"/>
    <w:rsid w:val="05B15E1B"/>
    <w:rsid w:val="05C262CD"/>
    <w:rsid w:val="05C318F6"/>
    <w:rsid w:val="05E11832"/>
    <w:rsid w:val="05FE4192"/>
    <w:rsid w:val="06043E9E"/>
    <w:rsid w:val="060914B4"/>
    <w:rsid w:val="060D2627"/>
    <w:rsid w:val="060E4F02"/>
    <w:rsid w:val="06180E76"/>
    <w:rsid w:val="06255BC2"/>
    <w:rsid w:val="065B3392"/>
    <w:rsid w:val="06732DD2"/>
    <w:rsid w:val="068D3027"/>
    <w:rsid w:val="06915006"/>
    <w:rsid w:val="06936FD0"/>
    <w:rsid w:val="069C64A8"/>
    <w:rsid w:val="06A64F55"/>
    <w:rsid w:val="06AB431A"/>
    <w:rsid w:val="06BB2083"/>
    <w:rsid w:val="06C158EB"/>
    <w:rsid w:val="06C43F9C"/>
    <w:rsid w:val="06C453DB"/>
    <w:rsid w:val="06C75FAB"/>
    <w:rsid w:val="06D7510F"/>
    <w:rsid w:val="06DE2727"/>
    <w:rsid w:val="06E7639E"/>
    <w:rsid w:val="06F04422"/>
    <w:rsid w:val="06F2019A"/>
    <w:rsid w:val="071F4B93"/>
    <w:rsid w:val="07217A1B"/>
    <w:rsid w:val="072419CC"/>
    <w:rsid w:val="074B228B"/>
    <w:rsid w:val="076444C8"/>
    <w:rsid w:val="0765096C"/>
    <w:rsid w:val="076646E5"/>
    <w:rsid w:val="07683FB9"/>
    <w:rsid w:val="07707311"/>
    <w:rsid w:val="078D7EC3"/>
    <w:rsid w:val="07991D54"/>
    <w:rsid w:val="079B25E0"/>
    <w:rsid w:val="07C974F3"/>
    <w:rsid w:val="07CD206E"/>
    <w:rsid w:val="07D34489"/>
    <w:rsid w:val="07D433FC"/>
    <w:rsid w:val="07DE2AF3"/>
    <w:rsid w:val="07E6312F"/>
    <w:rsid w:val="07F21B41"/>
    <w:rsid w:val="07F63531"/>
    <w:rsid w:val="07FB4E2D"/>
    <w:rsid w:val="07FE2B6F"/>
    <w:rsid w:val="08144141"/>
    <w:rsid w:val="08147C9D"/>
    <w:rsid w:val="081C4DA3"/>
    <w:rsid w:val="082C3238"/>
    <w:rsid w:val="0831084F"/>
    <w:rsid w:val="08386081"/>
    <w:rsid w:val="083E2F6B"/>
    <w:rsid w:val="0842480A"/>
    <w:rsid w:val="086D6F5D"/>
    <w:rsid w:val="087D3A94"/>
    <w:rsid w:val="0882554E"/>
    <w:rsid w:val="088A4403"/>
    <w:rsid w:val="08A83FBB"/>
    <w:rsid w:val="08BB5CE2"/>
    <w:rsid w:val="08C2594B"/>
    <w:rsid w:val="08D42CCB"/>
    <w:rsid w:val="08E154C3"/>
    <w:rsid w:val="08E61E86"/>
    <w:rsid w:val="08E70010"/>
    <w:rsid w:val="08F24482"/>
    <w:rsid w:val="090D12BC"/>
    <w:rsid w:val="091361A6"/>
    <w:rsid w:val="09203EB9"/>
    <w:rsid w:val="09336848"/>
    <w:rsid w:val="093C394F"/>
    <w:rsid w:val="094C3466"/>
    <w:rsid w:val="09615F25"/>
    <w:rsid w:val="09732517"/>
    <w:rsid w:val="097B2ACC"/>
    <w:rsid w:val="097C1F9D"/>
    <w:rsid w:val="09860C14"/>
    <w:rsid w:val="0992356F"/>
    <w:rsid w:val="09942142"/>
    <w:rsid w:val="0995305F"/>
    <w:rsid w:val="09974F47"/>
    <w:rsid w:val="09A03EDE"/>
    <w:rsid w:val="09A3752A"/>
    <w:rsid w:val="09AF2373"/>
    <w:rsid w:val="09BA1E00"/>
    <w:rsid w:val="09C1335A"/>
    <w:rsid w:val="09C83435"/>
    <w:rsid w:val="09F2225F"/>
    <w:rsid w:val="09F60A55"/>
    <w:rsid w:val="09F9091A"/>
    <w:rsid w:val="0A0364AB"/>
    <w:rsid w:val="0A1563B0"/>
    <w:rsid w:val="0A217932"/>
    <w:rsid w:val="0A2C39C3"/>
    <w:rsid w:val="0A3E5B71"/>
    <w:rsid w:val="0A546A76"/>
    <w:rsid w:val="0A59408D"/>
    <w:rsid w:val="0A5C6D7A"/>
    <w:rsid w:val="0A717628"/>
    <w:rsid w:val="0AA96DC2"/>
    <w:rsid w:val="0AB94B2B"/>
    <w:rsid w:val="0AB97FB8"/>
    <w:rsid w:val="0ABB6AF5"/>
    <w:rsid w:val="0ABD461B"/>
    <w:rsid w:val="0ACC485F"/>
    <w:rsid w:val="0AD53D4E"/>
    <w:rsid w:val="0AE230E9"/>
    <w:rsid w:val="0AEF054D"/>
    <w:rsid w:val="0AF67B2D"/>
    <w:rsid w:val="0AFD2540"/>
    <w:rsid w:val="0B0C55A3"/>
    <w:rsid w:val="0B4B60CB"/>
    <w:rsid w:val="0B5D195B"/>
    <w:rsid w:val="0B5E3695"/>
    <w:rsid w:val="0B617824"/>
    <w:rsid w:val="0B696551"/>
    <w:rsid w:val="0B6C7DF0"/>
    <w:rsid w:val="0B7D55A3"/>
    <w:rsid w:val="0B882E7B"/>
    <w:rsid w:val="0B927856"/>
    <w:rsid w:val="0B9F01C5"/>
    <w:rsid w:val="0BA31A63"/>
    <w:rsid w:val="0BBC5A34"/>
    <w:rsid w:val="0BC027C4"/>
    <w:rsid w:val="0BCD5652"/>
    <w:rsid w:val="0BD16C8D"/>
    <w:rsid w:val="0BD52526"/>
    <w:rsid w:val="0BDC3ABC"/>
    <w:rsid w:val="0BE107DE"/>
    <w:rsid w:val="0BF00A21"/>
    <w:rsid w:val="0BF26547"/>
    <w:rsid w:val="0C0F0EA7"/>
    <w:rsid w:val="0C126BE9"/>
    <w:rsid w:val="0C151BA1"/>
    <w:rsid w:val="0C2030B4"/>
    <w:rsid w:val="0C356675"/>
    <w:rsid w:val="0C3B6140"/>
    <w:rsid w:val="0C405504"/>
    <w:rsid w:val="0C430B50"/>
    <w:rsid w:val="0C4A0131"/>
    <w:rsid w:val="0C601702"/>
    <w:rsid w:val="0C684A5B"/>
    <w:rsid w:val="0C774C9E"/>
    <w:rsid w:val="0C790A16"/>
    <w:rsid w:val="0C7B653C"/>
    <w:rsid w:val="0C840865"/>
    <w:rsid w:val="0CA63233"/>
    <w:rsid w:val="0CC15CA8"/>
    <w:rsid w:val="0CCC4FEA"/>
    <w:rsid w:val="0CD23396"/>
    <w:rsid w:val="0CD8398F"/>
    <w:rsid w:val="0CDE6ACB"/>
    <w:rsid w:val="0CFD51A3"/>
    <w:rsid w:val="0CFF53BF"/>
    <w:rsid w:val="0D0227BA"/>
    <w:rsid w:val="0D120F16"/>
    <w:rsid w:val="0D162709"/>
    <w:rsid w:val="0D316356"/>
    <w:rsid w:val="0D3764E2"/>
    <w:rsid w:val="0D4234FE"/>
    <w:rsid w:val="0D5450EC"/>
    <w:rsid w:val="0D570D57"/>
    <w:rsid w:val="0D6214AA"/>
    <w:rsid w:val="0D643474"/>
    <w:rsid w:val="0D646FD0"/>
    <w:rsid w:val="0D6A5091"/>
    <w:rsid w:val="0D7B050D"/>
    <w:rsid w:val="0D7F3E0A"/>
    <w:rsid w:val="0D8101BC"/>
    <w:rsid w:val="0D8D4779"/>
    <w:rsid w:val="0D9B7B45"/>
    <w:rsid w:val="0DA90E87"/>
    <w:rsid w:val="0DB20DDC"/>
    <w:rsid w:val="0DBA593F"/>
    <w:rsid w:val="0DD73C46"/>
    <w:rsid w:val="0DE46D42"/>
    <w:rsid w:val="0DEB3308"/>
    <w:rsid w:val="0DF478D6"/>
    <w:rsid w:val="0DF90060"/>
    <w:rsid w:val="0DF93BBD"/>
    <w:rsid w:val="0DFA5B87"/>
    <w:rsid w:val="0DFC3A1E"/>
    <w:rsid w:val="0E0407B3"/>
    <w:rsid w:val="0E0A401C"/>
    <w:rsid w:val="0E1327A4"/>
    <w:rsid w:val="0E2D1AB8"/>
    <w:rsid w:val="0E2F3A82"/>
    <w:rsid w:val="0E5D2DF1"/>
    <w:rsid w:val="0E6363C7"/>
    <w:rsid w:val="0E687F72"/>
    <w:rsid w:val="0E6906DF"/>
    <w:rsid w:val="0E741495"/>
    <w:rsid w:val="0E7B0A75"/>
    <w:rsid w:val="0E7C47EE"/>
    <w:rsid w:val="0E8071AE"/>
    <w:rsid w:val="0EC64C26"/>
    <w:rsid w:val="0ED343D9"/>
    <w:rsid w:val="0ED91C40"/>
    <w:rsid w:val="0EE52393"/>
    <w:rsid w:val="0EE7435D"/>
    <w:rsid w:val="0EED435D"/>
    <w:rsid w:val="0F0C3DC3"/>
    <w:rsid w:val="0F205179"/>
    <w:rsid w:val="0F234C69"/>
    <w:rsid w:val="0F2E3D3A"/>
    <w:rsid w:val="0F340C24"/>
    <w:rsid w:val="0F365843"/>
    <w:rsid w:val="0F3B6457"/>
    <w:rsid w:val="0F3D3F7D"/>
    <w:rsid w:val="0F470958"/>
    <w:rsid w:val="0F694D72"/>
    <w:rsid w:val="0F6960C6"/>
    <w:rsid w:val="0F940337"/>
    <w:rsid w:val="0FAC2EB1"/>
    <w:rsid w:val="0FBD382E"/>
    <w:rsid w:val="0FC44D61"/>
    <w:rsid w:val="0FC87CEA"/>
    <w:rsid w:val="0FCB3337"/>
    <w:rsid w:val="0FCD3553"/>
    <w:rsid w:val="0FCD5301"/>
    <w:rsid w:val="0FE10DAC"/>
    <w:rsid w:val="0FF00FEF"/>
    <w:rsid w:val="0FF705D0"/>
    <w:rsid w:val="0FFC7994"/>
    <w:rsid w:val="0FFF7484"/>
    <w:rsid w:val="10023352"/>
    <w:rsid w:val="1004625E"/>
    <w:rsid w:val="100F3B6B"/>
    <w:rsid w:val="10101691"/>
    <w:rsid w:val="1010343F"/>
    <w:rsid w:val="101051ED"/>
    <w:rsid w:val="101E3DAE"/>
    <w:rsid w:val="1021389E"/>
    <w:rsid w:val="1030763E"/>
    <w:rsid w:val="103233B6"/>
    <w:rsid w:val="104906FF"/>
    <w:rsid w:val="105552F6"/>
    <w:rsid w:val="1069331B"/>
    <w:rsid w:val="10790FE5"/>
    <w:rsid w:val="10861486"/>
    <w:rsid w:val="108A0BF4"/>
    <w:rsid w:val="108F0808"/>
    <w:rsid w:val="109202F8"/>
    <w:rsid w:val="109C7F8D"/>
    <w:rsid w:val="109E6C9D"/>
    <w:rsid w:val="10A02A15"/>
    <w:rsid w:val="10A5627E"/>
    <w:rsid w:val="10A83678"/>
    <w:rsid w:val="10BB33AB"/>
    <w:rsid w:val="10CF48C6"/>
    <w:rsid w:val="10E10337"/>
    <w:rsid w:val="10F845FF"/>
    <w:rsid w:val="10FB43C6"/>
    <w:rsid w:val="11205904"/>
    <w:rsid w:val="113849FC"/>
    <w:rsid w:val="113E5D8A"/>
    <w:rsid w:val="1154061C"/>
    <w:rsid w:val="115455AE"/>
    <w:rsid w:val="11547950"/>
    <w:rsid w:val="11561326"/>
    <w:rsid w:val="11583891"/>
    <w:rsid w:val="117A14B8"/>
    <w:rsid w:val="11840457"/>
    <w:rsid w:val="118B5473"/>
    <w:rsid w:val="11910467"/>
    <w:rsid w:val="119F2CCD"/>
    <w:rsid w:val="11BD6C89"/>
    <w:rsid w:val="11D64F83"/>
    <w:rsid w:val="11D706B9"/>
    <w:rsid w:val="11D81D3B"/>
    <w:rsid w:val="11DD37F5"/>
    <w:rsid w:val="11E626AA"/>
    <w:rsid w:val="11E903EC"/>
    <w:rsid w:val="11E93504"/>
    <w:rsid w:val="11FE21B2"/>
    <w:rsid w:val="12011292"/>
    <w:rsid w:val="12071BEC"/>
    <w:rsid w:val="123477C3"/>
    <w:rsid w:val="12371157"/>
    <w:rsid w:val="123F625E"/>
    <w:rsid w:val="124E024F"/>
    <w:rsid w:val="12521AED"/>
    <w:rsid w:val="125C296C"/>
    <w:rsid w:val="12635AA8"/>
    <w:rsid w:val="127001F4"/>
    <w:rsid w:val="12744159"/>
    <w:rsid w:val="127E74F2"/>
    <w:rsid w:val="12914127"/>
    <w:rsid w:val="12B02CB8"/>
    <w:rsid w:val="12B207DE"/>
    <w:rsid w:val="12B97DBE"/>
    <w:rsid w:val="12CD1ABC"/>
    <w:rsid w:val="12E666D9"/>
    <w:rsid w:val="12E8656E"/>
    <w:rsid w:val="12E95DFB"/>
    <w:rsid w:val="12F601D0"/>
    <w:rsid w:val="12FD414F"/>
    <w:rsid w:val="1300779B"/>
    <w:rsid w:val="130B533F"/>
    <w:rsid w:val="130B721B"/>
    <w:rsid w:val="130B7EEE"/>
    <w:rsid w:val="13161B8D"/>
    <w:rsid w:val="131B6383"/>
    <w:rsid w:val="131E7C21"/>
    <w:rsid w:val="13255454"/>
    <w:rsid w:val="13272F7A"/>
    <w:rsid w:val="13370CE3"/>
    <w:rsid w:val="134D0507"/>
    <w:rsid w:val="135D2E40"/>
    <w:rsid w:val="135D4BEE"/>
    <w:rsid w:val="135F0966"/>
    <w:rsid w:val="136B45C6"/>
    <w:rsid w:val="137361BF"/>
    <w:rsid w:val="1376180B"/>
    <w:rsid w:val="1385201F"/>
    <w:rsid w:val="13944AD6"/>
    <w:rsid w:val="139935EF"/>
    <w:rsid w:val="139A7BF0"/>
    <w:rsid w:val="139B50EA"/>
    <w:rsid w:val="13B80076"/>
    <w:rsid w:val="13CF0812"/>
    <w:rsid w:val="13D03611"/>
    <w:rsid w:val="13D749A0"/>
    <w:rsid w:val="13E26EA1"/>
    <w:rsid w:val="13E9022F"/>
    <w:rsid w:val="13F5101B"/>
    <w:rsid w:val="1410303C"/>
    <w:rsid w:val="14131750"/>
    <w:rsid w:val="141F6347"/>
    <w:rsid w:val="14321BD6"/>
    <w:rsid w:val="14333BA0"/>
    <w:rsid w:val="14357DCC"/>
    <w:rsid w:val="14576EEE"/>
    <w:rsid w:val="14616F66"/>
    <w:rsid w:val="146D0E60"/>
    <w:rsid w:val="149C34F4"/>
    <w:rsid w:val="149E54BE"/>
    <w:rsid w:val="14A10B0A"/>
    <w:rsid w:val="14A26B2C"/>
    <w:rsid w:val="14A95C11"/>
    <w:rsid w:val="14B52807"/>
    <w:rsid w:val="14B60A59"/>
    <w:rsid w:val="14BA1BCC"/>
    <w:rsid w:val="14D233B9"/>
    <w:rsid w:val="14E62BBE"/>
    <w:rsid w:val="14EA24B1"/>
    <w:rsid w:val="14F54ABC"/>
    <w:rsid w:val="15071B6F"/>
    <w:rsid w:val="151005DB"/>
    <w:rsid w:val="151115AF"/>
    <w:rsid w:val="15173AA9"/>
    <w:rsid w:val="15316332"/>
    <w:rsid w:val="15325C06"/>
    <w:rsid w:val="153E0A4F"/>
    <w:rsid w:val="155618F4"/>
    <w:rsid w:val="155D7127"/>
    <w:rsid w:val="155E5BEA"/>
    <w:rsid w:val="156E1EAC"/>
    <w:rsid w:val="156F7A3C"/>
    <w:rsid w:val="15791A87"/>
    <w:rsid w:val="157C7D36"/>
    <w:rsid w:val="1582093B"/>
    <w:rsid w:val="15897F1C"/>
    <w:rsid w:val="15915022"/>
    <w:rsid w:val="159A3ED7"/>
    <w:rsid w:val="159B37AB"/>
    <w:rsid w:val="15A00DC2"/>
    <w:rsid w:val="15A33676"/>
    <w:rsid w:val="15A53820"/>
    <w:rsid w:val="15C2342E"/>
    <w:rsid w:val="15CD343F"/>
    <w:rsid w:val="15E92769"/>
    <w:rsid w:val="15EB0440"/>
    <w:rsid w:val="15EB4733"/>
    <w:rsid w:val="15ED7C1A"/>
    <w:rsid w:val="15F3452F"/>
    <w:rsid w:val="15F66C34"/>
    <w:rsid w:val="15FF01DE"/>
    <w:rsid w:val="16102EF3"/>
    <w:rsid w:val="16175528"/>
    <w:rsid w:val="161D0664"/>
    <w:rsid w:val="16227A29"/>
    <w:rsid w:val="162B467B"/>
    <w:rsid w:val="16315EBE"/>
    <w:rsid w:val="16385238"/>
    <w:rsid w:val="163D3E43"/>
    <w:rsid w:val="1642631D"/>
    <w:rsid w:val="165D20B6"/>
    <w:rsid w:val="166149F5"/>
    <w:rsid w:val="16685A19"/>
    <w:rsid w:val="16747AE7"/>
    <w:rsid w:val="1675224E"/>
    <w:rsid w:val="16783AEC"/>
    <w:rsid w:val="167A5AB7"/>
    <w:rsid w:val="167C35DD"/>
    <w:rsid w:val="16810BF3"/>
    <w:rsid w:val="16B56AEF"/>
    <w:rsid w:val="16C0190D"/>
    <w:rsid w:val="16C72BF2"/>
    <w:rsid w:val="16CB6312"/>
    <w:rsid w:val="16CD3E38"/>
    <w:rsid w:val="16D01B7A"/>
    <w:rsid w:val="16F413C5"/>
    <w:rsid w:val="17030806"/>
    <w:rsid w:val="171F21BA"/>
    <w:rsid w:val="172A4458"/>
    <w:rsid w:val="172A4DE7"/>
    <w:rsid w:val="173739A8"/>
    <w:rsid w:val="173E0892"/>
    <w:rsid w:val="173E0EEE"/>
    <w:rsid w:val="17451C21"/>
    <w:rsid w:val="174B2FAF"/>
    <w:rsid w:val="17555BDC"/>
    <w:rsid w:val="17571954"/>
    <w:rsid w:val="175C1B39"/>
    <w:rsid w:val="175D5FCB"/>
    <w:rsid w:val="17681DB3"/>
    <w:rsid w:val="1772490A"/>
    <w:rsid w:val="178D35C8"/>
    <w:rsid w:val="17AB69E5"/>
    <w:rsid w:val="17B33AFC"/>
    <w:rsid w:val="17C84600"/>
    <w:rsid w:val="17E30229"/>
    <w:rsid w:val="17E53404"/>
    <w:rsid w:val="17EF7DDE"/>
    <w:rsid w:val="17FB6783"/>
    <w:rsid w:val="18095344"/>
    <w:rsid w:val="180F796F"/>
    <w:rsid w:val="18137F71"/>
    <w:rsid w:val="181A12FF"/>
    <w:rsid w:val="1827030A"/>
    <w:rsid w:val="183B1275"/>
    <w:rsid w:val="184620F4"/>
    <w:rsid w:val="184E0EE2"/>
    <w:rsid w:val="185B17A4"/>
    <w:rsid w:val="18697B91"/>
    <w:rsid w:val="186C7681"/>
    <w:rsid w:val="18714C97"/>
    <w:rsid w:val="188271FD"/>
    <w:rsid w:val="188D7D23"/>
    <w:rsid w:val="189A41EE"/>
    <w:rsid w:val="18A920E9"/>
    <w:rsid w:val="18AB1F57"/>
    <w:rsid w:val="18C13529"/>
    <w:rsid w:val="18ED3FE3"/>
    <w:rsid w:val="18FE29CF"/>
    <w:rsid w:val="19040F6C"/>
    <w:rsid w:val="190A139A"/>
    <w:rsid w:val="191C4C03"/>
    <w:rsid w:val="19404D95"/>
    <w:rsid w:val="19600F94"/>
    <w:rsid w:val="196169CC"/>
    <w:rsid w:val="19622356"/>
    <w:rsid w:val="19670574"/>
    <w:rsid w:val="197E766C"/>
    <w:rsid w:val="19856C4C"/>
    <w:rsid w:val="19AF1F1B"/>
    <w:rsid w:val="19BD63E6"/>
    <w:rsid w:val="19C364F9"/>
    <w:rsid w:val="19D05D1F"/>
    <w:rsid w:val="19D379B8"/>
    <w:rsid w:val="19D668B2"/>
    <w:rsid w:val="19D819B8"/>
    <w:rsid w:val="19DB686C"/>
    <w:rsid w:val="19DE010A"/>
    <w:rsid w:val="19EA245E"/>
    <w:rsid w:val="19F04454"/>
    <w:rsid w:val="1A005CEB"/>
    <w:rsid w:val="1A073B05"/>
    <w:rsid w:val="1A0C4C78"/>
    <w:rsid w:val="1A106784"/>
    <w:rsid w:val="1A1A3838"/>
    <w:rsid w:val="1A231FC1"/>
    <w:rsid w:val="1A3E3269"/>
    <w:rsid w:val="1A515305"/>
    <w:rsid w:val="1A554870"/>
    <w:rsid w:val="1A5C317E"/>
    <w:rsid w:val="1A666AF1"/>
    <w:rsid w:val="1A6E2296"/>
    <w:rsid w:val="1A750A6F"/>
    <w:rsid w:val="1A9B5FFB"/>
    <w:rsid w:val="1ABF345A"/>
    <w:rsid w:val="1AC9700C"/>
    <w:rsid w:val="1ACC4407"/>
    <w:rsid w:val="1AD64D12"/>
    <w:rsid w:val="1ADA2FC8"/>
    <w:rsid w:val="1AF75928"/>
    <w:rsid w:val="1B0A7C6C"/>
    <w:rsid w:val="1B2427F4"/>
    <w:rsid w:val="1B612141"/>
    <w:rsid w:val="1B642891"/>
    <w:rsid w:val="1B666609"/>
    <w:rsid w:val="1B670CB1"/>
    <w:rsid w:val="1B6805D3"/>
    <w:rsid w:val="1B743499"/>
    <w:rsid w:val="1B7E3953"/>
    <w:rsid w:val="1B9211AC"/>
    <w:rsid w:val="1B9A06A0"/>
    <w:rsid w:val="1BA2131C"/>
    <w:rsid w:val="1BA3785E"/>
    <w:rsid w:val="1BBC26CD"/>
    <w:rsid w:val="1BFA15BA"/>
    <w:rsid w:val="1C146065"/>
    <w:rsid w:val="1C3D380E"/>
    <w:rsid w:val="1C4F16D7"/>
    <w:rsid w:val="1C580648"/>
    <w:rsid w:val="1C6C5EA1"/>
    <w:rsid w:val="1C857FF6"/>
    <w:rsid w:val="1C9348C5"/>
    <w:rsid w:val="1C940F54"/>
    <w:rsid w:val="1C9D24FF"/>
    <w:rsid w:val="1CAA0778"/>
    <w:rsid w:val="1CAC629E"/>
    <w:rsid w:val="1CB515F6"/>
    <w:rsid w:val="1CBD66FD"/>
    <w:rsid w:val="1CC06C72"/>
    <w:rsid w:val="1CC96E50"/>
    <w:rsid w:val="1CDA72AF"/>
    <w:rsid w:val="1CE27F12"/>
    <w:rsid w:val="1CE43C8A"/>
    <w:rsid w:val="1CF0262F"/>
    <w:rsid w:val="1CF30371"/>
    <w:rsid w:val="1CFF2872"/>
    <w:rsid w:val="1D097B94"/>
    <w:rsid w:val="1D0B016D"/>
    <w:rsid w:val="1D425C5C"/>
    <w:rsid w:val="1D466790"/>
    <w:rsid w:val="1D5E3A3C"/>
    <w:rsid w:val="1D6372A4"/>
    <w:rsid w:val="1D6A32DA"/>
    <w:rsid w:val="1D6F5C49"/>
    <w:rsid w:val="1D7E7C3A"/>
    <w:rsid w:val="1D8316F5"/>
    <w:rsid w:val="1D874F90"/>
    <w:rsid w:val="1D880AB9"/>
    <w:rsid w:val="1D903E12"/>
    <w:rsid w:val="1D9456B0"/>
    <w:rsid w:val="1DAD0520"/>
    <w:rsid w:val="1DB775F0"/>
    <w:rsid w:val="1DD97014"/>
    <w:rsid w:val="1DF12B02"/>
    <w:rsid w:val="1DF20628"/>
    <w:rsid w:val="1DFB7FBE"/>
    <w:rsid w:val="1E026ABD"/>
    <w:rsid w:val="1E036392"/>
    <w:rsid w:val="1E077F4A"/>
    <w:rsid w:val="1E0C793C"/>
    <w:rsid w:val="1E1E5582"/>
    <w:rsid w:val="1E2527AC"/>
    <w:rsid w:val="1E3173A3"/>
    <w:rsid w:val="1E5B1DB9"/>
    <w:rsid w:val="1E6E4153"/>
    <w:rsid w:val="1E6F3A27"/>
    <w:rsid w:val="1E8079E2"/>
    <w:rsid w:val="1E8219AC"/>
    <w:rsid w:val="1E935967"/>
    <w:rsid w:val="1EA44ED2"/>
    <w:rsid w:val="1EA77665"/>
    <w:rsid w:val="1EB51D82"/>
    <w:rsid w:val="1EBD3B62"/>
    <w:rsid w:val="1EBF49AE"/>
    <w:rsid w:val="1EBF675C"/>
    <w:rsid w:val="1ED65854"/>
    <w:rsid w:val="1EE14925"/>
    <w:rsid w:val="1EE61F3B"/>
    <w:rsid w:val="1EEA76B6"/>
    <w:rsid w:val="1EEC5078"/>
    <w:rsid w:val="1EFF2FFD"/>
    <w:rsid w:val="1F0E1492"/>
    <w:rsid w:val="1F1D16D5"/>
    <w:rsid w:val="1F2A60D3"/>
    <w:rsid w:val="1F531646"/>
    <w:rsid w:val="1F572E39"/>
    <w:rsid w:val="1F63358C"/>
    <w:rsid w:val="1F784B5D"/>
    <w:rsid w:val="1F7A2683"/>
    <w:rsid w:val="1F881244"/>
    <w:rsid w:val="1F9F20EA"/>
    <w:rsid w:val="1FA616CA"/>
    <w:rsid w:val="1FC97167"/>
    <w:rsid w:val="1FCD6C57"/>
    <w:rsid w:val="1FD2426D"/>
    <w:rsid w:val="1FD955FC"/>
    <w:rsid w:val="1FFE32B4"/>
    <w:rsid w:val="2000742F"/>
    <w:rsid w:val="202A22FB"/>
    <w:rsid w:val="20322F5E"/>
    <w:rsid w:val="203B1E13"/>
    <w:rsid w:val="20401B1F"/>
    <w:rsid w:val="204C04C4"/>
    <w:rsid w:val="20562CC9"/>
    <w:rsid w:val="205630F0"/>
    <w:rsid w:val="2059673D"/>
    <w:rsid w:val="205B24B5"/>
    <w:rsid w:val="206E043A"/>
    <w:rsid w:val="207179F4"/>
    <w:rsid w:val="20976CDE"/>
    <w:rsid w:val="209854B7"/>
    <w:rsid w:val="20A025BE"/>
    <w:rsid w:val="20C46301"/>
    <w:rsid w:val="20C73E47"/>
    <w:rsid w:val="20E06E5E"/>
    <w:rsid w:val="20EE3329"/>
    <w:rsid w:val="20F36B91"/>
    <w:rsid w:val="20F7622C"/>
    <w:rsid w:val="212163FE"/>
    <w:rsid w:val="21221225"/>
    <w:rsid w:val="212C3E51"/>
    <w:rsid w:val="214116AB"/>
    <w:rsid w:val="21441A50"/>
    <w:rsid w:val="21521B0A"/>
    <w:rsid w:val="215D04AF"/>
    <w:rsid w:val="21667363"/>
    <w:rsid w:val="216E446A"/>
    <w:rsid w:val="21705338"/>
    <w:rsid w:val="21747CD2"/>
    <w:rsid w:val="217741AC"/>
    <w:rsid w:val="21821CC3"/>
    <w:rsid w:val="21A67553"/>
    <w:rsid w:val="21A834C5"/>
    <w:rsid w:val="21B77BBF"/>
    <w:rsid w:val="21C734F7"/>
    <w:rsid w:val="21F04E7F"/>
    <w:rsid w:val="21FB383C"/>
    <w:rsid w:val="21FC3824"/>
    <w:rsid w:val="222B5EB7"/>
    <w:rsid w:val="223236E9"/>
    <w:rsid w:val="223E208E"/>
    <w:rsid w:val="22462CF1"/>
    <w:rsid w:val="22490414"/>
    <w:rsid w:val="224A05B8"/>
    <w:rsid w:val="225639C9"/>
    <w:rsid w:val="22761828"/>
    <w:rsid w:val="227B0BEC"/>
    <w:rsid w:val="22816B73"/>
    <w:rsid w:val="2288155B"/>
    <w:rsid w:val="22925F36"/>
    <w:rsid w:val="22B87D4D"/>
    <w:rsid w:val="22BE4F7D"/>
    <w:rsid w:val="22C72083"/>
    <w:rsid w:val="22CC3E6F"/>
    <w:rsid w:val="22CF1D97"/>
    <w:rsid w:val="22D16A5E"/>
    <w:rsid w:val="22D95913"/>
    <w:rsid w:val="22F77E40"/>
    <w:rsid w:val="22FD7853"/>
    <w:rsid w:val="231D1CA3"/>
    <w:rsid w:val="23201794"/>
    <w:rsid w:val="23294058"/>
    <w:rsid w:val="232D1E32"/>
    <w:rsid w:val="235651B5"/>
    <w:rsid w:val="23580F2E"/>
    <w:rsid w:val="235A6A54"/>
    <w:rsid w:val="235D02F2"/>
    <w:rsid w:val="23641680"/>
    <w:rsid w:val="237D11EE"/>
    <w:rsid w:val="23924B55"/>
    <w:rsid w:val="23952182"/>
    <w:rsid w:val="23A67EEB"/>
    <w:rsid w:val="23A83C63"/>
    <w:rsid w:val="23CB16FF"/>
    <w:rsid w:val="23CC51C8"/>
    <w:rsid w:val="23CF05F8"/>
    <w:rsid w:val="23D52A7A"/>
    <w:rsid w:val="23D94CCE"/>
    <w:rsid w:val="23E66539"/>
    <w:rsid w:val="23EF651D"/>
    <w:rsid w:val="23F073B8"/>
    <w:rsid w:val="23FB6A9C"/>
    <w:rsid w:val="23FB7BDA"/>
    <w:rsid w:val="23FC5D5D"/>
    <w:rsid w:val="24183DE7"/>
    <w:rsid w:val="242F0566"/>
    <w:rsid w:val="244020ED"/>
    <w:rsid w:val="2446347C"/>
    <w:rsid w:val="244C451B"/>
    <w:rsid w:val="244D65B8"/>
    <w:rsid w:val="24547947"/>
    <w:rsid w:val="24574420"/>
    <w:rsid w:val="245C4A4D"/>
    <w:rsid w:val="246A5D27"/>
    <w:rsid w:val="24727DCD"/>
    <w:rsid w:val="24737443"/>
    <w:rsid w:val="24776EBC"/>
    <w:rsid w:val="247D4E2F"/>
    <w:rsid w:val="2481570A"/>
    <w:rsid w:val="24A563F4"/>
    <w:rsid w:val="24AC5084"/>
    <w:rsid w:val="24BC729A"/>
    <w:rsid w:val="24C85C3F"/>
    <w:rsid w:val="24D81481"/>
    <w:rsid w:val="24E0742D"/>
    <w:rsid w:val="24F9229C"/>
    <w:rsid w:val="250168B5"/>
    <w:rsid w:val="250F1AC0"/>
    <w:rsid w:val="25171EA5"/>
    <w:rsid w:val="25180974"/>
    <w:rsid w:val="252E0198"/>
    <w:rsid w:val="25330F95"/>
    <w:rsid w:val="253D3838"/>
    <w:rsid w:val="254C4AC2"/>
    <w:rsid w:val="25506360"/>
    <w:rsid w:val="25573A28"/>
    <w:rsid w:val="255B2F57"/>
    <w:rsid w:val="25665B84"/>
    <w:rsid w:val="257D111F"/>
    <w:rsid w:val="25806767"/>
    <w:rsid w:val="25822292"/>
    <w:rsid w:val="259721E1"/>
    <w:rsid w:val="259D70CC"/>
    <w:rsid w:val="25B214B7"/>
    <w:rsid w:val="25B85CB3"/>
    <w:rsid w:val="25C40AFC"/>
    <w:rsid w:val="25D074A1"/>
    <w:rsid w:val="25E57DC6"/>
    <w:rsid w:val="25E90563"/>
    <w:rsid w:val="25E940BF"/>
    <w:rsid w:val="25EB7E37"/>
    <w:rsid w:val="25F211C5"/>
    <w:rsid w:val="25F66BC3"/>
    <w:rsid w:val="25F74A2E"/>
    <w:rsid w:val="26012FBD"/>
    <w:rsid w:val="26053FC3"/>
    <w:rsid w:val="26065781"/>
    <w:rsid w:val="26084E8D"/>
    <w:rsid w:val="26094761"/>
    <w:rsid w:val="26127ABA"/>
    <w:rsid w:val="261A071C"/>
    <w:rsid w:val="2637307C"/>
    <w:rsid w:val="263C0693"/>
    <w:rsid w:val="26431A21"/>
    <w:rsid w:val="265C26B2"/>
    <w:rsid w:val="2663431E"/>
    <w:rsid w:val="2674607E"/>
    <w:rsid w:val="267937B6"/>
    <w:rsid w:val="267F28FE"/>
    <w:rsid w:val="26836153"/>
    <w:rsid w:val="268A524A"/>
    <w:rsid w:val="268F110A"/>
    <w:rsid w:val="26962DDB"/>
    <w:rsid w:val="269A696C"/>
    <w:rsid w:val="26A561C0"/>
    <w:rsid w:val="26AB6BF2"/>
    <w:rsid w:val="26AD1590"/>
    <w:rsid w:val="26B24DF9"/>
    <w:rsid w:val="26D03ABD"/>
    <w:rsid w:val="26D66D39"/>
    <w:rsid w:val="26DF395B"/>
    <w:rsid w:val="26E74AA2"/>
    <w:rsid w:val="26EF3957"/>
    <w:rsid w:val="270537D9"/>
    <w:rsid w:val="270B59D1"/>
    <w:rsid w:val="27127645"/>
    <w:rsid w:val="271D6716"/>
    <w:rsid w:val="27200974"/>
    <w:rsid w:val="27207FB4"/>
    <w:rsid w:val="27220408"/>
    <w:rsid w:val="272D447F"/>
    <w:rsid w:val="27313F6F"/>
    <w:rsid w:val="273D0B66"/>
    <w:rsid w:val="27421CD9"/>
    <w:rsid w:val="276205CD"/>
    <w:rsid w:val="276C4FA7"/>
    <w:rsid w:val="277D5407"/>
    <w:rsid w:val="27941703"/>
    <w:rsid w:val="27A14EF6"/>
    <w:rsid w:val="27A209C9"/>
    <w:rsid w:val="27A24EE5"/>
    <w:rsid w:val="27B274EC"/>
    <w:rsid w:val="27B32BD6"/>
    <w:rsid w:val="27C32AC5"/>
    <w:rsid w:val="27C40E9E"/>
    <w:rsid w:val="27DA4607"/>
    <w:rsid w:val="27E82BB4"/>
    <w:rsid w:val="2810296D"/>
    <w:rsid w:val="28166578"/>
    <w:rsid w:val="28247630"/>
    <w:rsid w:val="284303FE"/>
    <w:rsid w:val="2849353B"/>
    <w:rsid w:val="2852419D"/>
    <w:rsid w:val="28616AD6"/>
    <w:rsid w:val="286A598B"/>
    <w:rsid w:val="286D1F56"/>
    <w:rsid w:val="286E4D4F"/>
    <w:rsid w:val="28722A91"/>
    <w:rsid w:val="28795BCE"/>
    <w:rsid w:val="28892427"/>
    <w:rsid w:val="288E2E83"/>
    <w:rsid w:val="28935332"/>
    <w:rsid w:val="28B44E58"/>
    <w:rsid w:val="28BA1D43"/>
    <w:rsid w:val="28D6498F"/>
    <w:rsid w:val="28E55011"/>
    <w:rsid w:val="28FC52BC"/>
    <w:rsid w:val="290C07F0"/>
    <w:rsid w:val="29192394"/>
    <w:rsid w:val="29226D1A"/>
    <w:rsid w:val="292A6EC8"/>
    <w:rsid w:val="29325D7D"/>
    <w:rsid w:val="293D6BFB"/>
    <w:rsid w:val="29654C15"/>
    <w:rsid w:val="29657F00"/>
    <w:rsid w:val="29673C78"/>
    <w:rsid w:val="29715A77"/>
    <w:rsid w:val="2976210D"/>
    <w:rsid w:val="29791BFE"/>
    <w:rsid w:val="29852351"/>
    <w:rsid w:val="29934A6D"/>
    <w:rsid w:val="299D769A"/>
    <w:rsid w:val="29AA0009"/>
    <w:rsid w:val="29AA2FB9"/>
    <w:rsid w:val="29AE18A7"/>
    <w:rsid w:val="29B669AE"/>
    <w:rsid w:val="29C73F17"/>
    <w:rsid w:val="29C83614"/>
    <w:rsid w:val="29E11C7D"/>
    <w:rsid w:val="29EF0088"/>
    <w:rsid w:val="29F3375E"/>
    <w:rsid w:val="2A135A4B"/>
    <w:rsid w:val="2A381655"/>
    <w:rsid w:val="2A497822"/>
    <w:rsid w:val="2A7D30BC"/>
    <w:rsid w:val="2A895E70"/>
    <w:rsid w:val="2AD25A69"/>
    <w:rsid w:val="2AD96DF8"/>
    <w:rsid w:val="2AE31A25"/>
    <w:rsid w:val="2AE67382"/>
    <w:rsid w:val="2AE74787"/>
    <w:rsid w:val="2AE80DE9"/>
    <w:rsid w:val="2B033E75"/>
    <w:rsid w:val="2B2D4A4E"/>
    <w:rsid w:val="2B2F07C6"/>
    <w:rsid w:val="2B391645"/>
    <w:rsid w:val="2B3C7503"/>
    <w:rsid w:val="2B595A4B"/>
    <w:rsid w:val="2B606BD1"/>
    <w:rsid w:val="2B612949"/>
    <w:rsid w:val="2B6F5066"/>
    <w:rsid w:val="2B801021"/>
    <w:rsid w:val="2B824D9A"/>
    <w:rsid w:val="2B886128"/>
    <w:rsid w:val="2B8D373E"/>
    <w:rsid w:val="2B944ACD"/>
    <w:rsid w:val="2B9920E3"/>
    <w:rsid w:val="2BA2368E"/>
    <w:rsid w:val="2BAA609E"/>
    <w:rsid w:val="2BAB09FF"/>
    <w:rsid w:val="2BAF7B59"/>
    <w:rsid w:val="2BC47E08"/>
    <w:rsid w:val="2BDC6290"/>
    <w:rsid w:val="2BE315B0"/>
    <w:rsid w:val="2BE414A3"/>
    <w:rsid w:val="2BF23003"/>
    <w:rsid w:val="2BFC0486"/>
    <w:rsid w:val="2C097269"/>
    <w:rsid w:val="2C0C4FAB"/>
    <w:rsid w:val="2C155C0E"/>
    <w:rsid w:val="2C196BBF"/>
    <w:rsid w:val="2C1D0F66"/>
    <w:rsid w:val="2C2808EE"/>
    <w:rsid w:val="2C3E3247"/>
    <w:rsid w:val="2C4340F7"/>
    <w:rsid w:val="2C471B3F"/>
    <w:rsid w:val="2C536973"/>
    <w:rsid w:val="2C56507C"/>
    <w:rsid w:val="2C5A1872"/>
    <w:rsid w:val="2C610E53"/>
    <w:rsid w:val="2C620E6F"/>
    <w:rsid w:val="2C697D08"/>
    <w:rsid w:val="2C8965FC"/>
    <w:rsid w:val="2C9034E6"/>
    <w:rsid w:val="2C907A8D"/>
    <w:rsid w:val="2C97618F"/>
    <w:rsid w:val="2CBF5B79"/>
    <w:rsid w:val="2CCB451E"/>
    <w:rsid w:val="2CCB7DC7"/>
    <w:rsid w:val="2CCD43EC"/>
    <w:rsid w:val="2CD258AD"/>
    <w:rsid w:val="2CF03F85"/>
    <w:rsid w:val="2CFA164C"/>
    <w:rsid w:val="2CFE1072"/>
    <w:rsid w:val="2D087520"/>
    <w:rsid w:val="2D194521"/>
    <w:rsid w:val="2D285E15"/>
    <w:rsid w:val="2D3F3F06"/>
    <w:rsid w:val="2D450775"/>
    <w:rsid w:val="2D4E6182"/>
    <w:rsid w:val="2D50487E"/>
    <w:rsid w:val="2D6F57F1"/>
    <w:rsid w:val="2D6F75A0"/>
    <w:rsid w:val="2D8062CF"/>
    <w:rsid w:val="2D81006B"/>
    <w:rsid w:val="2D8C0151"/>
    <w:rsid w:val="2D8F288D"/>
    <w:rsid w:val="2DA749EF"/>
    <w:rsid w:val="2DB70388"/>
    <w:rsid w:val="2DCB420B"/>
    <w:rsid w:val="2DD41AF8"/>
    <w:rsid w:val="2DDB2E87"/>
    <w:rsid w:val="2DE845AD"/>
    <w:rsid w:val="2DEE4083"/>
    <w:rsid w:val="2DF31F7F"/>
    <w:rsid w:val="2E0221C2"/>
    <w:rsid w:val="2E240010"/>
    <w:rsid w:val="2E255EB0"/>
    <w:rsid w:val="2E366468"/>
    <w:rsid w:val="2E3C24D3"/>
    <w:rsid w:val="2E5121F0"/>
    <w:rsid w:val="2E62083E"/>
    <w:rsid w:val="2E625356"/>
    <w:rsid w:val="2E7A444E"/>
    <w:rsid w:val="2E8B665B"/>
    <w:rsid w:val="2E921798"/>
    <w:rsid w:val="2E9279E9"/>
    <w:rsid w:val="2E9820A1"/>
    <w:rsid w:val="2E9A4AF0"/>
    <w:rsid w:val="2E9D1B54"/>
    <w:rsid w:val="2EA92A1B"/>
    <w:rsid w:val="2EB3170E"/>
    <w:rsid w:val="2ECE479A"/>
    <w:rsid w:val="2EE30245"/>
    <w:rsid w:val="2F285C58"/>
    <w:rsid w:val="2F395009"/>
    <w:rsid w:val="2F4405B8"/>
    <w:rsid w:val="2F6F1AD9"/>
    <w:rsid w:val="2F6F5035"/>
    <w:rsid w:val="2F762E67"/>
    <w:rsid w:val="2F81180C"/>
    <w:rsid w:val="2F8F5CD7"/>
    <w:rsid w:val="2F917CA1"/>
    <w:rsid w:val="2FA12DB4"/>
    <w:rsid w:val="2FAD43AF"/>
    <w:rsid w:val="2FAD7A6F"/>
    <w:rsid w:val="2FB70AF8"/>
    <w:rsid w:val="2FC040E2"/>
    <w:rsid w:val="2FC54262"/>
    <w:rsid w:val="2FC8743B"/>
    <w:rsid w:val="2FCD67FF"/>
    <w:rsid w:val="2FFF10AF"/>
    <w:rsid w:val="300264A9"/>
    <w:rsid w:val="300F0BC6"/>
    <w:rsid w:val="301627EA"/>
    <w:rsid w:val="302E3742"/>
    <w:rsid w:val="302E54F0"/>
    <w:rsid w:val="303845C1"/>
    <w:rsid w:val="30475CB4"/>
    <w:rsid w:val="304A524D"/>
    <w:rsid w:val="30601421"/>
    <w:rsid w:val="307757A1"/>
    <w:rsid w:val="307F7AFA"/>
    <w:rsid w:val="30913CD1"/>
    <w:rsid w:val="30963095"/>
    <w:rsid w:val="30C419B0"/>
    <w:rsid w:val="30C47C02"/>
    <w:rsid w:val="30C95219"/>
    <w:rsid w:val="30EB518F"/>
    <w:rsid w:val="30F71D86"/>
    <w:rsid w:val="30FA401A"/>
    <w:rsid w:val="30FD4EC2"/>
    <w:rsid w:val="310224D9"/>
    <w:rsid w:val="314B0324"/>
    <w:rsid w:val="315C4090"/>
    <w:rsid w:val="315C7E3B"/>
    <w:rsid w:val="31774C75"/>
    <w:rsid w:val="317E6003"/>
    <w:rsid w:val="31852689"/>
    <w:rsid w:val="318F0210"/>
    <w:rsid w:val="319A0963"/>
    <w:rsid w:val="319B05F0"/>
    <w:rsid w:val="31AA504A"/>
    <w:rsid w:val="31C12394"/>
    <w:rsid w:val="31F257B8"/>
    <w:rsid w:val="31FC4E6F"/>
    <w:rsid w:val="32036508"/>
    <w:rsid w:val="320A7897"/>
    <w:rsid w:val="32132BEF"/>
    <w:rsid w:val="32221084"/>
    <w:rsid w:val="322D6032"/>
    <w:rsid w:val="322F570A"/>
    <w:rsid w:val="323E39E4"/>
    <w:rsid w:val="324E3C27"/>
    <w:rsid w:val="32513718"/>
    <w:rsid w:val="325925CC"/>
    <w:rsid w:val="326C0551"/>
    <w:rsid w:val="327A2C6E"/>
    <w:rsid w:val="328815BE"/>
    <w:rsid w:val="328E005E"/>
    <w:rsid w:val="328F3C9B"/>
    <w:rsid w:val="32A464FC"/>
    <w:rsid w:val="32A7410E"/>
    <w:rsid w:val="32BF2D77"/>
    <w:rsid w:val="32BF68D3"/>
    <w:rsid w:val="32C75AF1"/>
    <w:rsid w:val="32E47AED"/>
    <w:rsid w:val="32F02F31"/>
    <w:rsid w:val="32FA3DAF"/>
    <w:rsid w:val="32FD5495"/>
    <w:rsid w:val="32FF7915"/>
    <w:rsid w:val="330D316C"/>
    <w:rsid w:val="331165C2"/>
    <w:rsid w:val="33122EA7"/>
    <w:rsid w:val="33152997"/>
    <w:rsid w:val="332E5807"/>
    <w:rsid w:val="33386686"/>
    <w:rsid w:val="3344327C"/>
    <w:rsid w:val="334B63B9"/>
    <w:rsid w:val="334D0383"/>
    <w:rsid w:val="335334BF"/>
    <w:rsid w:val="335C2374"/>
    <w:rsid w:val="3366169A"/>
    <w:rsid w:val="33697731"/>
    <w:rsid w:val="338564B0"/>
    <w:rsid w:val="338F274A"/>
    <w:rsid w:val="339064C2"/>
    <w:rsid w:val="33995376"/>
    <w:rsid w:val="33A85A8B"/>
    <w:rsid w:val="33AB2FDB"/>
    <w:rsid w:val="33B66A36"/>
    <w:rsid w:val="33B71CA0"/>
    <w:rsid w:val="33BC522A"/>
    <w:rsid w:val="33C65A3F"/>
    <w:rsid w:val="33C87A09"/>
    <w:rsid w:val="33EA7980"/>
    <w:rsid w:val="33F33F5C"/>
    <w:rsid w:val="33F75960"/>
    <w:rsid w:val="340065E3"/>
    <w:rsid w:val="34012F1B"/>
    <w:rsid w:val="3402116D"/>
    <w:rsid w:val="34030A42"/>
    <w:rsid w:val="340541A5"/>
    <w:rsid w:val="341B2968"/>
    <w:rsid w:val="342A4220"/>
    <w:rsid w:val="342D1AF4"/>
    <w:rsid w:val="343557F6"/>
    <w:rsid w:val="343706EB"/>
    <w:rsid w:val="34416F8F"/>
    <w:rsid w:val="344B0AEC"/>
    <w:rsid w:val="344C4197"/>
    <w:rsid w:val="345E036E"/>
    <w:rsid w:val="34633423"/>
    <w:rsid w:val="34711E4F"/>
    <w:rsid w:val="34731B63"/>
    <w:rsid w:val="34763909"/>
    <w:rsid w:val="34791669"/>
    <w:rsid w:val="347C3FD8"/>
    <w:rsid w:val="34897199"/>
    <w:rsid w:val="348E0C53"/>
    <w:rsid w:val="34925255"/>
    <w:rsid w:val="34945B3E"/>
    <w:rsid w:val="34A656C1"/>
    <w:rsid w:val="34A915E9"/>
    <w:rsid w:val="34AB35B3"/>
    <w:rsid w:val="34B61F58"/>
    <w:rsid w:val="34B87A7E"/>
    <w:rsid w:val="34BF2C17"/>
    <w:rsid w:val="34DA3E98"/>
    <w:rsid w:val="34E645EB"/>
    <w:rsid w:val="34E72EE8"/>
    <w:rsid w:val="34E97C37"/>
    <w:rsid w:val="34F226A3"/>
    <w:rsid w:val="34F30AB6"/>
    <w:rsid w:val="34F311A7"/>
    <w:rsid w:val="34F8431E"/>
    <w:rsid w:val="350B22A4"/>
    <w:rsid w:val="350B7FF6"/>
    <w:rsid w:val="350E769E"/>
    <w:rsid w:val="351078BA"/>
    <w:rsid w:val="35123632"/>
    <w:rsid w:val="35142D24"/>
    <w:rsid w:val="35284C04"/>
    <w:rsid w:val="35487F57"/>
    <w:rsid w:val="35610116"/>
    <w:rsid w:val="35613C72"/>
    <w:rsid w:val="356B13C7"/>
    <w:rsid w:val="357B28D6"/>
    <w:rsid w:val="357C4F4F"/>
    <w:rsid w:val="35844A52"/>
    <w:rsid w:val="358636D8"/>
    <w:rsid w:val="358E07DF"/>
    <w:rsid w:val="359A53D6"/>
    <w:rsid w:val="359D0A22"/>
    <w:rsid w:val="35B4236D"/>
    <w:rsid w:val="35BE2E72"/>
    <w:rsid w:val="35CB558F"/>
    <w:rsid w:val="35E36D7D"/>
    <w:rsid w:val="35E52AF5"/>
    <w:rsid w:val="35ED7BFB"/>
    <w:rsid w:val="360C62D3"/>
    <w:rsid w:val="360F36CE"/>
    <w:rsid w:val="3611540F"/>
    <w:rsid w:val="361A48B6"/>
    <w:rsid w:val="361E0E5B"/>
    <w:rsid w:val="36323860"/>
    <w:rsid w:val="363475D8"/>
    <w:rsid w:val="363B44C3"/>
    <w:rsid w:val="363D46DF"/>
    <w:rsid w:val="366003CD"/>
    <w:rsid w:val="367A1C9E"/>
    <w:rsid w:val="36976248"/>
    <w:rsid w:val="369E0EF6"/>
    <w:rsid w:val="36A55DE0"/>
    <w:rsid w:val="36AC53C0"/>
    <w:rsid w:val="36AD4DD9"/>
    <w:rsid w:val="36B50719"/>
    <w:rsid w:val="36B55EFA"/>
    <w:rsid w:val="36B56160"/>
    <w:rsid w:val="36D13079"/>
    <w:rsid w:val="36D466C5"/>
    <w:rsid w:val="36DD2116"/>
    <w:rsid w:val="36E25286"/>
    <w:rsid w:val="36F54FB9"/>
    <w:rsid w:val="36F80606"/>
    <w:rsid w:val="37023232"/>
    <w:rsid w:val="370C40B1"/>
    <w:rsid w:val="37207A8A"/>
    <w:rsid w:val="37461F96"/>
    <w:rsid w:val="375D490D"/>
    <w:rsid w:val="3763389D"/>
    <w:rsid w:val="37702892"/>
    <w:rsid w:val="37706156"/>
    <w:rsid w:val="378D0CB8"/>
    <w:rsid w:val="37A83DDA"/>
    <w:rsid w:val="37AD7398"/>
    <w:rsid w:val="37B00EE0"/>
    <w:rsid w:val="37B26A07"/>
    <w:rsid w:val="37B5599E"/>
    <w:rsid w:val="37B704C1"/>
    <w:rsid w:val="37C863F1"/>
    <w:rsid w:val="37C91FA2"/>
    <w:rsid w:val="37D20E57"/>
    <w:rsid w:val="381F5BF8"/>
    <w:rsid w:val="38305B7D"/>
    <w:rsid w:val="383733B0"/>
    <w:rsid w:val="38413B84"/>
    <w:rsid w:val="38523D46"/>
    <w:rsid w:val="386121DB"/>
    <w:rsid w:val="386341A5"/>
    <w:rsid w:val="386A5CFA"/>
    <w:rsid w:val="3885236D"/>
    <w:rsid w:val="388A1F77"/>
    <w:rsid w:val="388D2FD0"/>
    <w:rsid w:val="389425B0"/>
    <w:rsid w:val="38995E18"/>
    <w:rsid w:val="38A345A1"/>
    <w:rsid w:val="38B24941"/>
    <w:rsid w:val="38B51CFA"/>
    <w:rsid w:val="38ED3A6E"/>
    <w:rsid w:val="38EF326C"/>
    <w:rsid w:val="38FB618B"/>
    <w:rsid w:val="391D07F7"/>
    <w:rsid w:val="391E1E7A"/>
    <w:rsid w:val="392E4886"/>
    <w:rsid w:val="3933051C"/>
    <w:rsid w:val="394F605B"/>
    <w:rsid w:val="39534219"/>
    <w:rsid w:val="395471DC"/>
    <w:rsid w:val="395A7356"/>
    <w:rsid w:val="395F496C"/>
    <w:rsid w:val="396C0E37"/>
    <w:rsid w:val="39903780"/>
    <w:rsid w:val="39904B26"/>
    <w:rsid w:val="399565E0"/>
    <w:rsid w:val="39981C2C"/>
    <w:rsid w:val="399B34CA"/>
    <w:rsid w:val="39BD78E5"/>
    <w:rsid w:val="39BF365D"/>
    <w:rsid w:val="39BF540B"/>
    <w:rsid w:val="39CD3017"/>
    <w:rsid w:val="39CE38A0"/>
    <w:rsid w:val="39D54C2E"/>
    <w:rsid w:val="39D92970"/>
    <w:rsid w:val="39DF5AAD"/>
    <w:rsid w:val="39E3734B"/>
    <w:rsid w:val="39E44E71"/>
    <w:rsid w:val="39F5707E"/>
    <w:rsid w:val="39FD2248"/>
    <w:rsid w:val="3A0D6176"/>
    <w:rsid w:val="3A1219DE"/>
    <w:rsid w:val="3A282FB0"/>
    <w:rsid w:val="3A396F6B"/>
    <w:rsid w:val="3A3A2CE3"/>
    <w:rsid w:val="3A3D280E"/>
    <w:rsid w:val="3A4122C4"/>
    <w:rsid w:val="3A461688"/>
    <w:rsid w:val="3A5E69D2"/>
    <w:rsid w:val="3A5F274A"/>
    <w:rsid w:val="3A667F7C"/>
    <w:rsid w:val="3A685AA2"/>
    <w:rsid w:val="3A704957"/>
    <w:rsid w:val="3AAF36D1"/>
    <w:rsid w:val="3AB111F7"/>
    <w:rsid w:val="3AC23405"/>
    <w:rsid w:val="3AC3717D"/>
    <w:rsid w:val="3AD30584"/>
    <w:rsid w:val="3AD762C0"/>
    <w:rsid w:val="3AFD1C52"/>
    <w:rsid w:val="3B1D4ADF"/>
    <w:rsid w:val="3B263C07"/>
    <w:rsid w:val="3B2C6AD0"/>
    <w:rsid w:val="3B32411C"/>
    <w:rsid w:val="3B4C7172"/>
    <w:rsid w:val="3B5A363D"/>
    <w:rsid w:val="3B60677A"/>
    <w:rsid w:val="3B6E599A"/>
    <w:rsid w:val="3B7566C9"/>
    <w:rsid w:val="3B912DD7"/>
    <w:rsid w:val="3B950B19"/>
    <w:rsid w:val="3BA0301A"/>
    <w:rsid w:val="3BAE5737"/>
    <w:rsid w:val="3BB54D17"/>
    <w:rsid w:val="3BB56AC5"/>
    <w:rsid w:val="3BC92571"/>
    <w:rsid w:val="3BC9431F"/>
    <w:rsid w:val="3BD95144"/>
    <w:rsid w:val="3BDC53B4"/>
    <w:rsid w:val="3BE41159"/>
    <w:rsid w:val="3C02242F"/>
    <w:rsid w:val="3C0A37D4"/>
    <w:rsid w:val="3C125CC6"/>
    <w:rsid w:val="3C241E9D"/>
    <w:rsid w:val="3C3025F0"/>
    <w:rsid w:val="3C340CD4"/>
    <w:rsid w:val="3C3F394C"/>
    <w:rsid w:val="3C4A1903"/>
    <w:rsid w:val="3C656005"/>
    <w:rsid w:val="3C6A5454"/>
    <w:rsid w:val="3C7249B6"/>
    <w:rsid w:val="3C830972"/>
    <w:rsid w:val="3C8440D2"/>
    <w:rsid w:val="3C8623C3"/>
    <w:rsid w:val="3C8B5A78"/>
    <w:rsid w:val="3CA31014"/>
    <w:rsid w:val="3CA628B2"/>
    <w:rsid w:val="3CB324B6"/>
    <w:rsid w:val="3CF85EE1"/>
    <w:rsid w:val="3D001FC2"/>
    <w:rsid w:val="3D08531B"/>
    <w:rsid w:val="3D0C6BB9"/>
    <w:rsid w:val="3D143CBF"/>
    <w:rsid w:val="3D18555E"/>
    <w:rsid w:val="3D29776B"/>
    <w:rsid w:val="3D581DFE"/>
    <w:rsid w:val="3D74475E"/>
    <w:rsid w:val="3D7529B0"/>
    <w:rsid w:val="3D7B5AED"/>
    <w:rsid w:val="3D7B789B"/>
    <w:rsid w:val="3D976D74"/>
    <w:rsid w:val="3D98044D"/>
    <w:rsid w:val="3D980B7F"/>
    <w:rsid w:val="3DA830A3"/>
    <w:rsid w:val="3DB86D41"/>
    <w:rsid w:val="3DBA0EE7"/>
    <w:rsid w:val="3DE322F3"/>
    <w:rsid w:val="3DFB61F9"/>
    <w:rsid w:val="3E067AAC"/>
    <w:rsid w:val="3E175815"/>
    <w:rsid w:val="3E197D93"/>
    <w:rsid w:val="3E537F16"/>
    <w:rsid w:val="3E5537F5"/>
    <w:rsid w:val="3E5A7DF8"/>
    <w:rsid w:val="3E686071"/>
    <w:rsid w:val="3E731C8C"/>
    <w:rsid w:val="3E740EBA"/>
    <w:rsid w:val="3E854E75"/>
    <w:rsid w:val="3E886713"/>
    <w:rsid w:val="3E927592"/>
    <w:rsid w:val="3EB16D20"/>
    <w:rsid w:val="3EB70DA6"/>
    <w:rsid w:val="3ED07432"/>
    <w:rsid w:val="3ED35B77"/>
    <w:rsid w:val="3EE576C2"/>
    <w:rsid w:val="3F0264C5"/>
    <w:rsid w:val="3F0B2EA0"/>
    <w:rsid w:val="3F0F2990"/>
    <w:rsid w:val="3F1C4605"/>
    <w:rsid w:val="3F1C7840"/>
    <w:rsid w:val="3F4F3AB6"/>
    <w:rsid w:val="3F6525B0"/>
    <w:rsid w:val="3F7D2070"/>
    <w:rsid w:val="3F8919C0"/>
    <w:rsid w:val="3F8C5D8F"/>
    <w:rsid w:val="3FA532F5"/>
    <w:rsid w:val="3FC03C8B"/>
    <w:rsid w:val="3FC276F3"/>
    <w:rsid w:val="3FC930D0"/>
    <w:rsid w:val="3FD15E98"/>
    <w:rsid w:val="3FE756BB"/>
    <w:rsid w:val="3FEE2A7D"/>
    <w:rsid w:val="400B3158"/>
    <w:rsid w:val="400E0E9A"/>
    <w:rsid w:val="40185875"/>
    <w:rsid w:val="401D10DD"/>
    <w:rsid w:val="40227680"/>
    <w:rsid w:val="40281826"/>
    <w:rsid w:val="40356427"/>
    <w:rsid w:val="404A344A"/>
    <w:rsid w:val="404C4FE1"/>
    <w:rsid w:val="40550877"/>
    <w:rsid w:val="40585637"/>
    <w:rsid w:val="40644F5E"/>
    <w:rsid w:val="40741F5E"/>
    <w:rsid w:val="40742103"/>
    <w:rsid w:val="407927B7"/>
    <w:rsid w:val="4092099C"/>
    <w:rsid w:val="40C72698"/>
    <w:rsid w:val="40CD5F80"/>
    <w:rsid w:val="40CF687B"/>
    <w:rsid w:val="40D5220D"/>
    <w:rsid w:val="40EB2F11"/>
    <w:rsid w:val="40EB523D"/>
    <w:rsid w:val="40F97454"/>
    <w:rsid w:val="41016309"/>
    <w:rsid w:val="41062286"/>
    <w:rsid w:val="410B53D9"/>
    <w:rsid w:val="41112CFB"/>
    <w:rsid w:val="412D70FE"/>
    <w:rsid w:val="412F2E76"/>
    <w:rsid w:val="41461D37"/>
    <w:rsid w:val="41540B2E"/>
    <w:rsid w:val="415A5724"/>
    <w:rsid w:val="415E375B"/>
    <w:rsid w:val="41683AF5"/>
    <w:rsid w:val="416E7A1D"/>
    <w:rsid w:val="4179236A"/>
    <w:rsid w:val="418036D2"/>
    <w:rsid w:val="41847666"/>
    <w:rsid w:val="41923405"/>
    <w:rsid w:val="41AC44C7"/>
    <w:rsid w:val="41BE244C"/>
    <w:rsid w:val="41D4417F"/>
    <w:rsid w:val="41EB39C1"/>
    <w:rsid w:val="41F30347"/>
    <w:rsid w:val="41F320F5"/>
    <w:rsid w:val="41F52311"/>
    <w:rsid w:val="41F61BE6"/>
    <w:rsid w:val="42002A64"/>
    <w:rsid w:val="420527B1"/>
    <w:rsid w:val="42187DAE"/>
    <w:rsid w:val="42191B30"/>
    <w:rsid w:val="42277FF1"/>
    <w:rsid w:val="424E79E0"/>
    <w:rsid w:val="42616898"/>
    <w:rsid w:val="42642B99"/>
    <w:rsid w:val="426B36ED"/>
    <w:rsid w:val="42755200"/>
    <w:rsid w:val="427D1B8C"/>
    <w:rsid w:val="4283791D"/>
    <w:rsid w:val="42975177"/>
    <w:rsid w:val="429766AA"/>
    <w:rsid w:val="42980EEF"/>
    <w:rsid w:val="429A6B0D"/>
    <w:rsid w:val="42AB0C22"/>
    <w:rsid w:val="42B55C1A"/>
    <w:rsid w:val="42C817D4"/>
    <w:rsid w:val="42D57A4D"/>
    <w:rsid w:val="42E17B48"/>
    <w:rsid w:val="42E2191B"/>
    <w:rsid w:val="42E7063E"/>
    <w:rsid w:val="42FA6FF7"/>
    <w:rsid w:val="42FC0D7F"/>
    <w:rsid w:val="4305634C"/>
    <w:rsid w:val="43104F29"/>
    <w:rsid w:val="431E0B71"/>
    <w:rsid w:val="431F6F1A"/>
    <w:rsid w:val="432664FB"/>
    <w:rsid w:val="43615785"/>
    <w:rsid w:val="436C6603"/>
    <w:rsid w:val="436F1C50"/>
    <w:rsid w:val="43784479"/>
    <w:rsid w:val="43A318F9"/>
    <w:rsid w:val="43A473B1"/>
    <w:rsid w:val="43B41D58"/>
    <w:rsid w:val="43CB255C"/>
    <w:rsid w:val="43CB4A1B"/>
    <w:rsid w:val="43D1290A"/>
    <w:rsid w:val="43E73EDC"/>
    <w:rsid w:val="43EA577A"/>
    <w:rsid w:val="43ED49E4"/>
    <w:rsid w:val="43F8557F"/>
    <w:rsid w:val="44071E88"/>
    <w:rsid w:val="441C404D"/>
    <w:rsid w:val="443142DB"/>
    <w:rsid w:val="44356ED4"/>
    <w:rsid w:val="4440539A"/>
    <w:rsid w:val="44406A3F"/>
    <w:rsid w:val="444820D3"/>
    <w:rsid w:val="445871F6"/>
    <w:rsid w:val="445F34B4"/>
    <w:rsid w:val="44703ED1"/>
    <w:rsid w:val="44857BE4"/>
    <w:rsid w:val="44937BC0"/>
    <w:rsid w:val="44A57553"/>
    <w:rsid w:val="44B33DBE"/>
    <w:rsid w:val="44C45FCB"/>
    <w:rsid w:val="44E16B7D"/>
    <w:rsid w:val="44E73A68"/>
    <w:rsid w:val="44E87F0C"/>
    <w:rsid w:val="44FA5CFE"/>
    <w:rsid w:val="4506785B"/>
    <w:rsid w:val="45085EB8"/>
    <w:rsid w:val="450B59A8"/>
    <w:rsid w:val="450F36EA"/>
    <w:rsid w:val="451E392D"/>
    <w:rsid w:val="45230F44"/>
    <w:rsid w:val="453B3D19"/>
    <w:rsid w:val="453C3DB3"/>
    <w:rsid w:val="453F1647"/>
    <w:rsid w:val="45417E3B"/>
    <w:rsid w:val="454315E6"/>
    <w:rsid w:val="45577480"/>
    <w:rsid w:val="45726666"/>
    <w:rsid w:val="457572C5"/>
    <w:rsid w:val="457E43CC"/>
    <w:rsid w:val="457E7638"/>
    <w:rsid w:val="458D7A66"/>
    <w:rsid w:val="458F482B"/>
    <w:rsid w:val="45985770"/>
    <w:rsid w:val="45AC718B"/>
    <w:rsid w:val="45C11D2D"/>
    <w:rsid w:val="45C2075D"/>
    <w:rsid w:val="45C42E27"/>
    <w:rsid w:val="45D109A0"/>
    <w:rsid w:val="45D264C6"/>
    <w:rsid w:val="45D73ADC"/>
    <w:rsid w:val="45D97854"/>
    <w:rsid w:val="45DB462E"/>
    <w:rsid w:val="4618037D"/>
    <w:rsid w:val="46316A31"/>
    <w:rsid w:val="465B3E17"/>
    <w:rsid w:val="465B64BB"/>
    <w:rsid w:val="46641814"/>
    <w:rsid w:val="46671304"/>
    <w:rsid w:val="466F7CB6"/>
    <w:rsid w:val="46853538"/>
    <w:rsid w:val="468E063F"/>
    <w:rsid w:val="46A165C4"/>
    <w:rsid w:val="46AE6F33"/>
    <w:rsid w:val="46BD7176"/>
    <w:rsid w:val="46C16C66"/>
    <w:rsid w:val="46C2478C"/>
    <w:rsid w:val="46D1677D"/>
    <w:rsid w:val="470834C9"/>
    <w:rsid w:val="47086643"/>
    <w:rsid w:val="47087F18"/>
    <w:rsid w:val="471F28DC"/>
    <w:rsid w:val="472E1CAB"/>
    <w:rsid w:val="474677B9"/>
    <w:rsid w:val="4771664F"/>
    <w:rsid w:val="47767A51"/>
    <w:rsid w:val="477826AA"/>
    <w:rsid w:val="4783216D"/>
    <w:rsid w:val="478C2C17"/>
    <w:rsid w:val="4791488A"/>
    <w:rsid w:val="47986203"/>
    <w:rsid w:val="479959A4"/>
    <w:rsid w:val="479A5A87"/>
    <w:rsid w:val="479E0D55"/>
    <w:rsid w:val="47A22CD3"/>
    <w:rsid w:val="47B2035D"/>
    <w:rsid w:val="47B916EB"/>
    <w:rsid w:val="47BA5463"/>
    <w:rsid w:val="47CA7D9C"/>
    <w:rsid w:val="47D06A35"/>
    <w:rsid w:val="47D227AD"/>
    <w:rsid w:val="47D429C9"/>
    <w:rsid w:val="47D86D20"/>
    <w:rsid w:val="47DD3592"/>
    <w:rsid w:val="47E26E94"/>
    <w:rsid w:val="47E5456B"/>
    <w:rsid w:val="47EB0F4F"/>
    <w:rsid w:val="47EF12D4"/>
    <w:rsid w:val="47F44E19"/>
    <w:rsid w:val="47FA5D4E"/>
    <w:rsid w:val="480014B3"/>
    <w:rsid w:val="480F6C3C"/>
    <w:rsid w:val="480F755D"/>
    <w:rsid w:val="482D56C4"/>
    <w:rsid w:val="482E032B"/>
    <w:rsid w:val="483B47F6"/>
    <w:rsid w:val="483D231C"/>
    <w:rsid w:val="4847510B"/>
    <w:rsid w:val="484B78FD"/>
    <w:rsid w:val="4860425D"/>
    <w:rsid w:val="48684EBF"/>
    <w:rsid w:val="486C2C02"/>
    <w:rsid w:val="487F2935"/>
    <w:rsid w:val="48A24875"/>
    <w:rsid w:val="48AF6AA7"/>
    <w:rsid w:val="48BA6222"/>
    <w:rsid w:val="48BD2517"/>
    <w:rsid w:val="48C14CB2"/>
    <w:rsid w:val="48FD1AAC"/>
    <w:rsid w:val="490D2CDF"/>
    <w:rsid w:val="490E5A67"/>
    <w:rsid w:val="4910358D"/>
    <w:rsid w:val="49167965"/>
    <w:rsid w:val="49180694"/>
    <w:rsid w:val="491A440C"/>
    <w:rsid w:val="49261002"/>
    <w:rsid w:val="49284D7B"/>
    <w:rsid w:val="49382AE4"/>
    <w:rsid w:val="49507E2D"/>
    <w:rsid w:val="49547ADD"/>
    <w:rsid w:val="49667651"/>
    <w:rsid w:val="496B2165"/>
    <w:rsid w:val="496B37AD"/>
    <w:rsid w:val="497A6719"/>
    <w:rsid w:val="498875C7"/>
    <w:rsid w:val="49AA2EAD"/>
    <w:rsid w:val="49B74350"/>
    <w:rsid w:val="49C039DD"/>
    <w:rsid w:val="49C10D2B"/>
    <w:rsid w:val="49D40A5E"/>
    <w:rsid w:val="49D7054F"/>
    <w:rsid w:val="49D97E23"/>
    <w:rsid w:val="49F20EE5"/>
    <w:rsid w:val="49FE5ADB"/>
    <w:rsid w:val="49FE7345"/>
    <w:rsid w:val="4A02381D"/>
    <w:rsid w:val="4A172E6A"/>
    <w:rsid w:val="4A2D016F"/>
    <w:rsid w:val="4A361719"/>
    <w:rsid w:val="4A435BE4"/>
    <w:rsid w:val="4A547DF1"/>
    <w:rsid w:val="4A7150A9"/>
    <w:rsid w:val="4A9075D7"/>
    <w:rsid w:val="4A987CDE"/>
    <w:rsid w:val="4ABB39CC"/>
    <w:rsid w:val="4AC41483"/>
    <w:rsid w:val="4AD625B4"/>
    <w:rsid w:val="4AE05C09"/>
    <w:rsid w:val="4AE253FD"/>
    <w:rsid w:val="4AF87040"/>
    <w:rsid w:val="4AFB201B"/>
    <w:rsid w:val="4AFD5D93"/>
    <w:rsid w:val="4B076C12"/>
    <w:rsid w:val="4B0B04B0"/>
    <w:rsid w:val="4B0E61F2"/>
    <w:rsid w:val="4B2B42BC"/>
    <w:rsid w:val="4B313C8F"/>
    <w:rsid w:val="4B571947"/>
    <w:rsid w:val="4B5D2CD5"/>
    <w:rsid w:val="4B650DC4"/>
    <w:rsid w:val="4B7D0C82"/>
    <w:rsid w:val="4B7F2C4C"/>
    <w:rsid w:val="4B9009B5"/>
    <w:rsid w:val="4B984A35"/>
    <w:rsid w:val="4B991F60"/>
    <w:rsid w:val="4BA6467C"/>
    <w:rsid w:val="4BA6642B"/>
    <w:rsid w:val="4BB75D08"/>
    <w:rsid w:val="4BB832BA"/>
    <w:rsid w:val="4BC15012"/>
    <w:rsid w:val="4BC36FDC"/>
    <w:rsid w:val="4BCE38A9"/>
    <w:rsid w:val="4BD604E8"/>
    <w:rsid w:val="4BD927E0"/>
    <w:rsid w:val="4BFB6776"/>
    <w:rsid w:val="4BFC429C"/>
    <w:rsid w:val="4C0849EF"/>
    <w:rsid w:val="4C0D2006"/>
    <w:rsid w:val="4C101AF6"/>
    <w:rsid w:val="4C59524B"/>
    <w:rsid w:val="4C5B0FC3"/>
    <w:rsid w:val="4C5E5D48"/>
    <w:rsid w:val="4C5E6D05"/>
    <w:rsid w:val="4C667968"/>
    <w:rsid w:val="4C6F0F12"/>
    <w:rsid w:val="4C733652"/>
    <w:rsid w:val="4C7958ED"/>
    <w:rsid w:val="4C8C3872"/>
    <w:rsid w:val="4C934C01"/>
    <w:rsid w:val="4C974B11"/>
    <w:rsid w:val="4CAC5CC3"/>
    <w:rsid w:val="4CAC5CF1"/>
    <w:rsid w:val="4CB15087"/>
    <w:rsid w:val="4CB678D6"/>
    <w:rsid w:val="4CBB7CB4"/>
    <w:rsid w:val="4CC21042"/>
    <w:rsid w:val="4CC34DBA"/>
    <w:rsid w:val="4CD15729"/>
    <w:rsid w:val="4CEA3B72"/>
    <w:rsid w:val="4D024D66"/>
    <w:rsid w:val="4D057181"/>
    <w:rsid w:val="4D13189E"/>
    <w:rsid w:val="4D225F85"/>
    <w:rsid w:val="4D355CB8"/>
    <w:rsid w:val="4D4408FE"/>
    <w:rsid w:val="4D467EC5"/>
    <w:rsid w:val="4D565C2E"/>
    <w:rsid w:val="4D5A571F"/>
    <w:rsid w:val="4D5C1497"/>
    <w:rsid w:val="4D7913EA"/>
    <w:rsid w:val="4D8046B5"/>
    <w:rsid w:val="4DB34E2F"/>
    <w:rsid w:val="4DC40DEA"/>
    <w:rsid w:val="4DCD7C9F"/>
    <w:rsid w:val="4DDF468C"/>
    <w:rsid w:val="4DEA6AA2"/>
    <w:rsid w:val="4DEB45C9"/>
    <w:rsid w:val="4DED0341"/>
    <w:rsid w:val="4DF50771"/>
    <w:rsid w:val="4DFA3CBF"/>
    <w:rsid w:val="4DFA5872"/>
    <w:rsid w:val="4DFE2EBD"/>
    <w:rsid w:val="4E031DCF"/>
    <w:rsid w:val="4E141D71"/>
    <w:rsid w:val="4E235B10"/>
    <w:rsid w:val="4E257ADB"/>
    <w:rsid w:val="4E2A3343"/>
    <w:rsid w:val="4E315298"/>
    <w:rsid w:val="4E353A96"/>
    <w:rsid w:val="4E5B79A0"/>
    <w:rsid w:val="4E6A7057"/>
    <w:rsid w:val="4E7C16C5"/>
    <w:rsid w:val="4E835958"/>
    <w:rsid w:val="4E914A93"/>
    <w:rsid w:val="4E9B7D9D"/>
    <w:rsid w:val="4E9C3B15"/>
    <w:rsid w:val="4E9C58C3"/>
    <w:rsid w:val="4EA56E6D"/>
    <w:rsid w:val="4EB3188C"/>
    <w:rsid w:val="4EC96F60"/>
    <w:rsid w:val="4F204746"/>
    <w:rsid w:val="4F2C30EB"/>
    <w:rsid w:val="4F2C7C26"/>
    <w:rsid w:val="4F367AC5"/>
    <w:rsid w:val="4F3F4A0A"/>
    <w:rsid w:val="4F4A531F"/>
    <w:rsid w:val="4F5434AE"/>
    <w:rsid w:val="4F55619D"/>
    <w:rsid w:val="4F5D14F6"/>
    <w:rsid w:val="4F735173"/>
    <w:rsid w:val="4F7A3E56"/>
    <w:rsid w:val="4F7D3946"/>
    <w:rsid w:val="4F8135F1"/>
    <w:rsid w:val="4F870321"/>
    <w:rsid w:val="4F876573"/>
    <w:rsid w:val="4F8B7E11"/>
    <w:rsid w:val="4F8E6EC5"/>
    <w:rsid w:val="4F936CC6"/>
    <w:rsid w:val="4FA955C0"/>
    <w:rsid w:val="4FC275AB"/>
    <w:rsid w:val="4FC43323"/>
    <w:rsid w:val="4FF41A46"/>
    <w:rsid w:val="4FFA795C"/>
    <w:rsid w:val="50016325"/>
    <w:rsid w:val="500213A2"/>
    <w:rsid w:val="50175272"/>
    <w:rsid w:val="501F0559"/>
    <w:rsid w:val="502C5217"/>
    <w:rsid w:val="503A7B95"/>
    <w:rsid w:val="5041264D"/>
    <w:rsid w:val="50447FC0"/>
    <w:rsid w:val="50526820"/>
    <w:rsid w:val="50560335"/>
    <w:rsid w:val="50647639"/>
    <w:rsid w:val="506864E7"/>
    <w:rsid w:val="506B379F"/>
    <w:rsid w:val="507C1E50"/>
    <w:rsid w:val="507C3BFE"/>
    <w:rsid w:val="50884351"/>
    <w:rsid w:val="509C7F5A"/>
    <w:rsid w:val="50A218B6"/>
    <w:rsid w:val="50A545DB"/>
    <w:rsid w:val="50BB0282"/>
    <w:rsid w:val="50C10FB7"/>
    <w:rsid w:val="50C17863"/>
    <w:rsid w:val="50D71373"/>
    <w:rsid w:val="50E27F05"/>
    <w:rsid w:val="50E377D9"/>
    <w:rsid w:val="50EC2B32"/>
    <w:rsid w:val="50EE454B"/>
    <w:rsid w:val="50F1639A"/>
    <w:rsid w:val="50F97200"/>
    <w:rsid w:val="50FD4D3F"/>
    <w:rsid w:val="51114346"/>
    <w:rsid w:val="51122D44"/>
    <w:rsid w:val="51166F3E"/>
    <w:rsid w:val="511E4CB5"/>
    <w:rsid w:val="5151508A"/>
    <w:rsid w:val="51532BB1"/>
    <w:rsid w:val="515406D7"/>
    <w:rsid w:val="51556929"/>
    <w:rsid w:val="51694182"/>
    <w:rsid w:val="516C329E"/>
    <w:rsid w:val="517F7502"/>
    <w:rsid w:val="51842D6A"/>
    <w:rsid w:val="51881C50"/>
    <w:rsid w:val="51893482"/>
    <w:rsid w:val="518A0215"/>
    <w:rsid w:val="518B4751"/>
    <w:rsid w:val="519A433C"/>
    <w:rsid w:val="51A451BA"/>
    <w:rsid w:val="51A65D51"/>
    <w:rsid w:val="51A87F87"/>
    <w:rsid w:val="51AB6549"/>
    <w:rsid w:val="51B11685"/>
    <w:rsid w:val="51B353FD"/>
    <w:rsid w:val="51C370F3"/>
    <w:rsid w:val="51C413B8"/>
    <w:rsid w:val="51C8534D"/>
    <w:rsid w:val="51D535C6"/>
    <w:rsid w:val="51D610EC"/>
    <w:rsid w:val="51E11F6A"/>
    <w:rsid w:val="51E43809"/>
    <w:rsid w:val="51E7154B"/>
    <w:rsid w:val="51EE28D9"/>
    <w:rsid w:val="52140592"/>
    <w:rsid w:val="52181704"/>
    <w:rsid w:val="521D4F6D"/>
    <w:rsid w:val="521E31BF"/>
    <w:rsid w:val="522358A5"/>
    <w:rsid w:val="522D3402"/>
    <w:rsid w:val="52350508"/>
    <w:rsid w:val="52377DDC"/>
    <w:rsid w:val="52597A0A"/>
    <w:rsid w:val="52614E59"/>
    <w:rsid w:val="5268268C"/>
    <w:rsid w:val="5268443A"/>
    <w:rsid w:val="526B217C"/>
    <w:rsid w:val="526B3F2A"/>
    <w:rsid w:val="52720E14"/>
    <w:rsid w:val="52770B21"/>
    <w:rsid w:val="527E3BE2"/>
    <w:rsid w:val="527E5A0B"/>
    <w:rsid w:val="5285387D"/>
    <w:rsid w:val="528648C0"/>
    <w:rsid w:val="528D0FBC"/>
    <w:rsid w:val="528D5C4E"/>
    <w:rsid w:val="52903990"/>
    <w:rsid w:val="529214B7"/>
    <w:rsid w:val="52B23907"/>
    <w:rsid w:val="52B70F1D"/>
    <w:rsid w:val="52C35B14"/>
    <w:rsid w:val="52EA30A1"/>
    <w:rsid w:val="52EF4B5B"/>
    <w:rsid w:val="52F42171"/>
    <w:rsid w:val="52FA1B38"/>
    <w:rsid w:val="52FE08FA"/>
    <w:rsid w:val="530F40D3"/>
    <w:rsid w:val="532742F5"/>
    <w:rsid w:val="533267F6"/>
    <w:rsid w:val="53391D29"/>
    <w:rsid w:val="533C1422"/>
    <w:rsid w:val="53456529"/>
    <w:rsid w:val="534F1156"/>
    <w:rsid w:val="53513120"/>
    <w:rsid w:val="53542C10"/>
    <w:rsid w:val="5358625C"/>
    <w:rsid w:val="53663F5C"/>
    <w:rsid w:val="536966BB"/>
    <w:rsid w:val="536E5A80"/>
    <w:rsid w:val="53733096"/>
    <w:rsid w:val="53986FA1"/>
    <w:rsid w:val="53A35923"/>
    <w:rsid w:val="53A616BE"/>
    <w:rsid w:val="53A70F92"/>
    <w:rsid w:val="53C76390"/>
    <w:rsid w:val="53D31D87"/>
    <w:rsid w:val="53D53D51"/>
    <w:rsid w:val="53EA0E7E"/>
    <w:rsid w:val="53EC109A"/>
    <w:rsid w:val="53F01D34"/>
    <w:rsid w:val="53F73CC7"/>
    <w:rsid w:val="54027BFA"/>
    <w:rsid w:val="54102FDB"/>
    <w:rsid w:val="54282C3B"/>
    <w:rsid w:val="54322F51"/>
    <w:rsid w:val="543D5452"/>
    <w:rsid w:val="545509EE"/>
    <w:rsid w:val="545D6E36"/>
    <w:rsid w:val="54613836"/>
    <w:rsid w:val="546B156E"/>
    <w:rsid w:val="54705621"/>
    <w:rsid w:val="547A42E0"/>
    <w:rsid w:val="547E09F5"/>
    <w:rsid w:val="548343E5"/>
    <w:rsid w:val="54B41BB8"/>
    <w:rsid w:val="54C3004D"/>
    <w:rsid w:val="54C36822"/>
    <w:rsid w:val="54D23DEC"/>
    <w:rsid w:val="54D745DB"/>
    <w:rsid w:val="54DA7145"/>
    <w:rsid w:val="54DE6C35"/>
    <w:rsid w:val="54E30C7D"/>
    <w:rsid w:val="54E57FC4"/>
    <w:rsid w:val="54F93A6F"/>
    <w:rsid w:val="55071D58"/>
    <w:rsid w:val="550B5550"/>
    <w:rsid w:val="550D3076"/>
    <w:rsid w:val="55694C9B"/>
    <w:rsid w:val="55733821"/>
    <w:rsid w:val="558A46C7"/>
    <w:rsid w:val="558E2409"/>
    <w:rsid w:val="559F3671"/>
    <w:rsid w:val="55AF05D2"/>
    <w:rsid w:val="55BB0D24"/>
    <w:rsid w:val="55C7591B"/>
    <w:rsid w:val="55DD0E88"/>
    <w:rsid w:val="55F81F79"/>
    <w:rsid w:val="55FA7A9F"/>
    <w:rsid w:val="56101A46"/>
    <w:rsid w:val="562E599A"/>
    <w:rsid w:val="56352885"/>
    <w:rsid w:val="56356D29"/>
    <w:rsid w:val="56382375"/>
    <w:rsid w:val="563C6031"/>
    <w:rsid w:val="563D3AEF"/>
    <w:rsid w:val="564703E1"/>
    <w:rsid w:val="564B20A8"/>
    <w:rsid w:val="564E7DEA"/>
    <w:rsid w:val="56551225"/>
    <w:rsid w:val="56794425"/>
    <w:rsid w:val="56981649"/>
    <w:rsid w:val="56BA722E"/>
    <w:rsid w:val="56C41E5B"/>
    <w:rsid w:val="56D025AE"/>
    <w:rsid w:val="56D269BF"/>
    <w:rsid w:val="56D46542"/>
    <w:rsid w:val="56DE2F1C"/>
    <w:rsid w:val="56E30533"/>
    <w:rsid w:val="56FC7C29"/>
    <w:rsid w:val="57260F79"/>
    <w:rsid w:val="572D7A00"/>
    <w:rsid w:val="574006D8"/>
    <w:rsid w:val="57435BF8"/>
    <w:rsid w:val="575925A3"/>
    <w:rsid w:val="576176AA"/>
    <w:rsid w:val="57727B09"/>
    <w:rsid w:val="578F4217"/>
    <w:rsid w:val="57914287"/>
    <w:rsid w:val="57917F8F"/>
    <w:rsid w:val="579B705F"/>
    <w:rsid w:val="579F460B"/>
    <w:rsid w:val="57A44166"/>
    <w:rsid w:val="57AE6D93"/>
    <w:rsid w:val="57AF2B0B"/>
    <w:rsid w:val="57AF6667"/>
    <w:rsid w:val="57B6503B"/>
    <w:rsid w:val="57B95737"/>
    <w:rsid w:val="57C51837"/>
    <w:rsid w:val="57CA34A1"/>
    <w:rsid w:val="57CE11E3"/>
    <w:rsid w:val="57D12A81"/>
    <w:rsid w:val="57DD4F82"/>
    <w:rsid w:val="57E44562"/>
    <w:rsid w:val="57FD3876"/>
    <w:rsid w:val="58112E7E"/>
    <w:rsid w:val="581548C4"/>
    <w:rsid w:val="58385F74"/>
    <w:rsid w:val="584119B5"/>
    <w:rsid w:val="58435BF2"/>
    <w:rsid w:val="58627CD5"/>
    <w:rsid w:val="586D09FC"/>
    <w:rsid w:val="586F14CF"/>
    <w:rsid w:val="58726012"/>
    <w:rsid w:val="58793FFD"/>
    <w:rsid w:val="58810003"/>
    <w:rsid w:val="58831FCD"/>
    <w:rsid w:val="588C0756"/>
    <w:rsid w:val="58B2640F"/>
    <w:rsid w:val="58C16652"/>
    <w:rsid w:val="58C65684"/>
    <w:rsid w:val="58D02D39"/>
    <w:rsid w:val="58ED4BF9"/>
    <w:rsid w:val="59123351"/>
    <w:rsid w:val="59170968"/>
    <w:rsid w:val="592001F6"/>
    <w:rsid w:val="59221023"/>
    <w:rsid w:val="59284CA9"/>
    <w:rsid w:val="593A1E3B"/>
    <w:rsid w:val="59413C36"/>
    <w:rsid w:val="5943350B"/>
    <w:rsid w:val="59691099"/>
    <w:rsid w:val="59822285"/>
    <w:rsid w:val="59A37FE8"/>
    <w:rsid w:val="59AF6DF2"/>
    <w:rsid w:val="59B67861"/>
    <w:rsid w:val="59B87950"/>
    <w:rsid w:val="59B91A1F"/>
    <w:rsid w:val="59CC1E60"/>
    <w:rsid w:val="59CF2FF0"/>
    <w:rsid w:val="59EC3BA2"/>
    <w:rsid w:val="59F40CA9"/>
    <w:rsid w:val="5A0B50DC"/>
    <w:rsid w:val="5A160B72"/>
    <w:rsid w:val="5A3115B5"/>
    <w:rsid w:val="5A346EB9"/>
    <w:rsid w:val="5A386DE8"/>
    <w:rsid w:val="5A3A2B60"/>
    <w:rsid w:val="5A44578C"/>
    <w:rsid w:val="5A5E7E72"/>
    <w:rsid w:val="5A61633E"/>
    <w:rsid w:val="5A804960"/>
    <w:rsid w:val="5A820063"/>
    <w:rsid w:val="5AA247F9"/>
    <w:rsid w:val="5AA4622B"/>
    <w:rsid w:val="5AA71877"/>
    <w:rsid w:val="5AAE0E58"/>
    <w:rsid w:val="5AC24903"/>
    <w:rsid w:val="5AC62645"/>
    <w:rsid w:val="5AC71F19"/>
    <w:rsid w:val="5ACE14FA"/>
    <w:rsid w:val="5AD240D0"/>
    <w:rsid w:val="5AD43A25"/>
    <w:rsid w:val="5ADF1011"/>
    <w:rsid w:val="5AE25F7A"/>
    <w:rsid w:val="5AE96334"/>
    <w:rsid w:val="5AED063C"/>
    <w:rsid w:val="5AF34ABD"/>
    <w:rsid w:val="5AF80325"/>
    <w:rsid w:val="5B09377F"/>
    <w:rsid w:val="5B0B0058"/>
    <w:rsid w:val="5B136F0D"/>
    <w:rsid w:val="5B1403DB"/>
    <w:rsid w:val="5B162DAA"/>
    <w:rsid w:val="5B1A1E2F"/>
    <w:rsid w:val="5B2D6BE0"/>
    <w:rsid w:val="5B35305E"/>
    <w:rsid w:val="5B413A7A"/>
    <w:rsid w:val="5B5E63DA"/>
    <w:rsid w:val="5B7A1528"/>
    <w:rsid w:val="5B841BB9"/>
    <w:rsid w:val="5B85605C"/>
    <w:rsid w:val="5B8F0C89"/>
    <w:rsid w:val="5B9462A0"/>
    <w:rsid w:val="5BBB508A"/>
    <w:rsid w:val="5BBC1BA4"/>
    <w:rsid w:val="5BBE134F"/>
    <w:rsid w:val="5BC326E1"/>
    <w:rsid w:val="5BC754E8"/>
    <w:rsid w:val="5BCF552A"/>
    <w:rsid w:val="5BD45699"/>
    <w:rsid w:val="5BDD2BF1"/>
    <w:rsid w:val="5BE72873"/>
    <w:rsid w:val="5BFB1E7B"/>
    <w:rsid w:val="5BFE7BBD"/>
    <w:rsid w:val="5C2515ED"/>
    <w:rsid w:val="5C3E620B"/>
    <w:rsid w:val="5C4557EC"/>
    <w:rsid w:val="5C583771"/>
    <w:rsid w:val="5C5F68AD"/>
    <w:rsid w:val="5C645C72"/>
    <w:rsid w:val="5C65278F"/>
    <w:rsid w:val="5C6E6AF1"/>
    <w:rsid w:val="5C776994"/>
    <w:rsid w:val="5C7B120D"/>
    <w:rsid w:val="5C7D6D34"/>
    <w:rsid w:val="5C8B1673"/>
    <w:rsid w:val="5C901A04"/>
    <w:rsid w:val="5CA3554E"/>
    <w:rsid w:val="5CB0535B"/>
    <w:rsid w:val="5CB56D13"/>
    <w:rsid w:val="5CB7658D"/>
    <w:rsid w:val="5CCE7FCD"/>
    <w:rsid w:val="5CDA5F34"/>
    <w:rsid w:val="5CDF7306"/>
    <w:rsid w:val="5CEC5C67"/>
    <w:rsid w:val="5CF8285E"/>
    <w:rsid w:val="5CFD1C22"/>
    <w:rsid w:val="5D184CAE"/>
    <w:rsid w:val="5D186A5C"/>
    <w:rsid w:val="5D261179"/>
    <w:rsid w:val="5DA30A1C"/>
    <w:rsid w:val="5DAF67CF"/>
    <w:rsid w:val="5DCA5FA9"/>
    <w:rsid w:val="5DE439C6"/>
    <w:rsid w:val="5DF21F7F"/>
    <w:rsid w:val="5DF36E65"/>
    <w:rsid w:val="5DF66D9E"/>
    <w:rsid w:val="5DFC1EDA"/>
    <w:rsid w:val="5E013F72"/>
    <w:rsid w:val="5E053485"/>
    <w:rsid w:val="5E0965A4"/>
    <w:rsid w:val="5E0A2849"/>
    <w:rsid w:val="5E341674"/>
    <w:rsid w:val="5E3478C6"/>
    <w:rsid w:val="5E3C75B7"/>
    <w:rsid w:val="5E40626B"/>
    <w:rsid w:val="5E434F98"/>
    <w:rsid w:val="5E4E1165"/>
    <w:rsid w:val="5E5166CA"/>
    <w:rsid w:val="5E541D16"/>
    <w:rsid w:val="5E547F68"/>
    <w:rsid w:val="5E60690D"/>
    <w:rsid w:val="5E644668"/>
    <w:rsid w:val="5E677C9B"/>
    <w:rsid w:val="5E6F08FE"/>
    <w:rsid w:val="5E826883"/>
    <w:rsid w:val="5E84084D"/>
    <w:rsid w:val="5E850121"/>
    <w:rsid w:val="5E8E6FD6"/>
    <w:rsid w:val="5EAB5E7A"/>
    <w:rsid w:val="5EAE58CA"/>
    <w:rsid w:val="5EB629D1"/>
    <w:rsid w:val="5ECC4B8B"/>
    <w:rsid w:val="5ECC7AFE"/>
    <w:rsid w:val="5ED30E8D"/>
    <w:rsid w:val="5EFE5C05"/>
    <w:rsid w:val="5F04716E"/>
    <w:rsid w:val="5F1C6CD8"/>
    <w:rsid w:val="5F1D47FE"/>
    <w:rsid w:val="5F212E98"/>
    <w:rsid w:val="5F225970"/>
    <w:rsid w:val="5F2D2C93"/>
    <w:rsid w:val="5F2D6609"/>
    <w:rsid w:val="5F30008D"/>
    <w:rsid w:val="5F3176B9"/>
    <w:rsid w:val="5F3833E6"/>
    <w:rsid w:val="5F385194"/>
    <w:rsid w:val="5F3D7FD2"/>
    <w:rsid w:val="5F3E6C4E"/>
    <w:rsid w:val="5F427DC1"/>
    <w:rsid w:val="5F463D55"/>
    <w:rsid w:val="5F5875E4"/>
    <w:rsid w:val="5F5F0972"/>
    <w:rsid w:val="5F761939"/>
    <w:rsid w:val="5F7D775C"/>
    <w:rsid w:val="5F87675C"/>
    <w:rsid w:val="5F8B79B9"/>
    <w:rsid w:val="5F8E64AA"/>
    <w:rsid w:val="5F9A19AB"/>
    <w:rsid w:val="5FBC7B73"/>
    <w:rsid w:val="5FC44C79"/>
    <w:rsid w:val="5FCB6008"/>
    <w:rsid w:val="5FDC0215"/>
    <w:rsid w:val="5FEC48FC"/>
    <w:rsid w:val="5FEF1CF6"/>
    <w:rsid w:val="5FF43BD0"/>
    <w:rsid w:val="5FF92B75"/>
    <w:rsid w:val="60003F04"/>
    <w:rsid w:val="600F05EB"/>
    <w:rsid w:val="601945F6"/>
    <w:rsid w:val="601A69EF"/>
    <w:rsid w:val="601B0D3D"/>
    <w:rsid w:val="60211EDB"/>
    <w:rsid w:val="60275934"/>
    <w:rsid w:val="6036236C"/>
    <w:rsid w:val="603D5158"/>
    <w:rsid w:val="604F4E8B"/>
    <w:rsid w:val="6051650D"/>
    <w:rsid w:val="607B5C80"/>
    <w:rsid w:val="6080677C"/>
    <w:rsid w:val="60875A6C"/>
    <w:rsid w:val="60877AD2"/>
    <w:rsid w:val="608C39E9"/>
    <w:rsid w:val="60A9459B"/>
    <w:rsid w:val="60B14131"/>
    <w:rsid w:val="60B7546F"/>
    <w:rsid w:val="60B8658C"/>
    <w:rsid w:val="60C72C73"/>
    <w:rsid w:val="60C74A21"/>
    <w:rsid w:val="60D31618"/>
    <w:rsid w:val="60F82E2D"/>
    <w:rsid w:val="60FA4DF7"/>
    <w:rsid w:val="60FA6BA5"/>
    <w:rsid w:val="61151C31"/>
    <w:rsid w:val="61202383"/>
    <w:rsid w:val="612956DC"/>
    <w:rsid w:val="612C2AD6"/>
    <w:rsid w:val="613876CD"/>
    <w:rsid w:val="614213C8"/>
    <w:rsid w:val="61483DB4"/>
    <w:rsid w:val="61565DA5"/>
    <w:rsid w:val="61581B1D"/>
    <w:rsid w:val="61926DDD"/>
    <w:rsid w:val="61A06CED"/>
    <w:rsid w:val="61C6532F"/>
    <w:rsid w:val="61CC48BB"/>
    <w:rsid w:val="61D4389A"/>
    <w:rsid w:val="61D92C5E"/>
    <w:rsid w:val="61EC3265"/>
    <w:rsid w:val="61FE4473"/>
    <w:rsid w:val="62083543"/>
    <w:rsid w:val="620E35B6"/>
    <w:rsid w:val="620F48D2"/>
    <w:rsid w:val="621326B5"/>
    <w:rsid w:val="621719D8"/>
    <w:rsid w:val="621C5E80"/>
    <w:rsid w:val="623C3160"/>
    <w:rsid w:val="624D0F56"/>
    <w:rsid w:val="625E13B5"/>
    <w:rsid w:val="626E340A"/>
    <w:rsid w:val="626F5370"/>
    <w:rsid w:val="627464D9"/>
    <w:rsid w:val="627B5AC3"/>
    <w:rsid w:val="627D7A8D"/>
    <w:rsid w:val="628506F0"/>
    <w:rsid w:val="628801E0"/>
    <w:rsid w:val="62917095"/>
    <w:rsid w:val="629B44D5"/>
    <w:rsid w:val="62AA45FB"/>
    <w:rsid w:val="62B40FD5"/>
    <w:rsid w:val="62B86D17"/>
    <w:rsid w:val="62BA7892"/>
    <w:rsid w:val="62C70D09"/>
    <w:rsid w:val="62CA07F9"/>
    <w:rsid w:val="62D554A3"/>
    <w:rsid w:val="62EA0E9B"/>
    <w:rsid w:val="63091321"/>
    <w:rsid w:val="631A352E"/>
    <w:rsid w:val="63237D82"/>
    <w:rsid w:val="633A3BD0"/>
    <w:rsid w:val="63442A9C"/>
    <w:rsid w:val="63576530"/>
    <w:rsid w:val="63696264"/>
    <w:rsid w:val="638210D3"/>
    <w:rsid w:val="6388493C"/>
    <w:rsid w:val="638B442C"/>
    <w:rsid w:val="638C7FE1"/>
    <w:rsid w:val="6392026C"/>
    <w:rsid w:val="639F57E1"/>
    <w:rsid w:val="63AD786C"/>
    <w:rsid w:val="63D01E3F"/>
    <w:rsid w:val="63DF6526"/>
    <w:rsid w:val="63E678B4"/>
    <w:rsid w:val="63FD075A"/>
    <w:rsid w:val="64032214"/>
    <w:rsid w:val="64151F48"/>
    <w:rsid w:val="64356146"/>
    <w:rsid w:val="64390278"/>
    <w:rsid w:val="644B3C9B"/>
    <w:rsid w:val="645667E8"/>
    <w:rsid w:val="64572560"/>
    <w:rsid w:val="645A5BAC"/>
    <w:rsid w:val="64634A61"/>
    <w:rsid w:val="6472739A"/>
    <w:rsid w:val="647629E6"/>
    <w:rsid w:val="649C7F73"/>
    <w:rsid w:val="64A31015"/>
    <w:rsid w:val="64A96E72"/>
    <w:rsid w:val="64AF414A"/>
    <w:rsid w:val="64D158FD"/>
    <w:rsid w:val="64D15E6F"/>
    <w:rsid w:val="64D55E44"/>
    <w:rsid w:val="64D836A1"/>
    <w:rsid w:val="64F102BF"/>
    <w:rsid w:val="64FB113D"/>
    <w:rsid w:val="64FD393C"/>
    <w:rsid w:val="64FE29DC"/>
    <w:rsid w:val="65095C16"/>
    <w:rsid w:val="651D15C5"/>
    <w:rsid w:val="653603C7"/>
    <w:rsid w:val="653D52B2"/>
    <w:rsid w:val="653E0195"/>
    <w:rsid w:val="654725D5"/>
    <w:rsid w:val="654E3963"/>
    <w:rsid w:val="65524835"/>
    <w:rsid w:val="65534AD5"/>
    <w:rsid w:val="6558033E"/>
    <w:rsid w:val="65605444"/>
    <w:rsid w:val="65710D98"/>
    <w:rsid w:val="657A4758"/>
    <w:rsid w:val="657F3BBF"/>
    <w:rsid w:val="65953340"/>
    <w:rsid w:val="65A610A9"/>
    <w:rsid w:val="65AE61B0"/>
    <w:rsid w:val="65B75E88"/>
    <w:rsid w:val="65C60752"/>
    <w:rsid w:val="65C92FEA"/>
    <w:rsid w:val="65C94D98"/>
    <w:rsid w:val="65CF180C"/>
    <w:rsid w:val="65D11E9E"/>
    <w:rsid w:val="65D413CF"/>
    <w:rsid w:val="65EA5998"/>
    <w:rsid w:val="65F46C17"/>
    <w:rsid w:val="65FC6F1B"/>
    <w:rsid w:val="65FE353C"/>
    <w:rsid w:val="660051BA"/>
    <w:rsid w:val="66056C42"/>
    <w:rsid w:val="660758C0"/>
    <w:rsid w:val="66124991"/>
    <w:rsid w:val="661701F9"/>
    <w:rsid w:val="661750D2"/>
    <w:rsid w:val="662D5327"/>
    <w:rsid w:val="663012BB"/>
    <w:rsid w:val="66331B7E"/>
    <w:rsid w:val="663849C4"/>
    <w:rsid w:val="66417024"/>
    <w:rsid w:val="664803B2"/>
    <w:rsid w:val="66495ED8"/>
    <w:rsid w:val="666176C6"/>
    <w:rsid w:val="668313EA"/>
    <w:rsid w:val="66A355E9"/>
    <w:rsid w:val="66D71736"/>
    <w:rsid w:val="66E225B5"/>
    <w:rsid w:val="66E31E89"/>
    <w:rsid w:val="66E55C01"/>
    <w:rsid w:val="66E77C5A"/>
    <w:rsid w:val="66F40107"/>
    <w:rsid w:val="66F45E44"/>
    <w:rsid w:val="66F916AD"/>
    <w:rsid w:val="67095D94"/>
    <w:rsid w:val="67164457"/>
    <w:rsid w:val="67165788"/>
    <w:rsid w:val="672524A2"/>
    <w:rsid w:val="67340937"/>
    <w:rsid w:val="6740552D"/>
    <w:rsid w:val="674D6A48"/>
    <w:rsid w:val="67650AF0"/>
    <w:rsid w:val="67780823"/>
    <w:rsid w:val="677E1BB2"/>
    <w:rsid w:val="678E6299"/>
    <w:rsid w:val="67D619EE"/>
    <w:rsid w:val="67DA14DE"/>
    <w:rsid w:val="67DB7004"/>
    <w:rsid w:val="67E81E4D"/>
    <w:rsid w:val="67F72090"/>
    <w:rsid w:val="680227E3"/>
    <w:rsid w:val="681744E0"/>
    <w:rsid w:val="68183DB4"/>
    <w:rsid w:val="68213F33"/>
    <w:rsid w:val="683010FE"/>
    <w:rsid w:val="68590208"/>
    <w:rsid w:val="685A261F"/>
    <w:rsid w:val="687A681D"/>
    <w:rsid w:val="68833924"/>
    <w:rsid w:val="68880F3A"/>
    <w:rsid w:val="68886F56"/>
    <w:rsid w:val="688E4077"/>
    <w:rsid w:val="68AD6BF3"/>
    <w:rsid w:val="68B47F81"/>
    <w:rsid w:val="68B95597"/>
    <w:rsid w:val="68BB30BE"/>
    <w:rsid w:val="68BC5088"/>
    <w:rsid w:val="68C006D4"/>
    <w:rsid w:val="68C61A62"/>
    <w:rsid w:val="68D0468F"/>
    <w:rsid w:val="68D777CC"/>
    <w:rsid w:val="68E73C1F"/>
    <w:rsid w:val="68FD36D6"/>
    <w:rsid w:val="69034A64"/>
    <w:rsid w:val="690600B1"/>
    <w:rsid w:val="690A7BA1"/>
    <w:rsid w:val="691602F4"/>
    <w:rsid w:val="691B1DAE"/>
    <w:rsid w:val="693B5FAC"/>
    <w:rsid w:val="693D6EB4"/>
    <w:rsid w:val="69431305"/>
    <w:rsid w:val="694A61EF"/>
    <w:rsid w:val="69564B94"/>
    <w:rsid w:val="6958090C"/>
    <w:rsid w:val="695D4175"/>
    <w:rsid w:val="696574CD"/>
    <w:rsid w:val="69794D27"/>
    <w:rsid w:val="697C5C20"/>
    <w:rsid w:val="699102C2"/>
    <w:rsid w:val="699D0A15"/>
    <w:rsid w:val="69A2602B"/>
    <w:rsid w:val="69A27DD9"/>
    <w:rsid w:val="69A321F3"/>
    <w:rsid w:val="69BE2739"/>
    <w:rsid w:val="69E77EE2"/>
    <w:rsid w:val="6A026ACA"/>
    <w:rsid w:val="6A160172"/>
    <w:rsid w:val="6A220F1A"/>
    <w:rsid w:val="6A333127"/>
    <w:rsid w:val="6A49294B"/>
    <w:rsid w:val="6A4C3E1C"/>
    <w:rsid w:val="6A4C5F97"/>
    <w:rsid w:val="6A4F2F72"/>
    <w:rsid w:val="6A7D7C57"/>
    <w:rsid w:val="6A902328"/>
    <w:rsid w:val="6AA67942"/>
    <w:rsid w:val="6AA933EA"/>
    <w:rsid w:val="6AB726A3"/>
    <w:rsid w:val="6ACB22C2"/>
    <w:rsid w:val="6ACE1237"/>
    <w:rsid w:val="6AEB755E"/>
    <w:rsid w:val="6AEE1EAA"/>
    <w:rsid w:val="6AF25D62"/>
    <w:rsid w:val="6AF266DC"/>
    <w:rsid w:val="6AFB1E97"/>
    <w:rsid w:val="6AFD62A9"/>
    <w:rsid w:val="6AFF3143"/>
    <w:rsid w:val="6B0A032C"/>
    <w:rsid w:val="6B0B7C00"/>
    <w:rsid w:val="6B166CD1"/>
    <w:rsid w:val="6B19056F"/>
    <w:rsid w:val="6B1B42E7"/>
    <w:rsid w:val="6B1D66F9"/>
    <w:rsid w:val="6B252788"/>
    <w:rsid w:val="6B2A0C5E"/>
    <w:rsid w:val="6B2B3DFF"/>
    <w:rsid w:val="6B2E29E0"/>
    <w:rsid w:val="6B3C52FC"/>
    <w:rsid w:val="6B3E7FD6"/>
    <w:rsid w:val="6B413622"/>
    <w:rsid w:val="6B513865"/>
    <w:rsid w:val="6B5670CE"/>
    <w:rsid w:val="6B5A52C2"/>
    <w:rsid w:val="6B737C7F"/>
    <w:rsid w:val="6B7C465A"/>
    <w:rsid w:val="6B7E7B5A"/>
    <w:rsid w:val="6B8929F4"/>
    <w:rsid w:val="6B8A5D6F"/>
    <w:rsid w:val="6B93530C"/>
    <w:rsid w:val="6B96571C"/>
    <w:rsid w:val="6B9F7B6E"/>
    <w:rsid w:val="6BC71D79"/>
    <w:rsid w:val="6BCA3618"/>
    <w:rsid w:val="6BD3071E"/>
    <w:rsid w:val="6C072AB5"/>
    <w:rsid w:val="6C0E1756"/>
    <w:rsid w:val="6C0F54CE"/>
    <w:rsid w:val="6C1E27F0"/>
    <w:rsid w:val="6C331E55"/>
    <w:rsid w:val="6C335661"/>
    <w:rsid w:val="6C411B2C"/>
    <w:rsid w:val="6C557385"/>
    <w:rsid w:val="6C574AF8"/>
    <w:rsid w:val="6C613F7C"/>
    <w:rsid w:val="6C6B6BA9"/>
    <w:rsid w:val="6C6E6699"/>
    <w:rsid w:val="6CA671C9"/>
    <w:rsid w:val="6CB109A9"/>
    <w:rsid w:val="6CC62031"/>
    <w:rsid w:val="6CC85DA9"/>
    <w:rsid w:val="6CF05300"/>
    <w:rsid w:val="6CF50B68"/>
    <w:rsid w:val="6CF7668E"/>
    <w:rsid w:val="6CF83414"/>
    <w:rsid w:val="6CFA7F2C"/>
    <w:rsid w:val="6CFF5543"/>
    <w:rsid w:val="6D01750D"/>
    <w:rsid w:val="6D082649"/>
    <w:rsid w:val="6D0A3398"/>
    <w:rsid w:val="6D154D66"/>
    <w:rsid w:val="6D1B05CF"/>
    <w:rsid w:val="6D1E3C1B"/>
    <w:rsid w:val="6D4A4A10"/>
    <w:rsid w:val="6D543AE1"/>
    <w:rsid w:val="6D6A63D9"/>
    <w:rsid w:val="6D920165"/>
    <w:rsid w:val="6D97577B"/>
    <w:rsid w:val="6D9E2FAE"/>
    <w:rsid w:val="6DAF7572"/>
    <w:rsid w:val="6DBE0F5A"/>
    <w:rsid w:val="6DBF3786"/>
    <w:rsid w:val="6DC347C2"/>
    <w:rsid w:val="6DD16869"/>
    <w:rsid w:val="6DD62748"/>
    <w:rsid w:val="6DD75754"/>
    <w:rsid w:val="6DDF16DC"/>
    <w:rsid w:val="6DEA7FA1"/>
    <w:rsid w:val="6DED319C"/>
    <w:rsid w:val="6DF66946"/>
    <w:rsid w:val="6DFA6436"/>
    <w:rsid w:val="6DFD7CD4"/>
    <w:rsid w:val="6E005A16"/>
    <w:rsid w:val="6E0F1884"/>
    <w:rsid w:val="6E105C5A"/>
    <w:rsid w:val="6E1119D2"/>
    <w:rsid w:val="6E1868BC"/>
    <w:rsid w:val="6E1873D9"/>
    <w:rsid w:val="6E1F7C4B"/>
    <w:rsid w:val="6E4E6A4E"/>
    <w:rsid w:val="6E502A71"/>
    <w:rsid w:val="6E6F0172"/>
    <w:rsid w:val="6E712470"/>
    <w:rsid w:val="6E7736BC"/>
    <w:rsid w:val="6E7A1325"/>
    <w:rsid w:val="6E82642B"/>
    <w:rsid w:val="6E8B1784"/>
    <w:rsid w:val="6E91041D"/>
    <w:rsid w:val="6EA157F0"/>
    <w:rsid w:val="6EF2710D"/>
    <w:rsid w:val="6EF64291"/>
    <w:rsid w:val="6EF8049C"/>
    <w:rsid w:val="6F011A46"/>
    <w:rsid w:val="6F04496F"/>
    <w:rsid w:val="6F0A5573"/>
    <w:rsid w:val="6F165091"/>
    <w:rsid w:val="6F1A45FF"/>
    <w:rsid w:val="6F1E7F02"/>
    <w:rsid w:val="6F1F3C7A"/>
    <w:rsid w:val="6F2579BF"/>
    <w:rsid w:val="6F2F0361"/>
    <w:rsid w:val="6F411E43"/>
    <w:rsid w:val="6F507723"/>
    <w:rsid w:val="6F593630"/>
    <w:rsid w:val="6F5953DE"/>
    <w:rsid w:val="6F6618A9"/>
    <w:rsid w:val="6F675D4D"/>
    <w:rsid w:val="6F6C1DAC"/>
    <w:rsid w:val="6F7044D6"/>
    <w:rsid w:val="6F767D3E"/>
    <w:rsid w:val="6F773AB6"/>
    <w:rsid w:val="6F7D65AF"/>
    <w:rsid w:val="6FA10B33"/>
    <w:rsid w:val="6FA24265"/>
    <w:rsid w:val="6FB40DC9"/>
    <w:rsid w:val="6FB95378"/>
    <w:rsid w:val="6FC00FB9"/>
    <w:rsid w:val="6FC62AFA"/>
    <w:rsid w:val="6FC92510"/>
    <w:rsid w:val="6FCF5BC4"/>
    <w:rsid w:val="6FD607DD"/>
    <w:rsid w:val="6FDB4045"/>
    <w:rsid w:val="6FED5B27"/>
    <w:rsid w:val="700428F6"/>
    <w:rsid w:val="7004359C"/>
    <w:rsid w:val="700E441B"/>
    <w:rsid w:val="70156034"/>
    <w:rsid w:val="701D01BA"/>
    <w:rsid w:val="701D640C"/>
    <w:rsid w:val="702E686B"/>
    <w:rsid w:val="703674CE"/>
    <w:rsid w:val="70453BB5"/>
    <w:rsid w:val="70457711"/>
    <w:rsid w:val="704A4D27"/>
    <w:rsid w:val="705B5186"/>
    <w:rsid w:val="705B6F34"/>
    <w:rsid w:val="705D2CAC"/>
    <w:rsid w:val="7060279C"/>
    <w:rsid w:val="706E6C67"/>
    <w:rsid w:val="706F478E"/>
    <w:rsid w:val="70787AE6"/>
    <w:rsid w:val="707A1AB0"/>
    <w:rsid w:val="70903082"/>
    <w:rsid w:val="709B37D5"/>
    <w:rsid w:val="70A26911"/>
    <w:rsid w:val="70A47AAD"/>
    <w:rsid w:val="70EE1B56"/>
    <w:rsid w:val="71153F47"/>
    <w:rsid w:val="712264E6"/>
    <w:rsid w:val="712612F0"/>
    <w:rsid w:val="71334F66"/>
    <w:rsid w:val="71453B44"/>
    <w:rsid w:val="714B0D57"/>
    <w:rsid w:val="71510304"/>
    <w:rsid w:val="71551BD5"/>
    <w:rsid w:val="71562A57"/>
    <w:rsid w:val="71630FD9"/>
    <w:rsid w:val="718A7AD1"/>
    <w:rsid w:val="718D71F3"/>
    <w:rsid w:val="719548BD"/>
    <w:rsid w:val="71AF7537"/>
    <w:rsid w:val="71B93A7F"/>
    <w:rsid w:val="71BB65F3"/>
    <w:rsid w:val="71C34D91"/>
    <w:rsid w:val="71CC633B"/>
    <w:rsid w:val="71D13952"/>
    <w:rsid w:val="71E50AE0"/>
    <w:rsid w:val="71EB2AA5"/>
    <w:rsid w:val="71F238C8"/>
    <w:rsid w:val="720E56C0"/>
    <w:rsid w:val="72190E55"/>
    <w:rsid w:val="72332481"/>
    <w:rsid w:val="726C71D7"/>
    <w:rsid w:val="72897D89"/>
    <w:rsid w:val="728A3B01"/>
    <w:rsid w:val="72942633"/>
    <w:rsid w:val="72A2709C"/>
    <w:rsid w:val="72A527C3"/>
    <w:rsid w:val="72A6774E"/>
    <w:rsid w:val="72AF3192"/>
    <w:rsid w:val="72B50B7E"/>
    <w:rsid w:val="72BA43E6"/>
    <w:rsid w:val="72BB015E"/>
    <w:rsid w:val="72C2773E"/>
    <w:rsid w:val="72C522BE"/>
    <w:rsid w:val="72CE5023"/>
    <w:rsid w:val="72D27C7B"/>
    <w:rsid w:val="72D8486C"/>
    <w:rsid w:val="72DC25AE"/>
    <w:rsid w:val="72E70F53"/>
    <w:rsid w:val="72EE0533"/>
    <w:rsid w:val="72F316A6"/>
    <w:rsid w:val="73013DC3"/>
    <w:rsid w:val="73023B40"/>
    <w:rsid w:val="73090EC9"/>
    <w:rsid w:val="7309711B"/>
    <w:rsid w:val="73171838"/>
    <w:rsid w:val="731839F8"/>
    <w:rsid w:val="731C0BFD"/>
    <w:rsid w:val="73223D39"/>
    <w:rsid w:val="73337CF4"/>
    <w:rsid w:val="73351825"/>
    <w:rsid w:val="73683E42"/>
    <w:rsid w:val="73685BF0"/>
    <w:rsid w:val="737C169B"/>
    <w:rsid w:val="738308B6"/>
    <w:rsid w:val="738549F4"/>
    <w:rsid w:val="73BB6668"/>
    <w:rsid w:val="73C54EE2"/>
    <w:rsid w:val="73DB0AB8"/>
    <w:rsid w:val="73E84F83"/>
    <w:rsid w:val="73ED07EB"/>
    <w:rsid w:val="741E09A4"/>
    <w:rsid w:val="742A4923"/>
    <w:rsid w:val="74373814"/>
    <w:rsid w:val="74406B6D"/>
    <w:rsid w:val="744A79EB"/>
    <w:rsid w:val="744C72C0"/>
    <w:rsid w:val="74510D7A"/>
    <w:rsid w:val="74546174"/>
    <w:rsid w:val="745D327B"/>
    <w:rsid w:val="746112E1"/>
    <w:rsid w:val="74620891"/>
    <w:rsid w:val="74736F42"/>
    <w:rsid w:val="74786307"/>
    <w:rsid w:val="74844CAB"/>
    <w:rsid w:val="74942A15"/>
    <w:rsid w:val="74952E29"/>
    <w:rsid w:val="749869A9"/>
    <w:rsid w:val="74A9506F"/>
    <w:rsid w:val="74AC4202"/>
    <w:rsid w:val="74B310ED"/>
    <w:rsid w:val="74B44E65"/>
    <w:rsid w:val="74B65081"/>
    <w:rsid w:val="74BA691F"/>
    <w:rsid w:val="74BB1961"/>
    <w:rsid w:val="74BD1F6B"/>
    <w:rsid w:val="74C0380A"/>
    <w:rsid w:val="74CF64A8"/>
    <w:rsid w:val="74CF7034"/>
    <w:rsid w:val="74D602FF"/>
    <w:rsid w:val="74E4574A"/>
    <w:rsid w:val="74F00593"/>
    <w:rsid w:val="75091655"/>
    <w:rsid w:val="75096F5F"/>
    <w:rsid w:val="750C6461"/>
    <w:rsid w:val="75174F5F"/>
    <w:rsid w:val="752209B6"/>
    <w:rsid w:val="75306BE1"/>
    <w:rsid w:val="75324707"/>
    <w:rsid w:val="75324C00"/>
    <w:rsid w:val="75385A96"/>
    <w:rsid w:val="753F0BD2"/>
    <w:rsid w:val="755564CD"/>
    <w:rsid w:val="755723C0"/>
    <w:rsid w:val="756B13F7"/>
    <w:rsid w:val="7580137E"/>
    <w:rsid w:val="75866801"/>
    <w:rsid w:val="758E3908"/>
    <w:rsid w:val="75932CCC"/>
    <w:rsid w:val="759E3B4B"/>
    <w:rsid w:val="75A4312B"/>
    <w:rsid w:val="75C13CDD"/>
    <w:rsid w:val="75D72857"/>
    <w:rsid w:val="75D92DD5"/>
    <w:rsid w:val="75DE03EB"/>
    <w:rsid w:val="75E2374B"/>
    <w:rsid w:val="75F61BD9"/>
    <w:rsid w:val="7601232C"/>
    <w:rsid w:val="760360A4"/>
    <w:rsid w:val="760C31AA"/>
    <w:rsid w:val="7610256F"/>
    <w:rsid w:val="76123CE0"/>
    <w:rsid w:val="76167ECF"/>
    <w:rsid w:val="76231558"/>
    <w:rsid w:val="762848E9"/>
    <w:rsid w:val="764F3CE7"/>
    <w:rsid w:val="76515061"/>
    <w:rsid w:val="765406AD"/>
    <w:rsid w:val="765E152C"/>
    <w:rsid w:val="76612DCA"/>
    <w:rsid w:val="76613877"/>
    <w:rsid w:val="76805946"/>
    <w:rsid w:val="76946CFC"/>
    <w:rsid w:val="76966F18"/>
    <w:rsid w:val="76A21419"/>
    <w:rsid w:val="76A2170B"/>
    <w:rsid w:val="76A827A7"/>
    <w:rsid w:val="76AA4771"/>
    <w:rsid w:val="76AF74AF"/>
    <w:rsid w:val="76E77774"/>
    <w:rsid w:val="770A6A94"/>
    <w:rsid w:val="770B16B4"/>
    <w:rsid w:val="770E4D00"/>
    <w:rsid w:val="77130569"/>
    <w:rsid w:val="772A140E"/>
    <w:rsid w:val="7739094B"/>
    <w:rsid w:val="775E5C88"/>
    <w:rsid w:val="777A4144"/>
    <w:rsid w:val="779A6594"/>
    <w:rsid w:val="77A17922"/>
    <w:rsid w:val="77A94A29"/>
    <w:rsid w:val="77AD276B"/>
    <w:rsid w:val="77B21B30"/>
    <w:rsid w:val="77B610B5"/>
    <w:rsid w:val="77B969BE"/>
    <w:rsid w:val="77BD008D"/>
    <w:rsid w:val="77C4178D"/>
    <w:rsid w:val="77E3618D"/>
    <w:rsid w:val="77EB021F"/>
    <w:rsid w:val="78016613"/>
    <w:rsid w:val="780A196C"/>
    <w:rsid w:val="781B3D77"/>
    <w:rsid w:val="781C240B"/>
    <w:rsid w:val="782642CC"/>
    <w:rsid w:val="78360D4D"/>
    <w:rsid w:val="78397B5B"/>
    <w:rsid w:val="784309DA"/>
    <w:rsid w:val="784A7209"/>
    <w:rsid w:val="784F55D0"/>
    <w:rsid w:val="784F772E"/>
    <w:rsid w:val="785B21C7"/>
    <w:rsid w:val="78663F8F"/>
    <w:rsid w:val="786E57A1"/>
    <w:rsid w:val="78741208"/>
    <w:rsid w:val="7879089F"/>
    <w:rsid w:val="787B63C5"/>
    <w:rsid w:val="78AF606F"/>
    <w:rsid w:val="78BE4504"/>
    <w:rsid w:val="78D15FE5"/>
    <w:rsid w:val="78DF4BA6"/>
    <w:rsid w:val="78E026CC"/>
    <w:rsid w:val="78E8332F"/>
    <w:rsid w:val="78EE6B97"/>
    <w:rsid w:val="79142376"/>
    <w:rsid w:val="791B1956"/>
    <w:rsid w:val="791B54B2"/>
    <w:rsid w:val="791D3273"/>
    <w:rsid w:val="79442C5B"/>
    <w:rsid w:val="795A0901"/>
    <w:rsid w:val="79626B52"/>
    <w:rsid w:val="796706F8"/>
    <w:rsid w:val="796E7DFE"/>
    <w:rsid w:val="7973709D"/>
    <w:rsid w:val="79865B78"/>
    <w:rsid w:val="799D1CF3"/>
    <w:rsid w:val="79A25BD4"/>
    <w:rsid w:val="79A96F62"/>
    <w:rsid w:val="79AD26AD"/>
    <w:rsid w:val="79AE6327"/>
    <w:rsid w:val="79B31B8F"/>
    <w:rsid w:val="79B55907"/>
    <w:rsid w:val="79B7342D"/>
    <w:rsid w:val="79BC2F50"/>
    <w:rsid w:val="79BD2934"/>
    <w:rsid w:val="79C21DD2"/>
    <w:rsid w:val="79C27AFC"/>
    <w:rsid w:val="79C913B2"/>
    <w:rsid w:val="79CC6228"/>
    <w:rsid w:val="79D62ABF"/>
    <w:rsid w:val="79DC10E6"/>
    <w:rsid w:val="79DF2984"/>
    <w:rsid w:val="79E23A38"/>
    <w:rsid w:val="79E65AC0"/>
    <w:rsid w:val="79EE2BC7"/>
    <w:rsid w:val="79F53F55"/>
    <w:rsid w:val="7A124B07"/>
    <w:rsid w:val="7A340A22"/>
    <w:rsid w:val="7A3727C0"/>
    <w:rsid w:val="7A3731F1"/>
    <w:rsid w:val="7A4078C7"/>
    <w:rsid w:val="7A416FE5"/>
    <w:rsid w:val="7A4775A8"/>
    <w:rsid w:val="7A48677B"/>
    <w:rsid w:val="7A4B0019"/>
    <w:rsid w:val="7A4E3666"/>
    <w:rsid w:val="7A5213A8"/>
    <w:rsid w:val="7A5A200A"/>
    <w:rsid w:val="7A6B6DAD"/>
    <w:rsid w:val="7A78734F"/>
    <w:rsid w:val="7A7A301C"/>
    <w:rsid w:val="7A8D6A7B"/>
    <w:rsid w:val="7AA4046B"/>
    <w:rsid w:val="7AC53928"/>
    <w:rsid w:val="7AC8166A"/>
    <w:rsid w:val="7ACC4282"/>
    <w:rsid w:val="7AED2E7F"/>
    <w:rsid w:val="7AFB2C7A"/>
    <w:rsid w:val="7B0E3521"/>
    <w:rsid w:val="7B1F3574"/>
    <w:rsid w:val="7B2965AD"/>
    <w:rsid w:val="7B2F5F2C"/>
    <w:rsid w:val="7B333928"/>
    <w:rsid w:val="7B375619"/>
    <w:rsid w:val="7B3A4316"/>
    <w:rsid w:val="7B3D5BB4"/>
    <w:rsid w:val="7B4A02D1"/>
    <w:rsid w:val="7B5874DA"/>
    <w:rsid w:val="7B596103"/>
    <w:rsid w:val="7B5F2A69"/>
    <w:rsid w:val="7B64058B"/>
    <w:rsid w:val="7B7154D9"/>
    <w:rsid w:val="7B7535A0"/>
    <w:rsid w:val="7B767318"/>
    <w:rsid w:val="7B811F45"/>
    <w:rsid w:val="7B825CBD"/>
    <w:rsid w:val="7B827A6B"/>
    <w:rsid w:val="7BA2010D"/>
    <w:rsid w:val="7BA23C69"/>
    <w:rsid w:val="7BAD6B85"/>
    <w:rsid w:val="7BAE6AB2"/>
    <w:rsid w:val="7BB73BB8"/>
    <w:rsid w:val="7BBF481B"/>
    <w:rsid w:val="7BCB31C0"/>
    <w:rsid w:val="7BCC39B7"/>
    <w:rsid w:val="7BCE2CB0"/>
    <w:rsid w:val="7BD55DED"/>
    <w:rsid w:val="7BE14791"/>
    <w:rsid w:val="7BE2675B"/>
    <w:rsid w:val="7C042B76"/>
    <w:rsid w:val="7C0E7550"/>
    <w:rsid w:val="7C1C065A"/>
    <w:rsid w:val="7C1C7EBF"/>
    <w:rsid w:val="7C1E744D"/>
    <w:rsid w:val="7C29438A"/>
    <w:rsid w:val="7C33298E"/>
    <w:rsid w:val="7C3C2310"/>
    <w:rsid w:val="7C4D1E27"/>
    <w:rsid w:val="7C5238E1"/>
    <w:rsid w:val="7C5331B5"/>
    <w:rsid w:val="7C573B71"/>
    <w:rsid w:val="7C6B6751"/>
    <w:rsid w:val="7C75312C"/>
    <w:rsid w:val="7C86358B"/>
    <w:rsid w:val="7C983D7A"/>
    <w:rsid w:val="7C9932BE"/>
    <w:rsid w:val="7C9C2DAE"/>
    <w:rsid w:val="7CA12173"/>
    <w:rsid w:val="7CA26617"/>
    <w:rsid w:val="7CA81753"/>
    <w:rsid w:val="7CB77BE8"/>
    <w:rsid w:val="7CBE6E4C"/>
    <w:rsid w:val="7CCA3477"/>
    <w:rsid w:val="7CFC5298"/>
    <w:rsid w:val="7D0F3586"/>
    <w:rsid w:val="7D146A28"/>
    <w:rsid w:val="7D1D5C9D"/>
    <w:rsid w:val="7D230DDA"/>
    <w:rsid w:val="7D276B1C"/>
    <w:rsid w:val="7D292894"/>
    <w:rsid w:val="7D31799A"/>
    <w:rsid w:val="7D382AD7"/>
    <w:rsid w:val="7D456FA2"/>
    <w:rsid w:val="7D494CE4"/>
    <w:rsid w:val="7D541CBA"/>
    <w:rsid w:val="7D6E64F9"/>
    <w:rsid w:val="7D7308C5"/>
    <w:rsid w:val="7D731D61"/>
    <w:rsid w:val="7D747887"/>
    <w:rsid w:val="7D761851"/>
    <w:rsid w:val="7D943A85"/>
    <w:rsid w:val="7DA42AF8"/>
    <w:rsid w:val="7DB67CFE"/>
    <w:rsid w:val="7DC10D1E"/>
    <w:rsid w:val="7DCC76C3"/>
    <w:rsid w:val="7DD95BA9"/>
    <w:rsid w:val="7DE052D0"/>
    <w:rsid w:val="7DEE0B41"/>
    <w:rsid w:val="7DEE6AE3"/>
    <w:rsid w:val="7DEE7639"/>
    <w:rsid w:val="7E192908"/>
    <w:rsid w:val="7E1D1CCD"/>
    <w:rsid w:val="7E1E1957"/>
    <w:rsid w:val="7E1F3128"/>
    <w:rsid w:val="7E3A63DB"/>
    <w:rsid w:val="7E447259"/>
    <w:rsid w:val="7E4E1E86"/>
    <w:rsid w:val="7E503E50"/>
    <w:rsid w:val="7E553215"/>
    <w:rsid w:val="7E5A4CCF"/>
    <w:rsid w:val="7E63541B"/>
    <w:rsid w:val="7E6D055E"/>
    <w:rsid w:val="7E775881"/>
    <w:rsid w:val="7E7B0B36"/>
    <w:rsid w:val="7E8A7362"/>
    <w:rsid w:val="7EAB552B"/>
    <w:rsid w:val="7EBB39C0"/>
    <w:rsid w:val="7EC718A0"/>
    <w:rsid w:val="7ECA1D6E"/>
    <w:rsid w:val="7ED20D09"/>
    <w:rsid w:val="7EE84089"/>
    <w:rsid w:val="7EEF4BC1"/>
    <w:rsid w:val="7EF7251E"/>
    <w:rsid w:val="7F030EC3"/>
    <w:rsid w:val="7F130F93"/>
    <w:rsid w:val="7F141322"/>
    <w:rsid w:val="7F1430D0"/>
    <w:rsid w:val="7F14777D"/>
    <w:rsid w:val="7F341F96"/>
    <w:rsid w:val="7F3C6183"/>
    <w:rsid w:val="7F58120E"/>
    <w:rsid w:val="7F590AE3"/>
    <w:rsid w:val="7F594F87"/>
    <w:rsid w:val="7F5F07EF"/>
    <w:rsid w:val="7F606315"/>
    <w:rsid w:val="7F6D458E"/>
    <w:rsid w:val="7F6F6558"/>
    <w:rsid w:val="7F712D22"/>
    <w:rsid w:val="7F78365F"/>
    <w:rsid w:val="7F9A254A"/>
    <w:rsid w:val="7FA91A6A"/>
    <w:rsid w:val="7FB0104A"/>
    <w:rsid w:val="7FB87EFF"/>
    <w:rsid w:val="7FBD72C3"/>
    <w:rsid w:val="7FC15A2F"/>
    <w:rsid w:val="7FC24D4A"/>
    <w:rsid w:val="7FCA19E0"/>
    <w:rsid w:val="7FD12D6F"/>
    <w:rsid w:val="7FE01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360" w:lineRule="auto"/>
      <w:ind w:firstLine="720" w:firstLineChars="200"/>
      <w:jc w:val="both"/>
    </w:pPr>
    <w:rPr>
      <w:rFonts w:ascii="Times New Roman" w:hAnsi="Times New Roman" w:eastAsia="宋体" w:cs="Times New Roman"/>
      <w:sz w:val="24"/>
      <w:szCs w:val="24"/>
      <w:lang w:val="en-US" w:eastAsia="zh-CN" w:bidi="ar-SA"/>
    </w:rPr>
  </w:style>
  <w:style w:type="paragraph" w:styleId="2">
    <w:name w:val="heading 1"/>
    <w:basedOn w:val="1"/>
    <w:next w:val="3"/>
    <w:link w:val="65"/>
    <w:autoRedefine/>
    <w:qFormat/>
    <w:uiPriority w:val="0"/>
    <w:pPr>
      <w:numPr>
        <w:ilvl w:val="0"/>
        <w:numId w:val="1"/>
      </w:numPr>
      <w:autoSpaceDE w:val="0"/>
      <w:autoSpaceDN w:val="0"/>
      <w:adjustRightInd w:val="0"/>
      <w:snapToGrid w:val="0"/>
      <w:spacing w:before="50" w:beforeLines="50"/>
      <w:ind w:firstLineChars="0"/>
      <w:jc w:val="left"/>
      <w:outlineLvl w:val="0"/>
    </w:pPr>
    <w:rPr>
      <w:b/>
      <w:bCs/>
      <w:kern w:val="44"/>
      <w:sz w:val="30"/>
      <w:szCs w:val="30"/>
    </w:rPr>
  </w:style>
  <w:style w:type="paragraph" w:styleId="5">
    <w:name w:val="heading 2"/>
    <w:basedOn w:val="1"/>
    <w:next w:val="1"/>
    <w:link w:val="44"/>
    <w:autoRedefine/>
    <w:qFormat/>
    <w:uiPriority w:val="0"/>
    <w:pPr>
      <w:numPr>
        <w:ilvl w:val="1"/>
        <w:numId w:val="1"/>
      </w:numPr>
      <w:adjustRightInd w:val="0"/>
      <w:ind w:left="0" w:firstLineChars="0"/>
      <w:jc w:val="left"/>
      <w:outlineLvl w:val="1"/>
    </w:pPr>
    <w:rPr>
      <w:b/>
      <w:bCs/>
      <w:sz w:val="28"/>
      <w:szCs w:val="28"/>
    </w:rPr>
  </w:style>
  <w:style w:type="paragraph" w:styleId="6">
    <w:name w:val="heading 3"/>
    <w:basedOn w:val="1"/>
    <w:next w:val="1"/>
    <w:link w:val="63"/>
    <w:autoRedefine/>
    <w:qFormat/>
    <w:uiPriority w:val="0"/>
    <w:pPr>
      <w:numPr>
        <w:ilvl w:val="2"/>
        <w:numId w:val="1"/>
      </w:numPr>
      <w:adjustRightInd w:val="0"/>
      <w:snapToGrid w:val="0"/>
      <w:ind w:firstLineChars="0"/>
      <w:jc w:val="left"/>
      <w:outlineLvl w:val="2"/>
    </w:pPr>
    <w:rPr>
      <w:b/>
      <w:bCs/>
    </w:rPr>
  </w:style>
  <w:style w:type="paragraph" w:styleId="7">
    <w:name w:val="heading 4"/>
    <w:basedOn w:val="1"/>
    <w:next w:val="3"/>
    <w:link w:val="86"/>
    <w:autoRedefine/>
    <w:qFormat/>
    <w:uiPriority w:val="0"/>
    <w:pPr>
      <w:keepNext/>
      <w:keepLines/>
      <w:numPr>
        <w:ilvl w:val="3"/>
        <w:numId w:val="2"/>
      </w:numPr>
      <w:adjustRightInd w:val="0"/>
      <w:snapToGrid w:val="0"/>
      <w:outlineLvl w:val="3"/>
    </w:pPr>
    <w:rPr>
      <w:bCs/>
      <w:szCs w:val="28"/>
    </w:rPr>
  </w:style>
  <w:style w:type="paragraph" w:styleId="8">
    <w:name w:val="heading 6"/>
    <w:basedOn w:val="1"/>
    <w:next w:val="1"/>
    <w:link w:val="55"/>
    <w:autoRedefine/>
    <w:qFormat/>
    <w:uiPriority w:val="0"/>
    <w:pPr>
      <w:keepNext/>
      <w:keepLines/>
      <w:spacing w:before="240" w:after="64" w:line="320" w:lineRule="auto"/>
      <w:outlineLvl w:val="5"/>
    </w:pPr>
    <w:rPr>
      <w:rFonts w:ascii="Cambria" w:hAnsi="Cambria"/>
      <w:b/>
      <w:bCs/>
    </w:rPr>
  </w:style>
  <w:style w:type="character" w:default="1" w:styleId="34">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customStyle="1" w:styleId="3">
    <w:name w:val="正文首行缩进1"/>
    <w:basedOn w:val="4"/>
    <w:link w:val="74"/>
    <w:autoRedefine/>
    <w:qFormat/>
    <w:uiPriority w:val="0"/>
    <w:pPr>
      <w:ind w:firstLine="420" w:firstLineChars="100"/>
    </w:pPr>
  </w:style>
  <w:style w:type="paragraph" w:styleId="4">
    <w:name w:val="Body Text"/>
    <w:basedOn w:val="1"/>
    <w:next w:val="1"/>
    <w:link w:val="94"/>
    <w:autoRedefine/>
    <w:qFormat/>
    <w:uiPriority w:val="0"/>
    <w:rPr>
      <w:rFonts w:cstheme="minorBidi"/>
      <w:kern w:val="2"/>
    </w:rPr>
  </w:style>
  <w:style w:type="paragraph" w:styleId="9">
    <w:name w:val="Normal Indent"/>
    <w:basedOn w:val="1"/>
    <w:link w:val="83"/>
    <w:autoRedefine/>
    <w:qFormat/>
    <w:uiPriority w:val="0"/>
    <w:pPr>
      <w:adjustRightInd w:val="0"/>
      <w:spacing w:line="240" w:lineRule="auto"/>
      <w:ind w:firstLine="0" w:firstLineChars="0"/>
      <w:jc w:val="center"/>
      <w:textAlignment w:val="baseline"/>
    </w:pPr>
    <w:rPr>
      <w:rFonts w:cstheme="minorBidi"/>
      <w:kern w:val="2"/>
      <w:sz w:val="21"/>
      <w:szCs w:val="22"/>
    </w:rPr>
  </w:style>
  <w:style w:type="paragraph" w:styleId="10">
    <w:name w:val="caption"/>
    <w:basedOn w:val="1"/>
    <w:next w:val="1"/>
    <w:link w:val="128"/>
    <w:autoRedefine/>
    <w:qFormat/>
    <w:uiPriority w:val="35"/>
    <w:pPr>
      <w:adjustRightInd w:val="0"/>
      <w:spacing w:line="240" w:lineRule="auto"/>
      <w:ind w:firstLine="0" w:firstLineChars="0"/>
      <w:jc w:val="center"/>
    </w:pPr>
    <w:rPr>
      <w:rFonts w:cstheme="minorBidi"/>
      <w:b/>
      <w:kern w:val="21"/>
    </w:rPr>
  </w:style>
  <w:style w:type="paragraph" w:styleId="11">
    <w:name w:val="Document Map"/>
    <w:basedOn w:val="1"/>
    <w:link w:val="77"/>
    <w:autoRedefine/>
    <w:semiHidden/>
    <w:qFormat/>
    <w:uiPriority w:val="0"/>
    <w:pPr>
      <w:shd w:val="clear" w:color="auto" w:fill="000080"/>
    </w:pPr>
    <w:rPr>
      <w:rFonts w:asciiTheme="minorHAnsi" w:hAnsiTheme="minorHAnsi" w:eastAsiaTheme="minorEastAsia" w:cstheme="minorBidi"/>
      <w:kern w:val="2"/>
      <w:sz w:val="21"/>
    </w:rPr>
  </w:style>
  <w:style w:type="paragraph" w:styleId="12">
    <w:name w:val="annotation text"/>
    <w:basedOn w:val="1"/>
    <w:link w:val="140"/>
    <w:autoRedefine/>
    <w:unhideWhenUsed/>
    <w:qFormat/>
    <w:uiPriority w:val="0"/>
  </w:style>
  <w:style w:type="paragraph" w:styleId="13">
    <w:name w:val="Body Text Indent"/>
    <w:basedOn w:val="1"/>
    <w:link w:val="111"/>
    <w:autoRedefine/>
    <w:qFormat/>
    <w:uiPriority w:val="0"/>
    <w:pPr>
      <w:spacing w:after="120"/>
      <w:ind w:left="420" w:leftChars="200"/>
    </w:pPr>
    <w:rPr>
      <w:rFonts w:asciiTheme="minorHAnsi" w:hAnsiTheme="minorHAnsi" w:eastAsiaTheme="minorEastAsia" w:cstheme="minorBidi"/>
      <w:kern w:val="2"/>
      <w:sz w:val="21"/>
    </w:rPr>
  </w:style>
  <w:style w:type="paragraph" w:styleId="14">
    <w:name w:val="Plain Text"/>
    <w:basedOn w:val="1"/>
    <w:next w:val="1"/>
    <w:link w:val="58"/>
    <w:autoRedefine/>
    <w:qFormat/>
    <w:uiPriority w:val="0"/>
    <w:rPr>
      <w:rFonts w:hAnsi="Courier New" w:cstheme="minorBidi"/>
      <w:kern w:val="2"/>
      <w:sz w:val="21"/>
      <w:szCs w:val="22"/>
    </w:rPr>
  </w:style>
  <w:style w:type="paragraph" w:styleId="15">
    <w:name w:val="Date"/>
    <w:basedOn w:val="1"/>
    <w:next w:val="1"/>
    <w:link w:val="121"/>
    <w:autoRedefine/>
    <w:qFormat/>
    <w:uiPriority w:val="0"/>
    <w:pPr>
      <w:ind w:left="100" w:leftChars="2500"/>
    </w:pPr>
    <w:rPr>
      <w:rFonts w:asciiTheme="minorHAnsi" w:hAnsiTheme="minorHAnsi" w:eastAsiaTheme="minorEastAsia" w:cstheme="minorBidi"/>
      <w:kern w:val="2"/>
      <w:sz w:val="21"/>
    </w:rPr>
  </w:style>
  <w:style w:type="paragraph" w:styleId="16">
    <w:name w:val="Body Text Indent 2"/>
    <w:basedOn w:val="1"/>
    <w:link w:val="68"/>
    <w:autoRedefine/>
    <w:qFormat/>
    <w:uiPriority w:val="0"/>
    <w:pPr>
      <w:spacing w:after="120" w:line="480" w:lineRule="auto"/>
      <w:ind w:left="420" w:leftChars="200"/>
    </w:pPr>
    <w:rPr>
      <w:rFonts w:asciiTheme="minorHAnsi" w:hAnsiTheme="minorHAnsi" w:eastAsiaTheme="minorEastAsia" w:cstheme="minorBidi"/>
      <w:kern w:val="2"/>
      <w:sz w:val="21"/>
    </w:rPr>
  </w:style>
  <w:style w:type="paragraph" w:styleId="17">
    <w:name w:val="Balloon Text"/>
    <w:basedOn w:val="1"/>
    <w:link w:val="70"/>
    <w:autoRedefine/>
    <w:qFormat/>
    <w:uiPriority w:val="0"/>
    <w:rPr>
      <w:rFonts w:asciiTheme="minorHAnsi" w:hAnsiTheme="minorHAnsi" w:eastAsiaTheme="minorEastAsia" w:cstheme="minorBidi"/>
      <w:kern w:val="2"/>
      <w:sz w:val="18"/>
      <w:szCs w:val="18"/>
    </w:rPr>
  </w:style>
  <w:style w:type="paragraph" w:styleId="18">
    <w:name w:val="footer"/>
    <w:basedOn w:val="1"/>
    <w:link w:val="51"/>
    <w:autoRedefine/>
    <w:unhideWhenUsed/>
    <w:qFormat/>
    <w:uiPriority w:val="99"/>
    <w:pPr>
      <w:tabs>
        <w:tab w:val="center" w:pos="4153"/>
        <w:tab w:val="right" w:pos="8306"/>
      </w:tabs>
      <w:snapToGrid w:val="0"/>
    </w:pPr>
    <w:rPr>
      <w:sz w:val="18"/>
      <w:szCs w:val="18"/>
    </w:rPr>
  </w:style>
  <w:style w:type="paragraph" w:styleId="19">
    <w:name w:val="header"/>
    <w:basedOn w:val="1"/>
    <w:link w:val="50"/>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pPr>
      <w:ind w:firstLine="0" w:firstLineChars="0"/>
    </w:pPr>
  </w:style>
  <w:style w:type="paragraph" w:styleId="21">
    <w:name w:val="List"/>
    <w:basedOn w:val="1"/>
    <w:next w:val="1"/>
    <w:autoRedefine/>
    <w:qFormat/>
    <w:uiPriority w:val="0"/>
    <w:pPr>
      <w:spacing w:line="360" w:lineRule="exact"/>
      <w:jc w:val="center"/>
    </w:pPr>
    <w:rPr>
      <w:rFonts w:ascii="仿宋_GB2312" w:eastAsia="仿宋_GB2312"/>
      <w:szCs w:val="20"/>
    </w:rPr>
  </w:style>
  <w:style w:type="paragraph" w:styleId="22">
    <w:name w:val="Body Text Indent 3"/>
    <w:basedOn w:val="1"/>
    <w:autoRedefine/>
    <w:qFormat/>
    <w:uiPriority w:val="0"/>
    <w:pPr>
      <w:spacing w:after="120" w:line="240" w:lineRule="auto"/>
      <w:ind w:left="420" w:leftChars="200" w:firstLine="0" w:firstLineChars="0"/>
    </w:pPr>
    <w:rPr>
      <w:sz w:val="16"/>
      <w:szCs w:val="16"/>
    </w:rPr>
  </w:style>
  <w:style w:type="paragraph" w:styleId="23">
    <w:name w:val="toc 2"/>
    <w:basedOn w:val="1"/>
    <w:next w:val="1"/>
    <w:autoRedefine/>
    <w:semiHidden/>
    <w:unhideWhenUsed/>
    <w:qFormat/>
    <w:uiPriority w:val="39"/>
  </w:style>
  <w:style w:type="paragraph" w:styleId="24">
    <w:name w:val="HTML Preformatted"/>
    <w:basedOn w:val="1"/>
    <w:link w:val="80"/>
    <w:autoRedefine/>
    <w:unhideWhenUsed/>
    <w:qFormat/>
    <w:uiPriority w:val="0"/>
    <w:rPr>
      <w:rFonts w:ascii="Courier New" w:hAnsi="Courier New" w:eastAsiaTheme="minorEastAsia" w:cstheme="minorBidi"/>
      <w:kern w:val="2"/>
      <w:sz w:val="21"/>
      <w:szCs w:val="22"/>
    </w:rPr>
  </w:style>
  <w:style w:type="paragraph" w:styleId="25">
    <w:name w:val="Normal (Web)"/>
    <w:basedOn w:val="1"/>
    <w:link w:val="374"/>
    <w:autoRedefine/>
    <w:unhideWhenUsed/>
    <w:qFormat/>
    <w:uiPriority w:val="0"/>
    <w:pPr>
      <w:spacing w:before="100" w:beforeAutospacing="1" w:after="100" w:afterAutospacing="1"/>
    </w:pPr>
  </w:style>
  <w:style w:type="paragraph" w:styleId="26">
    <w:name w:val="index 1"/>
    <w:basedOn w:val="1"/>
    <w:next w:val="1"/>
    <w:autoRedefine/>
    <w:qFormat/>
    <w:uiPriority w:val="0"/>
    <w:pPr>
      <w:tabs>
        <w:tab w:val="left" w:pos="5580"/>
      </w:tabs>
      <w:spacing w:line="280" w:lineRule="exact"/>
    </w:pPr>
    <w:rPr>
      <w:spacing w:val="10"/>
    </w:rPr>
  </w:style>
  <w:style w:type="paragraph" w:styleId="27">
    <w:name w:val="Title"/>
    <w:basedOn w:val="1"/>
    <w:link w:val="192"/>
    <w:autoRedefine/>
    <w:qFormat/>
    <w:uiPriority w:val="1"/>
    <w:pPr>
      <w:widowControl w:val="0"/>
      <w:autoSpaceDE w:val="0"/>
      <w:autoSpaceDN w:val="0"/>
      <w:spacing w:line="1011" w:lineRule="exact"/>
      <w:ind w:left="108"/>
    </w:pPr>
    <w:rPr>
      <w:rFonts w:eastAsia="Times New Roman"/>
      <w:sz w:val="89"/>
      <w:szCs w:val="89"/>
      <w:lang w:eastAsia="en-US"/>
    </w:rPr>
  </w:style>
  <w:style w:type="paragraph" w:styleId="28">
    <w:name w:val="annotation subject"/>
    <w:basedOn w:val="12"/>
    <w:next w:val="12"/>
    <w:link w:val="73"/>
    <w:autoRedefine/>
    <w:qFormat/>
    <w:uiPriority w:val="0"/>
    <w:rPr>
      <w:rFonts w:asciiTheme="minorHAnsi" w:hAnsiTheme="minorHAnsi" w:eastAsiaTheme="minorEastAsia" w:cstheme="minorBidi"/>
      <w:b/>
      <w:bCs/>
      <w:kern w:val="2"/>
      <w:sz w:val="21"/>
    </w:rPr>
  </w:style>
  <w:style w:type="paragraph" w:styleId="29">
    <w:name w:val="Body Text First Indent"/>
    <w:basedOn w:val="4"/>
    <w:next w:val="1"/>
    <w:autoRedefine/>
    <w:qFormat/>
    <w:uiPriority w:val="0"/>
    <w:pPr>
      <w:adjustRightInd w:val="0"/>
      <w:snapToGrid w:val="0"/>
      <w:ind w:firstLine="200"/>
    </w:pPr>
  </w:style>
  <w:style w:type="paragraph" w:styleId="30">
    <w:name w:val="Body Text First Indent 2"/>
    <w:basedOn w:val="13"/>
    <w:autoRedefine/>
    <w:qFormat/>
    <w:uiPriority w:val="0"/>
    <w:pPr>
      <w:ind w:firstLine="420"/>
    </w:pPr>
    <w:rPr>
      <w:rFonts w:ascii="Times New Roman" w:hAnsi="Times New Roman"/>
      <w:sz w:val="32"/>
    </w:rPr>
  </w:style>
  <w:style w:type="table" w:styleId="32">
    <w:name w:val="Table Grid"/>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3">
    <w:name w:val="Table Theme"/>
    <w:basedOn w:val="31"/>
    <w:autoRedefine/>
    <w:unhideWhenUsed/>
    <w:qFormat/>
    <w:uiPriority w:val="99"/>
    <w:pPr>
      <w:widowControl w:val="0"/>
      <w:jc w:val="both"/>
    </w:pPr>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autoRedefine/>
    <w:qFormat/>
    <w:uiPriority w:val="22"/>
    <w:rPr>
      <w:b/>
      <w:bCs/>
    </w:rPr>
  </w:style>
  <w:style w:type="character" w:styleId="36">
    <w:name w:val="page number"/>
    <w:basedOn w:val="34"/>
    <w:autoRedefine/>
    <w:qFormat/>
    <w:uiPriority w:val="0"/>
  </w:style>
  <w:style w:type="character" w:styleId="37">
    <w:name w:val="FollowedHyperlink"/>
    <w:autoRedefine/>
    <w:unhideWhenUsed/>
    <w:qFormat/>
    <w:uiPriority w:val="99"/>
    <w:rPr>
      <w:color w:val="800080"/>
      <w:u w:val="single"/>
    </w:rPr>
  </w:style>
  <w:style w:type="character" w:styleId="38">
    <w:name w:val="Emphasis"/>
    <w:autoRedefine/>
    <w:qFormat/>
    <w:uiPriority w:val="20"/>
    <w:rPr>
      <w:i/>
      <w:iCs/>
    </w:rPr>
  </w:style>
  <w:style w:type="character" w:styleId="39">
    <w:name w:val="Hyperlink"/>
    <w:autoRedefine/>
    <w:qFormat/>
    <w:uiPriority w:val="99"/>
    <w:rPr>
      <w:color w:val="0000FF"/>
      <w:u w:val="single"/>
    </w:rPr>
  </w:style>
  <w:style w:type="character" w:styleId="40">
    <w:name w:val="annotation reference"/>
    <w:basedOn w:val="34"/>
    <w:autoRedefine/>
    <w:qFormat/>
    <w:uiPriority w:val="0"/>
    <w:rPr>
      <w:sz w:val="21"/>
      <w:szCs w:val="21"/>
    </w:rPr>
  </w:style>
  <w:style w:type="paragraph" w:customStyle="1" w:styleId="41">
    <w:name w:val="WPSOffice手动目录 1"/>
    <w:autoRedefine/>
    <w:qFormat/>
    <w:uiPriority w:val="0"/>
    <w:rPr>
      <w:rFonts w:ascii="Times New Roman" w:hAnsi="Times New Roman" w:eastAsia="宋体" w:cs="Times New Roman"/>
      <w:lang w:val="en-US" w:eastAsia="zh-CN" w:bidi="ar-SA"/>
    </w:rPr>
  </w:style>
  <w:style w:type="character" w:customStyle="1" w:styleId="42">
    <w:name w:val="标题 3 字符"/>
    <w:basedOn w:val="34"/>
    <w:autoRedefine/>
    <w:qFormat/>
    <w:uiPriority w:val="0"/>
    <w:rPr>
      <w:rFonts w:ascii="宋体" w:hAnsi="宋体" w:eastAsia="宋体" w:cs="宋体"/>
      <w:b/>
      <w:bCs/>
      <w:kern w:val="0"/>
      <w:sz w:val="32"/>
      <w:szCs w:val="32"/>
    </w:rPr>
  </w:style>
  <w:style w:type="character" w:customStyle="1" w:styleId="43">
    <w:name w:val="标题 1 字符"/>
    <w:basedOn w:val="34"/>
    <w:autoRedefine/>
    <w:qFormat/>
    <w:uiPriority w:val="0"/>
    <w:rPr>
      <w:rFonts w:ascii="宋体" w:hAnsi="宋体" w:eastAsia="宋体" w:cs="宋体"/>
      <w:b/>
      <w:bCs/>
      <w:kern w:val="44"/>
      <w:sz w:val="44"/>
      <w:szCs w:val="44"/>
    </w:rPr>
  </w:style>
  <w:style w:type="character" w:customStyle="1" w:styleId="44">
    <w:name w:val="标题 2 字符1"/>
    <w:link w:val="5"/>
    <w:autoRedefine/>
    <w:qFormat/>
    <w:uiPriority w:val="0"/>
    <w:rPr>
      <w:rFonts w:ascii="Times New Roman" w:hAnsi="Times New Roman" w:eastAsia="宋体" w:cs="宋体"/>
      <w:b/>
      <w:bCs/>
      <w:kern w:val="0"/>
      <w:sz w:val="28"/>
      <w:szCs w:val="28"/>
    </w:rPr>
  </w:style>
  <w:style w:type="character" w:customStyle="1" w:styleId="45">
    <w:name w:val="正文文本 字符"/>
    <w:basedOn w:val="34"/>
    <w:autoRedefine/>
    <w:qFormat/>
    <w:uiPriority w:val="0"/>
    <w:rPr>
      <w:rFonts w:ascii="宋体" w:hAnsi="宋体" w:eastAsia="宋体" w:cs="宋体"/>
      <w:kern w:val="0"/>
      <w:sz w:val="24"/>
      <w:szCs w:val="24"/>
    </w:rPr>
  </w:style>
  <w:style w:type="paragraph" w:customStyle="1" w:styleId="46">
    <w:name w:val="Date1"/>
    <w:basedOn w:val="1"/>
    <w:next w:val="1"/>
    <w:autoRedefine/>
    <w:qFormat/>
    <w:uiPriority w:val="0"/>
    <w:pPr>
      <w:adjustRightInd w:val="0"/>
      <w:jc w:val="left"/>
      <w:textAlignment w:val="baseline"/>
    </w:pPr>
    <w:rPr>
      <w:rFonts w:ascii="宋体" w:hAnsi="宋体"/>
      <w:sz w:val="28"/>
      <w:szCs w:val="20"/>
    </w:rPr>
  </w:style>
  <w:style w:type="paragraph" w:customStyle="1" w:styleId="47">
    <w:name w:val="xl27"/>
    <w:basedOn w:val="1"/>
    <w:autoRedefine/>
    <w:qFormat/>
    <w:uiPriority w:val="0"/>
    <w:pPr>
      <w:pBdr>
        <w:bottom w:val="single" w:color="auto" w:sz="12" w:space="0"/>
      </w:pBdr>
      <w:spacing w:before="100" w:after="100"/>
      <w:jc w:val="center"/>
    </w:pPr>
    <w:rPr>
      <w:szCs w:val="20"/>
    </w:rPr>
  </w:style>
  <w:style w:type="paragraph" w:customStyle="1" w:styleId="48">
    <w:name w:val="表格内容"/>
    <w:basedOn w:val="49"/>
    <w:autoRedefine/>
    <w:qFormat/>
    <w:uiPriority w:val="0"/>
    <w:pPr>
      <w:adjustRightInd w:val="0"/>
      <w:spacing w:line="240" w:lineRule="auto"/>
      <w:ind w:firstLine="0" w:firstLineChars="0"/>
      <w:jc w:val="center"/>
      <w:textAlignment w:val="baseline"/>
    </w:pPr>
    <w:rPr>
      <w:sz w:val="21"/>
      <w:szCs w:val="20"/>
    </w:rPr>
  </w:style>
  <w:style w:type="paragraph" w:customStyle="1" w:styleId="49">
    <w:name w:val="表格文本"/>
    <w:basedOn w:val="1"/>
    <w:autoRedefine/>
    <w:qFormat/>
    <w:uiPriority w:val="0"/>
    <w:rPr>
      <w:szCs w:val="21"/>
    </w:rPr>
  </w:style>
  <w:style w:type="character" w:customStyle="1" w:styleId="50">
    <w:name w:val="页眉 字符"/>
    <w:basedOn w:val="34"/>
    <w:link w:val="19"/>
    <w:autoRedefine/>
    <w:qFormat/>
    <w:uiPriority w:val="0"/>
    <w:rPr>
      <w:sz w:val="18"/>
      <w:szCs w:val="18"/>
    </w:rPr>
  </w:style>
  <w:style w:type="character" w:customStyle="1" w:styleId="51">
    <w:name w:val="页脚 字符"/>
    <w:basedOn w:val="34"/>
    <w:link w:val="18"/>
    <w:autoRedefine/>
    <w:qFormat/>
    <w:uiPriority w:val="99"/>
    <w:rPr>
      <w:sz w:val="18"/>
      <w:szCs w:val="18"/>
    </w:rPr>
  </w:style>
  <w:style w:type="character" w:customStyle="1" w:styleId="52">
    <w:name w:val="标题 2 字符"/>
    <w:basedOn w:val="34"/>
    <w:autoRedefine/>
    <w:qFormat/>
    <w:uiPriority w:val="0"/>
    <w:rPr>
      <w:rFonts w:asciiTheme="majorHAnsi" w:hAnsiTheme="majorHAnsi" w:eastAsiaTheme="majorEastAsia" w:cstheme="majorBidi"/>
      <w:b/>
      <w:bCs/>
      <w:kern w:val="0"/>
      <w:sz w:val="32"/>
      <w:szCs w:val="32"/>
    </w:rPr>
  </w:style>
  <w:style w:type="character" w:customStyle="1" w:styleId="53">
    <w:name w:val="标题 4 字符"/>
    <w:basedOn w:val="34"/>
    <w:autoRedefine/>
    <w:qFormat/>
    <w:uiPriority w:val="0"/>
    <w:rPr>
      <w:rFonts w:asciiTheme="majorHAnsi" w:hAnsiTheme="majorHAnsi" w:eastAsiaTheme="majorEastAsia" w:cstheme="majorBidi"/>
      <w:b/>
      <w:bCs/>
      <w:kern w:val="0"/>
      <w:sz w:val="28"/>
      <w:szCs w:val="28"/>
    </w:rPr>
  </w:style>
  <w:style w:type="character" w:customStyle="1" w:styleId="54">
    <w:name w:val="标题 6 字符"/>
    <w:basedOn w:val="34"/>
    <w:autoRedefine/>
    <w:qFormat/>
    <w:uiPriority w:val="0"/>
    <w:rPr>
      <w:rFonts w:asciiTheme="majorHAnsi" w:hAnsiTheme="majorHAnsi" w:eastAsiaTheme="majorEastAsia" w:cstheme="majorBidi"/>
      <w:b/>
      <w:bCs/>
      <w:kern w:val="0"/>
      <w:sz w:val="24"/>
      <w:szCs w:val="24"/>
    </w:rPr>
  </w:style>
  <w:style w:type="character" w:customStyle="1" w:styleId="55">
    <w:name w:val="标题 6 字符1"/>
    <w:link w:val="8"/>
    <w:autoRedefine/>
    <w:qFormat/>
    <w:uiPriority w:val="0"/>
    <w:rPr>
      <w:rFonts w:ascii="Cambria" w:hAnsi="Cambria" w:eastAsia="宋体" w:cs="Times New Roman"/>
      <w:b/>
      <w:bCs/>
      <w:kern w:val="0"/>
      <w:sz w:val="24"/>
      <w:szCs w:val="24"/>
    </w:rPr>
  </w:style>
  <w:style w:type="character" w:customStyle="1" w:styleId="56">
    <w:name w:val="标题二 Char"/>
    <w:link w:val="57"/>
    <w:autoRedefine/>
    <w:qFormat/>
    <w:uiPriority w:val="0"/>
    <w:rPr>
      <w:szCs w:val="24"/>
    </w:rPr>
  </w:style>
  <w:style w:type="paragraph" w:customStyle="1" w:styleId="57">
    <w:name w:val="标题二"/>
    <w:basedOn w:val="1"/>
    <w:link w:val="56"/>
    <w:autoRedefine/>
    <w:qFormat/>
    <w:uiPriority w:val="0"/>
    <w:rPr>
      <w:rFonts w:asciiTheme="minorHAnsi" w:hAnsiTheme="minorHAnsi" w:eastAsiaTheme="minorEastAsia" w:cstheme="minorBidi"/>
      <w:kern w:val="2"/>
      <w:sz w:val="21"/>
    </w:rPr>
  </w:style>
  <w:style w:type="character" w:customStyle="1" w:styleId="58">
    <w:name w:val="纯文本 字符2"/>
    <w:link w:val="14"/>
    <w:autoRedefine/>
    <w:qFormat/>
    <w:uiPriority w:val="0"/>
    <w:rPr>
      <w:rFonts w:ascii="宋体" w:hAnsi="Courier New" w:eastAsia="宋体"/>
    </w:rPr>
  </w:style>
  <w:style w:type="character" w:customStyle="1" w:styleId="59">
    <w:name w:val="报告 Char"/>
    <w:link w:val="60"/>
    <w:autoRedefine/>
    <w:qFormat/>
    <w:locked/>
    <w:uiPriority w:val="0"/>
    <w:rPr>
      <w:sz w:val="24"/>
    </w:rPr>
  </w:style>
  <w:style w:type="paragraph" w:customStyle="1" w:styleId="60">
    <w:name w:val="报告"/>
    <w:basedOn w:val="1"/>
    <w:link w:val="59"/>
    <w:autoRedefine/>
    <w:qFormat/>
    <w:uiPriority w:val="0"/>
    <w:pPr>
      <w:overflowPunct w:val="0"/>
      <w:autoSpaceDE w:val="0"/>
      <w:autoSpaceDN w:val="0"/>
      <w:adjustRightInd w:val="0"/>
      <w:spacing w:before="120" w:after="120" w:line="400" w:lineRule="atLeast"/>
      <w:ind w:left="840" w:leftChars="400"/>
      <w:textAlignment w:val="baseline"/>
    </w:pPr>
    <w:rPr>
      <w:rFonts w:asciiTheme="minorHAnsi" w:hAnsiTheme="minorHAnsi" w:eastAsiaTheme="minorEastAsia" w:cstheme="minorBidi"/>
      <w:kern w:val="2"/>
      <w:szCs w:val="22"/>
    </w:rPr>
  </w:style>
  <w:style w:type="character" w:customStyle="1" w:styleId="61">
    <w:name w:val="正文文本2"/>
    <w:autoRedefine/>
    <w:qFormat/>
    <w:uiPriority w:val="0"/>
    <w:rPr>
      <w:rFonts w:ascii="MingLiU" w:hAnsi="MingLiU" w:eastAsia="MingLiU" w:cs="MingLiU"/>
      <w:color w:val="000000"/>
      <w:spacing w:val="0"/>
      <w:w w:val="100"/>
      <w:position w:val="0"/>
      <w:sz w:val="19"/>
      <w:szCs w:val="19"/>
      <w:u w:val="none"/>
      <w:lang w:val="zh-TW"/>
    </w:rPr>
  </w:style>
  <w:style w:type="character" w:customStyle="1" w:styleId="62">
    <w:name w:val="Body text + SimHei"/>
    <w:autoRedefine/>
    <w:qFormat/>
    <w:uiPriority w:val="0"/>
    <w:rPr>
      <w:rFonts w:ascii="黑体" w:hAnsi="黑体" w:eastAsia="黑体" w:cs="黑体"/>
      <w:color w:val="000000"/>
      <w:spacing w:val="-40"/>
      <w:w w:val="100"/>
      <w:position w:val="0"/>
      <w:sz w:val="20"/>
      <w:szCs w:val="20"/>
      <w:u w:val="none"/>
      <w:shd w:val="clear" w:color="auto" w:fill="FFFFFF"/>
      <w:lang w:val="en-US"/>
    </w:rPr>
  </w:style>
  <w:style w:type="character" w:customStyle="1" w:styleId="63">
    <w:name w:val="标题 3 字符1"/>
    <w:link w:val="6"/>
    <w:autoRedefine/>
    <w:qFormat/>
    <w:uiPriority w:val="0"/>
    <w:rPr>
      <w:rFonts w:ascii="Times New Roman" w:hAnsi="Times New Roman" w:eastAsia="宋体" w:cs="宋体"/>
      <w:b/>
      <w:bCs/>
      <w:kern w:val="0"/>
      <w:sz w:val="24"/>
      <w:szCs w:val="24"/>
    </w:rPr>
  </w:style>
  <w:style w:type="character" w:customStyle="1" w:styleId="64">
    <w:name w:val="表格11 Char"/>
    <w:autoRedefine/>
    <w:qFormat/>
    <w:uiPriority w:val="0"/>
    <w:rPr>
      <w:rFonts w:eastAsia="宋体"/>
      <w:kern w:val="18"/>
      <w:sz w:val="21"/>
      <w:szCs w:val="18"/>
      <w:lang w:val="en-US" w:eastAsia="zh-CN" w:bidi="ar-SA"/>
    </w:rPr>
  </w:style>
  <w:style w:type="character" w:customStyle="1" w:styleId="65">
    <w:name w:val="标题 1 字符1"/>
    <w:link w:val="2"/>
    <w:autoRedefine/>
    <w:qFormat/>
    <w:locked/>
    <w:uiPriority w:val="0"/>
    <w:rPr>
      <w:rFonts w:ascii="Times New Roman" w:hAnsi="Times New Roman" w:eastAsia="宋体" w:cs="宋体"/>
      <w:b/>
      <w:bCs/>
      <w:kern w:val="44"/>
      <w:sz w:val="30"/>
      <w:szCs w:val="30"/>
    </w:rPr>
  </w:style>
  <w:style w:type="character" w:customStyle="1" w:styleId="66">
    <w:name w:val="表文 Char Char"/>
    <w:link w:val="67"/>
    <w:autoRedefine/>
    <w:qFormat/>
    <w:locked/>
    <w:uiPriority w:val="0"/>
    <w:rPr>
      <w:rFonts w:ascii="宋体" w:hAnsi="宋体" w:eastAsia="宋体"/>
      <w:kern w:val="10"/>
    </w:rPr>
  </w:style>
  <w:style w:type="paragraph" w:customStyle="1" w:styleId="67">
    <w:name w:val="表文"/>
    <w:basedOn w:val="1"/>
    <w:link w:val="66"/>
    <w:autoRedefine/>
    <w:qFormat/>
    <w:uiPriority w:val="0"/>
    <w:pPr>
      <w:tabs>
        <w:tab w:val="left" w:pos="1021"/>
      </w:tabs>
      <w:jc w:val="center"/>
    </w:pPr>
    <w:rPr>
      <w:rFonts w:cstheme="minorBidi"/>
      <w:kern w:val="10"/>
      <w:sz w:val="21"/>
      <w:szCs w:val="22"/>
    </w:rPr>
  </w:style>
  <w:style w:type="character" w:customStyle="1" w:styleId="68">
    <w:name w:val="正文文本缩进 2 字符2"/>
    <w:link w:val="16"/>
    <w:autoRedefine/>
    <w:qFormat/>
    <w:uiPriority w:val="0"/>
    <w:rPr>
      <w:szCs w:val="24"/>
    </w:rPr>
  </w:style>
  <w:style w:type="character" w:customStyle="1" w:styleId="69">
    <w:name w:val="表文字 Char Char"/>
    <w:autoRedefine/>
    <w:qFormat/>
    <w:locked/>
    <w:uiPriority w:val="0"/>
    <w:rPr>
      <w:rFonts w:eastAsia="宋体"/>
      <w:sz w:val="24"/>
      <w:lang w:val="en-US" w:eastAsia="zh-CN" w:bidi="ar-SA"/>
    </w:rPr>
  </w:style>
  <w:style w:type="character" w:customStyle="1" w:styleId="70">
    <w:name w:val="批注框文本 字符1"/>
    <w:link w:val="17"/>
    <w:autoRedefine/>
    <w:qFormat/>
    <w:uiPriority w:val="0"/>
    <w:rPr>
      <w:sz w:val="18"/>
      <w:szCs w:val="18"/>
    </w:rPr>
  </w:style>
  <w:style w:type="character" w:customStyle="1" w:styleId="71">
    <w:name w:val="Body text_"/>
    <w:link w:val="72"/>
    <w:autoRedefine/>
    <w:qFormat/>
    <w:uiPriority w:val="0"/>
    <w:rPr>
      <w:rFonts w:ascii="MingLiU" w:hAnsi="MingLiU" w:eastAsia="MingLiU" w:cs="MingLiU"/>
      <w:sz w:val="19"/>
      <w:szCs w:val="19"/>
      <w:shd w:val="clear" w:color="auto" w:fill="FFFFFF"/>
    </w:rPr>
  </w:style>
  <w:style w:type="paragraph" w:customStyle="1" w:styleId="72">
    <w:name w:val="正文文本5"/>
    <w:basedOn w:val="1"/>
    <w:link w:val="71"/>
    <w:autoRedefine/>
    <w:qFormat/>
    <w:uiPriority w:val="0"/>
    <w:pPr>
      <w:widowControl w:val="0"/>
      <w:shd w:val="clear" w:color="auto" w:fill="FFFFFF"/>
      <w:spacing w:after="960" w:line="0" w:lineRule="atLeast"/>
      <w:jc w:val="center"/>
    </w:pPr>
    <w:rPr>
      <w:rFonts w:ascii="MingLiU" w:hAnsi="MingLiU" w:eastAsia="MingLiU" w:cs="MingLiU"/>
      <w:kern w:val="2"/>
      <w:sz w:val="19"/>
      <w:szCs w:val="19"/>
    </w:rPr>
  </w:style>
  <w:style w:type="character" w:customStyle="1" w:styleId="73">
    <w:name w:val="批注主题 字符1"/>
    <w:link w:val="28"/>
    <w:autoRedefine/>
    <w:qFormat/>
    <w:uiPriority w:val="0"/>
    <w:rPr>
      <w:b/>
      <w:bCs/>
      <w:szCs w:val="24"/>
    </w:rPr>
  </w:style>
  <w:style w:type="character" w:customStyle="1" w:styleId="74">
    <w:name w:val="正文首行缩进 Char"/>
    <w:link w:val="3"/>
    <w:autoRedefine/>
    <w:qFormat/>
    <w:uiPriority w:val="0"/>
    <w:rPr>
      <w:szCs w:val="24"/>
    </w:rPr>
  </w:style>
  <w:style w:type="character" w:customStyle="1" w:styleId="75">
    <w:name w:val="正文缩进 Char1"/>
    <w:autoRedefine/>
    <w:qFormat/>
    <w:uiPriority w:val="0"/>
    <w:rPr>
      <w:rFonts w:eastAsia="宋体"/>
      <w:kern w:val="2"/>
      <w:sz w:val="21"/>
      <w:szCs w:val="24"/>
      <w:lang w:val="en-US" w:eastAsia="zh-CN" w:bidi="ar-SA"/>
    </w:rPr>
  </w:style>
  <w:style w:type="character" w:customStyle="1" w:styleId="76">
    <w:name w:val="Char Char5"/>
    <w:autoRedefine/>
    <w:qFormat/>
    <w:locked/>
    <w:uiPriority w:val="0"/>
    <w:rPr>
      <w:rFonts w:ascii="宋体" w:hAnsi="宋体" w:eastAsia="宋体"/>
      <w:b/>
      <w:kern w:val="2"/>
      <w:sz w:val="24"/>
      <w:szCs w:val="24"/>
      <w:lang w:val="en-US" w:eastAsia="zh-CN" w:bidi="ar-SA"/>
    </w:rPr>
  </w:style>
  <w:style w:type="character" w:customStyle="1" w:styleId="77">
    <w:name w:val="文档结构图 字符2"/>
    <w:link w:val="11"/>
    <w:autoRedefine/>
    <w:semiHidden/>
    <w:qFormat/>
    <w:uiPriority w:val="0"/>
    <w:rPr>
      <w:szCs w:val="24"/>
      <w:shd w:val="clear" w:color="auto" w:fill="000080"/>
    </w:rPr>
  </w:style>
  <w:style w:type="character" w:customStyle="1" w:styleId="78">
    <w:name w:val="正文首行缩进 2 Char"/>
    <w:link w:val="79"/>
    <w:autoRedefine/>
    <w:qFormat/>
    <w:uiPriority w:val="0"/>
    <w:rPr>
      <w:szCs w:val="24"/>
    </w:rPr>
  </w:style>
  <w:style w:type="paragraph" w:customStyle="1" w:styleId="79">
    <w:name w:val="正文首行缩进 21"/>
    <w:basedOn w:val="13"/>
    <w:link w:val="78"/>
    <w:autoRedefine/>
    <w:qFormat/>
    <w:uiPriority w:val="0"/>
    <w:pPr>
      <w:ind w:firstLine="420"/>
    </w:pPr>
  </w:style>
  <w:style w:type="character" w:customStyle="1" w:styleId="80">
    <w:name w:val="HTML 预设格式 字符2"/>
    <w:link w:val="24"/>
    <w:autoRedefine/>
    <w:qFormat/>
    <w:uiPriority w:val="0"/>
    <w:rPr>
      <w:rFonts w:ascii="Courier New" w:hAnsi="Courier New"/>
    </w:rPr>
  </w:style>
  <w:style w:type="character" w:customStyle="1" w:styleId="81">
    <w:name w:val="ask-title"/>
    <w:basedOn w:val="34"/>
    <w:autoRedefine/>
    <w:qFormat/>
    <w:uiPriority w:val="0"/>
  </w:style>
  <w:style w:type="character" w:customStyle="1" w:styleId="82">
    <w:name w:val="Body text + 10 pt"/>
    <w:autoRedefine/>
    <w:qFormat/>
    <w:uiPriority w:val="0"/>
    <w:rPr>
      <w:rFonts w:ascii="MingLiU" w:hAnsi="MingLiU" w:eastAsia="MingLiU" w:cs="MingLiU"/>
      <w:color w:val="000000"/>
      <w:spacing w:val="0"/>
      <w:w w:val="100"/>
      <w:position w:val="0"/>
      <w:sz w:val="20"/>
      <w:szCs w:val="20"/>
      <w:u w:val="none"/>
      <w:shd w:val="clear" w:color="auto" w:fill="FFFFFF"/>
    </w:rPr>
  </w:style>
  <w:style w:type="character" w:customStyle="1" w:styleId="83">
    <w:name w:val="正文缩进 字符1"/>
    <w:link w:val="9"/>
    <w:autoRedefine/>
    <w:qFormat/>
    <w:uiPriority w:val="0"/>
    <w:rPr>
      <w:rFonts w:ascii="Times New Roman" w:hAnsi="Times New Roman" w:eastAsia="宋体"/>
    </w:rPr>
  </w:style>
  <w:style w:type="character" w:customStyle="1" w:styleId="84">
    <w:name w:val="标准条文 Char Char"/>
    <w:link w:val="85"/>
    <w:autoRedefine/>
    <w:qFormat/>
    <w:uiPriority w:val="0"/>
    <w:rPr>
      <w:bCs/>
      <w:szCs w:val="24"/>
    </w:rPr>
  </w:style>
  <w:style w:type="paragraph" w:customStyle="1" w:styleId="85">
    <w:name w:val="标准条文"/>
    <w:link w:val="84"/>
    <w:autoRedefine/>
    <w:qFormat/>
    <w:uiPriority w:val="0"/>
    <w:pPr>
      <w:tabs>
        <w:tab w:val="left" w:pos="6096"/>
      </w:tabs>
      <w:adjustRightInd w:val="0"/>
      <w:ind w:right="-143" w:rightChars="-68" w:firstLine="567" w:firstLineChars="270"/>
    </w:pPr>
    <w:rPr>
      <w:rFonts w:asciiTheme="minorHAnsi" w:hAnsiTheme="minorHAnsi" w:eastAsiaTheme="minorEastAsia" w:cstheme="minorBidi"/>
      <w:bCs/>
      <w:kern w:val="2"/>
      <w:sz w:val="21"/>
      <w:szCs w:val="24"/>
      <w:lang w:val="en-US" w:eastAsia="zh-CN" w:bidi="ar-SA"/>
    </w:rPr>
  </w:style>
  <w:style w:type="character" w:customStyle="1" w:styleId="86">
    <w:name w:val="标题 4 字符1"/>
    <w:link w:val="7"/>
    <w:autoRedefine/>
    <w:qFormat/>
    <w:uiPriority w:val="0"/>
    <w:rPr>
      <w:rFonts w:ascii="宋体" w:hAnsi="宋体" w:eastAsia="宋体" w:cs="宋体"/>
      <w:bCs/>
      <w:kern w:val="0"/>
      <w:sz w:val="24"/>
      <w:szCs w:val="28"/>
    </w:rPr>
  </w:style>
  <w:style w:type="character" w:customStyle="1" w:styleId="87">
    <w:name w:val="表头 Char"/>
    <w:autoRedefine/>
    <w:qFormat/>
    <w:uiPriority w:val="0"/>
    <w:rPr>
      <w:rFonts w:eastAsia="宋体"/>
      <w:b/>
      <w:bCs/>
      <w:kern w:val="2"/>
      <w:sz w:val="24"/>
      <w:szCs w:val="24"/>
      <w:lang w:val="en-US" w:eastAsia="zh-CN" w:bidi="ar-SA"/>
    </w:rPr>
  </w:style>
  <w:style w:type="character" w:customStyle="1" w:styleId="88">
    <w:name w:val="表格11 Char Char"/>
    <w:link w:val="89"/>
    <w:autoRedefine/>
    <w:qFormat/>
    <w:uiPriority w:val="0"/>
    <w:rPr>
      <w:kern w:val="18"/>
      <w:szCs w:val="18"/>
    </w:rPr>
  </w:style>
  <w:style w:type="paragraph" w:customStyle="1" w:styleId="89">
    <w:name w:val="表格11"/>
    <w:basedOn w:val="1"/>
    <w:next w:val="1"/>
    <w:link w:val="88"/>
    <w:autoRedefine/>
    <w:qFormat/>
    <w:uiPriority w:val="0"/>
    <w:pPr>
      <w:snapToGrid w:val="0"/>
      <w:spacing w:line="240" w:lineRule="atLeast"/>
      <w:jc w:val="center"/>
    </w:pPr>
    <w:rPr>
      <w:rFonts w:asciiTheme="minorHAnsi" w:hAnsiTheme="minorHAnsi" w:eastAsiaTheme="minorEastAsia" w:cstheme="minorBidi"/>
      <w:kern w:val="18"/>
      <w:sz w:val="21"/>
      <w:szCs w:val="18"/>
    </w:rPr>
  </w:style>
  <w:style w:type="character" w:customStyle="1" w:styleId="90">
    <w:name w:val="标题1 Char"/>
    <w:link w:val="91"/>
    <w:autoRedefine/>
    <w:qFormat/>
    <w:uiPriority w:val="0"/>
    <w:rPr>
      <w:b/>
      <w:sz w:val="32"/>
      <w:szCs w:val="32"/>
    </w:rPr>
  </w:style>
  <w:style w:type="paragraph" w:customStyle="1" w:styleId="91">
    <w:name w:val="标题1"/>
    <w:basedOn w:val="1"/>
    <w:next w:val="1"/>
    <w:link w:val="90"/>
    <w:autoRedefine/>
    <w:qFormat/>
    <w:uiPriority w:val="0"/>
    <w:pPr>
      <w:numPr>
        <w:ilvl w:val="0"/>
        <w:numId w:val="3"/>
      </w:numPr>
      <w:spacing w:before="120" w:beforeLines="50" w:after="120" w:afterLines="50"/>
      <w:jc w:val="center"/>
      <w:outlineLvl w:val="0"/>
    </w:pPr>
    <w:rPr>
      <w:rFonts w:asciiTheme="minorHAnsi" w:hAnsiTheme="minorHAnsi" w:eastAsiaTheme="minorEastAsia" w:cstheme="minorBidi"/>
      <w:b/>
      <w:kern w:val="2"/>
      <w:sz w:val="32"/>
      <w:szCs w:val="32"/>
    </w:rPr>
  </w:style>
  <w:style w:type="character" w:customStyle="1" w:styleId="92">
    <w:name w:val="缩进 Char"/>
    <w:link w:val="93"/>
    <w:autoRedefine/>
    <w:qFormat/>
    <w:uiPriority w:val="0"/>
    <w:rPr>
      <w:sz w:val="24"/>
    </w:rPr>
  </w:style>
  <w:style w:type="paragraph" w:customStyle="1" w:styleId="93">
    <w:name w:val="缩进"/>
    <w:basedOn w:val="1"/>
    <w:link w:val="92"/>
    <w:autoRedefine/>
    <w:qFormat/>
    <w:uiPriority w:val="0"/>
    <w:pPr>
      <w:autoSpaceDE w:val="0"/>
      <w:autoSpaceDN w:val="0"/>
      <w:adjustRightInd w:val="0"/>
      <w:spacing w:line="400" w:lineRule="atLeast"/>
      <w:ind w:firstLine="425"/>
      <w:textAlignment w:val="baseline"/>
    </w:pPr>
    <w:rPr>
      <w:rFonts w:asciiTheme="minorHAnsi" w:hAnsiTheme="minorHAnsi" w:eastAsiaTheme="minorEastAsia" w:cstheme="minorBidi"/>
      <w:kern w:val="2"/>
      <w:szCs w:val="22"/>
    </w:rPr>
  </w:style>
  <w:style w:type="character" w:customStyle="1" w:styleId="94">
    <w:name w:val="正文文本 字符1"/>
    <w:link w:val="4"/>
    <w:autoRedefine/>
    <w:qFormat/>
    <w:uiPriority w:val="0"/>
    <w:rPr>
      <w:rFonts w:ascii="Times New Roman" w:hAnsi="Times New Roman" w:eastAsia="宋体"/>
      <w:sz w:val="24"/>
      <w:szCs w:val="24"/>
    </w:rPr>
  </w:style>
  <w:style w:type="character" w:customStyle="1" w:styleId="95">
    <w:name w:val="text-success"/>
    <w:autoRedefine/>
    <w:qFormat/>
    <w:uiPriority w:val="0"/>
  </w:style>
  <w:style w:type="character" w:customStyle="1" w:styleId="96">
    <w:name w:val="表格文字 Char"/>
    <w:link w:val="97"/>
    <w:autoRedefine/>
    <w:qFormat/>
    <w:uiPriority w:val="0"/>
    <w:rPr>
      <w:rFonts w:ascii="Times New Roman" w:hAnsi="Times New Roman" w:eastAsia="宋体"/>
      <w:sz w:val="21"/>
      <w:szCs w:val="21"/>
    </w:rPr>
  </w:style>
  <w:style w:type="paragraph" w:customStyle="1" w:styleId="97">
    <w:name w:val="表格文字"/>
    <w:basedOn w:val="29"/>
    <w:next w:val="1"/>
    <w:link w:val="96"/>
    <w:autoRedefine/>
    <w:qFormat/>
    <w:uiPriority w:val="0"/>
    <w:pPr>
      <w:spacing w:line="240" w:lineRule="auto"/>
      <w:ind w:firstLine="720"/>
    </w:pPr>
    <w:rPr>
      <w:sz w:val="21"/>
      <w:szCs w:val="21"/>
    </w:rPr>
  </w:style>
  <w:style w:type="character" w:customStyle="1" w:styleId="98">
    <w:name w:val="段落 Char1"/>
    <w:link w:val="99"/>
    <w:autoRedefine/>
    <w:qFormat/>
    <w:locked/>
    <w:uiPriority w:val="0"/>
    <w:rPr>
      <w:rFonts w:ascii="宋体" w:hAnsi="宋体" w:eastAsia="宋体"/>
      <w:color w:val="000000"/>
      <w:kern w:val="24"/>
      <w:sz w:val="24"/>
    </w:rPr>
  </w:style>
  <w:style w:type="paragraph" w:customStyle="1" w:styleId="99">
    <w:name w:val="段落"/>
    <w:basedOn w:val="1"/>
    <w:link w:val="98"/>
    <w:autoRedefine/>
    <w:qFormat/>
    <w:uiPriority w:val="0"/>
    <w:pPr>
      <w:tabs>
        <w:tab w:val="left" w:pos="900"/>
      </w:tabs>
      <w:spacing w:line="312" w:lineRule="auto"/>
      <w:ind w:right="-67" w:rightChars="-28" w:firstLine="600" w:firstLineChars="250"/>
    </w:pPr>
    <w:rPr>
      <w:rFonts w:cstheme="minorBidi"/>
      <w:color w:val="000000"/>
      <w:kern w:val="24"/>
      <w:szCs w:val="22"/>
    </w:rPr>
  </w:style>
  <w:style w:type="character" w:customStyle="1" w:styleId="100">
    <w:name w:val="apple-converted-space"/>
    <w:basedOn w:val="34"/>
    <w:autoRedefine/>
    <w:qFormat/>
    <w:uiPriority w:val="0"/>
  </w:style>
  <w:style w:type="character" w:customStyle="1" w:styleId="101">
    <w:name w:val="表文字 Char"/>
    <w:link w:val="102"/>
    <w:autoRedefine/>
    <w:qFormat/>
    <w:uiPriority w:val="0"/>
    <w:rPr>
      <w:sz w:val="24"/>
    </w:rPr>
  </w:style>
  <w:style w:type="paragraph" w:customStyle="1" w:styleId="102">
    <w:name w:val="表文字"/>
    <w:basedOn w:val="1"/>
    <w:link w:val="101"/>
    <w:autoRedefine/>
    <w:qFormat/>
    <w:uiPriority w:val="0"/>
    <w:pPr>
      <w:overflowPunct w:val="0"/>
      <w:autoSpaceDE w:val="0"/>
      <w:autoSpaceDN w:val="0"/>
      <w:adjustRightInd w:val="0"/>
      <w:spacing w:line="240" w:lineRule="atLeast"/>
      <w:jc w:val="center"/>
      <w:textAlignment w:val="baseline"/>
    </w:pPr>
    <w:rPr>
      <w:rFonts w:asciiTheme="minorHAnsi" w:hAnsiTheme="minorHAnsi" w:eastAsiaTheme="minorEastAsia" w:cstheme="minorBidi"/>
      <w:kern w:val="2"/>
      <w:szCs w:val="22"/>
    </w:rPr>
  </w:style>
  <w:style w:type="character" w:customStyle="1" w:styleId="103">
    <w:name w:val="正文001 Char Char"/>
    <w:link w:val="104"/>
    <w:autoRedefine/>
    <w:qFormat/>
    <w:uiPriority w:val="0"/>
    <w:rPr>
      <w:rFonts w:ascii="Arial" w:hAnsi="Arial" w:cs="Arial"/>
      <w:sz w:val="30"/>
      <w:szCs w:val="30"/>
    </w:rPr>
  </w:style>
  <w:style w:type="paragraph" w:customStyle="1" w:styleId="104">
    <w:name w:val="正文001"/>
    <w:basedOn w:val="1"/>
    <w:link w:val="103"/>
    <w:autoRedefine/>
    <w:qFormat/>
    <w:uiPriority w:val="0"/>
    <w:pPr>
      <w:spacing w:before="60"/>
      <w:ind w:firstLine="200"/>
      <w:jc w:val="center"/>
    </w:pPr>
    <w:rPr>
      <w:rFonts w:ascii="Arial" w:hAnsi="Arial" w:cs="Arial" w:eastAsiaTheme="minorEastAsia"/>
      <w:kern w:val="2"/>
      <w:sz w:val="30"/>
      <w:szCs w:val="30"/>
    </w:rPr>
  </w:style>
  <w:style w:type="character" w:customStyle="1" w:styleId="105">
    <w:name w:val="样式 样式 行距: 1.5 倍行距 + 首行缩进:  2 字符 Char"/>
    <w:link w:val="106"/>
    <w:autoRedefine/>
    <w:qFormat/>
    <w:locked/>
    <w:uiPriority w:val="0"/>
    <w:rPr>
      <w:rFonts w:ascii="宋体" w:hAnsi="宋体" w:cs="宋体"/>
      <w:sz w:val="24"/>
      <w:szCs w:val="21"/>
    </w:rPr>
  </w:style>
  <w:style w:type="paragraph" w:customStyle="1" w:styleId="106">
    <w:name w:val="样式 样式 行距: 1.5 倍行距 + 首行缩进:  2 字符"/>
    <w:basedOn w:val="1"/>
    <w:link w:val="105"/>
    <w:autoRedefine/>
    <w:qFormat/>
    <w:uiPriority w:val="0"/>
    <w:pPr>
      <w:adjustRightInd w:val="0"/>
      <w:snapToGrid w:val="0"/>
      <w:ind w:firstLine="480"/>
    </w:pPr>
    <w:rPr>
      <w:rFonts w:eastAsiaTheme="minorEastAsia"/>
      <w:kern w:val="2"/>
      <w:szCs w:val="21"/>
    </w:rPr>
  </w:style>
  <w:style w:type="character" w:customStyle="1" w:styleId="107">
    <w:name w:val="表文 Char"/>
    <w:autoRedefine/>
    <w:qFormat/>
    <w:uiPriority w:val="0"/>
    <w:rPr>
      <w:position w:val="-24"/>
      <w:sz w:val="21"/>
      <w:szCs w:val="21"/>
      <w:lang w:val="en-US" w:eastAsia="zh-CN"/>
    </w:rPr>
  </w:style>
  <w:style w:type="character" w:customStyle="1" w:styleId="108">
    <w:name w:val="书籍标题1"/>
    <w:autoRedefine/>
    <w:qFormat/>
    <w:uiPriority w:val="0"/>
    <w:rPr>
      <w:b/>
      <w:bCs/>
      <w:smallCaps/>
      <w:spacing w:val="5"/>
    </w:rPr>
  </w:style>
  <w:style w:type="character" w:customStyle="1" w:styleId="109">
    <w:name w:val="表头 Char Char"/>
    <w:link w:val="110"/>
    <w:autoRedefine/>
    <w:qFormat/>
    <w:locked/>
    <w:uiPriority w:val="0"/>
    <w:rPr>
      <w:rFonts w:ascii="宋体" w:hAnsi="宋体" w:eastAsia="宋体"/>
      <w:b/>
      <w:kern w:val="24"/>
    </w:rPr>
  </w:style>
  <w:style w:type="paragraph" w:customStyle="1" w:styleId="110">
    <w:name w:val="表头"/>
    <w:basedOn w:val="1"/>
    <w:link w:val="109"/>
    <w:autoRedefine/>
    <w:qFormat/>
    <w:uiPriority w:val="0"/>
    <w:pPr>
      <w:tabs>
        <w:tab w:val="left" w:pos="1021"/>
      </w:tabs>
      <w:spacing w:beforeLines="50"/>
      <w:ind w:left="422" w:hanging="422" w:hangingChars="200"/>
      <w:jc w:val="center"/>
    </w:pPr>
    <w:rPr>
      <w:rFonts w:cstheme="minorBidi"/>
      <w:b/>
      <w:kern w:val="24"/>
      <w:sz w:val="21"/>
      <w:szCs w:val="22"/>
    </w:rPr>
  </w:style>
  <w:style w:type="character" w:customStyle="1" w:styleId="111">
    <w:name w:val="正文文本缩进 字符2"/>
    <w:link w:val="13"/>
    <w:autoRedefine/>
    <w:qFormat/>
    <w:uiPriority w:val="0"/>
    <w:rPr>
      <w:szCs w:val="24"/>
    </w:rPr>
  </w:style>
  <w:style w:type="character" w:customStyle="1" w:styleId="112">
    <w:name w:val="正文(首行缩进2字) Char"/>
    <w:link w:val="113"/>
    <w:autoRedefine/>
    <w:qFormat/>
    <w:uiPriority w:val="0"/>
    <w:rPr>
      <w:rFonts w:eastAsia="宋体"/>
      <w:color w:val="000000"/>
      <w:sz w:val="24"/>
    </w:rPr>
  </w:style>
  <w:style w:type="paragraph" w:customStyle="1" w:styleId="113">
    <w:name w:val="正文(首行缩进2字)"/>
    <w:basedOn w:val="1"/>
    <w:next w:val="1"/>
    <w:link w:val="112"/>
    <w:autoRedefine/>
    <w:qFormat/>
    <w:uiPriority w:val="0"/>
    <w:pPr>
      <w:adjustRightInd w:val="0"/>
      <w:spacing w:after="156" w:afterLines="50" w:line="300" w:lineRule="auto"/>
      <w:ind w:firstLine="200"/>
      <w:textAlignment w:val="baseline"/>
    </w:pPr>
    <w:rPr>
      <w:rFonts w:asciiTheme="minorHAnsi" w:hAnsiTheme="minorHAnsi" w:cstheme="minorBidi"/>
      <w:color w:val="000000"/>
      <w:kern w:val="2"/>
      <w:szCs w:val="22"/>
    </w:rPr>
  </w:style>
  <w:style w:type="character" w:customStyle="1" w:styleId="114">
    <w:name w:val="页脚 字符1"/>
    <w:autoRedefine/>
    <w:qFormat/>
    <w:uiPriority w:val="99"/>
    <w:rPr>
      <w:kern w:val="2"/>
      <w:sz w:val="18"/>
      <w:szCs w:val="18"/>
    </w:rPr>
  </w:style>
  <w:style w:type="character" w:customStyle="1" w:styleId="115">
    <w:name w:val="批注文字 字符1"/>
    <w:autoRedefine/>
    <w:qFormat/>
    <w:uiPriority w:val="0"/>
    <w:rPr>
      <w:kern w:val="2"/>
      <w:sz w:val="21"/>
      <w:szCs w:val="24"/>
    </w:rPr>
  </w:style>
  <w:style w:type="character" w:customStyle="1" w:styleId="116">
    <w:name w:val="乙撑胺正文 Char"/>
    <w:link w:val="117"/>
    <w:autoRedefine/>
    <w:qFormat/>
    <w:uiPriority w:val="0"/>
    <w:rPr>
      <w:rFonts w:eastAsia="宋体"/>
      <w:sz w:val="24"/>
      <w:szCs w:val="24"/>
    </w:rPr>
  </w:style>
  <w:style w:type="paragraph" w:customStyle="1" w:styleId="117">
    <w:name w:val="乙撑胺正文"/>
    <w:basedOn w:val="1"/>
    <w:link w:val="116"/>
    <w:autoRedefine/>
    <w:qFormat/>
    <w:uiPriority w:val="0"/>
    <w:pPr>
      <w:spacing w:line="400" w:lineRule="exact"/>
      <w:ind w:firstLine="480"/>
    </w:pPr>
    <w:rPr>
      <w:rFonts w:asciiTheme="minorHAnsi" w:hAnsiTheme="minorHAnsi" w:cstheme="minorBidi"/>
      <w:kern w:val="2"/>
    </w:rPr>
  </w:style>
  <w:style w:type="character" w:customStyle="1" w:styleId="118">
    <w:name w:val="普 Char Char"/>
    <w:autoRedefine/>
    <w:qFormat/>
    <w:uiPriority w:val="0"/>
    <w:rPr>
      <w:rFonts w:ascii="宋体" w:hAnsi="宋体" w:eastAsia="宋体"/>
      <w:kern w:val="2"/>
      <w:sz w:val="28"/>
      <w:lang w:val="en-US" w:eastAsia="zh-CN" w:bidi="ar-SA"/>
    </w:rPr>
  </w:style>
  <w:style w:type="character" w:customStyle="1" w:styleId="119">
    <w:name w:val="表格 Char"/>
    <w:link w:val="120"/>
    <w:autoRedefine/>
    <w:qFormat/>
    <w:uiPriority w:val="0"/>
    <w:rPr>
      <w:rFonts w:ascii="Times New Roman" w:hAnsi="Times New Roman" w:eastAsia="宋体"/>
      <w:sz w:val="21"/>
      <w:szCs w:val="21"/>
    </w:rPr>
  </w:style>
  <w:style w:type="paragraph" w:customStyle="1" w:styleId="120">
    <w:name w:val="表格"/>
    <w:basedOn w:val="4"/>
    <w:link w:val="119"/>
    <w:autoRedefine/>
    <w:qFormat/>
    <w:uiPriority w:val="0"/>
    <w:pPr>
      <w:adjustRightInd w:val="0"/>
      <w:textAlignment w:val="center"/>
    </w:pPr>
    <w:rPr>
      <w:sz w:val="21"/>
      <w:szCs w:val="21"/>
    </w:rPr>
  </w:style>
  <w:style w:type="character" w:customStyle="1" w:styleId="121">
    <w:name w:val="日期 字符2"/>
    <w:link w:val="15"/>
    <w:autoRedefine/>
    <w:qFormat/>
    <w:uiPriority w:val="0"/>
    <w:rPr>
      <w:szCs w:val="24"/>
    </w:rPr>
  </w:style>
  <w:style w:type="character" w:customStyle="1" w:styleId="122">
    <w:name w:val="HTML 预设格式 Char1"/>
    <w:autoRedefine/>
    <w:semiHidden/>
    <w:qFormat/>
    <w:uiPriority w:val="99"/>
    <w:rPr>
      <w:rFonts w:ascii="Courier New" w:hAnsi="Courier New" w:cs="Courier New"/>
      <w:kern w:val="2"/>
    </w:rPr>
  </w:style>
  <w:style w:type="character" w:customStyle="1" w:styleId="123">
    <w:name w:val="页眉 字符1"/>
    <w:autoRedefine/>
    <w:qFormat/>
    <w:uiPriority w:val="99"/>
    <w:rPr>
      <w:kern w:val="2"/>
      <w:sz w:val="18"/>
      <w:szCs w:val="18"/>
    </w:rPr>
  </w:style>
  <w:style w:type="character" w:customStyle="1" w:styleId="124">
    <w:name w:val="标题三 Char"/>
    <w:link w:val="125"/>
    <w:autoRedefine/>
    <w:qFormat/>
    <w:uiPriority w:val="0"/>
    <w:rPr>
      <w:szCs w:val="24"/>
    </w:rPr>
  </w:style>
  <w:style w:type="paragraph" w:customStyle="1" w:styleId="125">
    <w:name w:val="标题三"/>
    <w:basedOn w:val="1"/>
    <w:link w:val="124"/>
    <w:autoRedefine/>
    <w:qFormat/>
    <w:uiPriority w:val="0"/>
    <w:rPr>
      <w:rFonts w:asciiTheme="minorHAnsi" w:hAnsiTheme="minorHAnsi" w:eastAsiaTheme="minorEastAsia" w:cstheme="minorBidi"/>
      <w:kern w:val="2"/>
      <w:sz w:val="21"/>
    </w:rPr>
  </w:style>
  <w:style w:type="character" w:customStyle="1" w:styleId="126">
    <w:name w:val="报告正文 Char"/>
    <w:link w:val="127"/>
    <w:autoRedefine/>
    <w:qFormat/>
    <w:uiPriority w:val="0"/>
    <w:rPr>
      <w:rFonts w:ascii="宋体" w:hAnsi="宋体" w:cs="宋体"/>
      <w:sz w:val="24"/>
    </w:rPr>
  </w:style>
  <w:style w:type="paragraph" w:customStyle="1" w:styleId="127">
    <w:name w:val="报告正文"/>
    <w:basedOn w:val="1"/>
    <w:link w:val="126"/>
    <w:autoRedefine/>
    <w:qFormat/>
    <w:uiPriority w:val="0"/>
    <w:pPr>
      <w:widowControl w:val="0"/>
      <w:adjustRightInd w:val="0"/>
      <w:snapToGrid w:val="0"/>
      <w:ind w:firstLine="200"/>
    </w:pPr>
    <w:rPr>
      <w:rFonts w:eastAsiaTheme="minorEastAsia"/>
      <w:kern w:val="2"/>
      <w:szCs w:val="22"/>
    </w:rPr>
  </w:style>
  <w:style w:type="character" w:customStyle="1" w:styleId="128">
    <w:name w:val="题注 字符1"/>
    <w:link w:val="10"/>
    <w:autoRedefine/>
    <w:qFormat/>
    <w:uiPriority w:val="35"/>
    <w:rPr>
      <w:rFonts w:ascii="Times New Roman" w:hAnsi="Times New Roman" w:eastAsia="宋体" w:cstheme="minorBidi"/>
      <w:b/>
      <w:kern w:val="21"/>
      <w:sz w:val="24"/>
      <w:szCs w:val="24"/>
      <w:lang w:val="en-US" w:eastAsia="zh-CN" w:bidi="ar-SA"/>
    </w:rPr>
  </w:style>
  <w:style w:type="character" w:customStyle="1" w:styleId="129">
    <w:name w:val="Body text + Arial Unicode MS"/>
    <w:autoRedefine/>
    <w:qFormat/>
    <w:uiPriority w:val="0"/>
    <w:rPr>
      <w:rFonts w:ascii="Arial Unicode MS" w:hAnsi="Arial Unicode MS" w:eastAsia="Arial Unicode MS" w:cs="Arial Unicode MS"/>
      <w:color w:val="000000"/>
      <w:spacing w:val="0"/>
      <w:w w:val="100"/>
      <w:position w:val="0"/>
      <w:sz w:val="19"/>
      <w:szCs w:val="19"/>
      <w:u w:val="none"/>
      <w:lang w:val="en-US"/>
    </w:rPr>
  </w:style>
  <w:style w:type="paragraph" w:customStyle="1" w:styleId="130">
    <w:name w:val="本文格式"/>
    <w:autoRedefine/>
    <w:qFormat/>
    <w:uiPriority w:val="0"/>
    <w:pPr>
      <w:widowControl w:val="0"/>
      <w:spacing w:line="360" w:lineRule="exact"/>
      <w:ind w:firstLine="476"/>
      <w:jc w:val="both"/>
    </w:pPr>
    <w:rPr>
      <w:rFonts w:ascii="Arial Unicode MS" w:hAnsi="Arial Unicode MS" w:eastAsia="Arial Unicode MS" w:cs="Arial Unicode MS"/>
      <w:color w:val="000000"/>
      <w:sz w:val="24"/>
      <w:szCs w:val="24"/>
      <w:u w:color="000000"/>
      <w:lang w:val="en-US" w:eastAsia="zh-CN" w:bidi="ar-SA"/>
    </w:rPr>
  </w:style>
  <w:style w:type="character" w:customStyle="1" w:styleId="131">
    <w:name w:val="日期 字符"/>
    <w:basedOn w:val="34"/>
    <w:autoRedefine/>
    <w:qFormat/>
    <w:uiPriority w:val="0"/>
    <w:rPr>
      <w:rFonts w:ascii="宋体" w:hAnsi="宋体" w:eastAsia="宋体" w:cs="宋体"/>
      <w:kern w:val="0"/>
      <w:sz w:val="24"/>
      <w:szCs w:val="24"/>
    </w:rPr>
  </w:style>
  <w:style w:type="paragraph" w:customStyle="1" w:styleId="132">
    <w:name w:val="表格中的文字"/>
    <w:basedOn w:val="1"/>
    <w:autoRedefine/>
    <w:qFormat/>
    <w:uiPriority w:val="0"/>
    <w:pPr>
      <w:jc w:val="center"/>
    </w:pPr>
    <w:rPr>
      <w:szCs w:val="20"/>
    </w:rPr>
  </w:style>
  <w:style w:type="character" w:customStyle="1" w:styleId="133">
    <w:name w:val="文档结构图 字符"/>
    <w:basedOn w:val="34"/>
    <w:autoRedefine/>
    <w:semiHidden/>
    <w:qFormat/>
    <w:uiPriority w:val="0"/>
    <w:rPr>
      <w:rFonts w:ascii="Microsoft YaHei UI" w:hAnsi="宋体" w:eastAsia="Microsoft YaHei UI" w:cs="宋体"/>
      <w:kern w:val="0"/>
      <w:sz w:val="18"/>
      <w:szCs w:val="18"/>
    </w:rPr>
  </w:style>
  <w:style w:type="paragraph" w:customStyle="1" w:styleId="134">
    <w:name w:val="附录 2"/>
    <w:basedOn w:val="5"/>
    <w:autoRedefine/>
    <w:qFormat/>
    <w:uiPriority w:val="0"/>
    <w:pPr>
      <w:widowControl w:val="0"/>
      <w:numPr>
        <w:ilvl w:val="0"/>
        <w:numId w:val="0"/>
      </w:numPr>
      <w:spacing w:before="100" w:beforeLines="30" w:after="100" w:afterLines="30" w:line="240" w:lineRule="auto"/>
      <w:jc w:val="both"/>
    </w:pPr>
    <w:rPr>
      <w:rFonts w:ascii="Arial" w:hAnsi="Arial"/>
      <w:bCs w:val="0"/>
      <w:color w:val="000000"/>
      <w:kern w:val="44"/>
      <w:sz w:val="21"/>
      <w:szCs w:val="20"/>
    </w:rPr>
  </w:style>
  <w:style w:type="paragraph" w:customStyle="1" w:styleId="135">
    <w:name w:val="目录 71"/>
    <w:basedOn w:val="1"/>
    <w:next w:val="1"/>
    <w:autoRedefine/>
    <w:unhideWhenUsed/>
    <w:qFormat/>
    <w:uiPriority w:val="39"/>
    <w:pPr>
      <w:ind w:left="1260"/>
    </w:pPr>
    <w:rPr>
      <w:rFonts w:ascii="Calibri" w:hAnsi="Calibri" w:cs="Calibri"/>
      <w:sz w:val="18"/>
      <w:szCs w:val="18"/>
    </w:rPr>
  </w:style>
  <w:style w:type="paragraph" w:customStyle="1" w:styleId="136">
    <w:name w:val="报告正文文字"/>
    <w:basedOn w:val="1"/>
    <w:autoRedefine/>
    <w:qFormat/>
    <w:uiPriority w:val="0"/>
    <w:pPr>
      <w:autoSpaceDE w:val="0"/>
      <w:autoSpaceDN w:val="0"/>
      <w:ind w:firstLine="480"/>
    </w:pPr>
    <w:rPr>
      <w:color w:val="000000"/>
      <w:spacing w:val="4"/>
      <w:szCs w:val="20"/>
    </w:rPr>
  </w:style>
  <w:style w:type="paragraph" w:customStyle="1" w:styleId="137">
    <w:name w:val="reader-word-layer reader-word-s1-9"/>
    <w:basedOn w:val="1"/>
    <w:autoRedefine/>
    <w:qFormat/>
    <w:uiPriority w:val="0"/>
    <w:pPr>
      <w:spacing w:before="100" w:beforeAutospacing="1" w:after="100" w:afterAutospacing="1"/>
    </w:pPr>
  </w:style>
  <w:style w:type="paragraph" w:customStyle="1" w:styleId="138">
    <w:name w:val="reader-word-layer reader-word-s1-6"/>
    <w:basedOn w:val="1"/>
    <w:autoRedefine/>
    <w:qFormat/>
    <w:uiPriority w:val="0"/>
    <w:pPr>
      <w:spacing w:before="100" w:beforeAutospacing="1" w:after="100" w:afterAutospacing="1"/>
    </w:pPr>
  </w:style>
  <w:style w:type="paragraph" w:customStyle="1" w:styleId="139">
    <w:name w:val="目录 51"/>
    <w:basedOn w:val="1"/>
    <w:next w:val="1"/>
    <w:autoRedefine/>
    <w:qFormat/>
    <w:uiPriority w:val="39"/>
    <w:pPr>
      <w:ind w:left="840"/>
    </w:pPr>
    <w:rPr>
      <w:rFonts w:ascii="Calibri" w:hAnsi="Calibri" w:cs="Calibri"/>
      <w:sz w:val="18"/>
      <w:szCs w:val="18"/>
    </w:rPr>
  </w:style>
  <w:style w:type="character" w:customStyle="1" w:styleId="140">
    <w:name w:val="批注文字 字符"/>
    <w:basedOn w:val="34"/>
    <w:link w:val="12"/>
    <w:autoRedefine/>
    <w:qFormat/>
    <w:uiPriority w:val="0"/>
    <w:rPr>
      <w:rFonts w:ascii="宋体" w:hAnsi="宋体" w:eastAsia="宋体" w:cs="宋体"/>
      <w:kern w:val="0"/>
      <w:sz w:val="24"/>
      <w:szCs w:val="24"/>
    </w:rPr>
  </w:style>
  <w:style w:type="character" w:customStyle="1" w:styleId="141">
    <w:name w:val="批注主题 字符"/>
    <w:basedOn w:val="140"/>
    <w:autoRedefine/>
    <w:qFormat/>
    <w:uiPriority w:val="0"/>
    <w:rPr>
      <w:rFonts w:ascii="宋体" w:hAnsi="宋体" w:eastAsia="宋体" w:cs="宋体"/>
      <w:b/>
      <w:bCs/>
      <w:kern w:val="0"/>
      <w:sz w:val="24"/>
      <w:szCs w:val="24"/>
    </w:rPr>
  </w:style>
  <w:style w:type="paragraph" w:customStyle="1" w:styleId="142">
    <w:name w:val="中文报告书样式"/>
    <w:basedOn w:val="1"/>
    <w:autoRedefine/>
    <w:qFormat/>
    <w:uiPriority w:val="0"/>
    <w:pPr>
      <w:adjustRightInd w:val="0"/>
      <w:spacing w:line="480" w:lineRule="atLeast"/>
      <w:ind w:firstLine="482"/>
      <w:textAlignment w:val="baseline"/>
    </w:pPr>
    <w:rPr>
      <w:kern w:val="24"/>
      <w:szCs w:val="20"/>
    </w:rPr>
  </w:style>
  <w:style w:type="character" w:customStyle="1" w:styleId="143">
    <w:name w:val="正文文本缩进 2 字符"/>
    <w:basedOn w:val="34"/>
    <w:autoRedefine/>
    <w:qFormat/>
    <w:uiPriority w:val="0"/>
    <w:rPr>
      <w:rFonts w:ascii="宋体" w:hAnsi="宋体" w:eastAsia="宋体" w:cs="宋体"/>
      <w:kern w:val="0"/>
      <w:sz w:val="24"/>
      <w:szCs w:val="24"/>
    </w:rPr>
  </w:style>
  <w:style w:type="paragraph" w:customStyle="1" w:styleId="144">
    <w:name w:val="列出段落"/>
    <w:basedOn w:val="1"/>
    <w:autoRedefine/>
    <w:qFormat/>
    <w:uiPriority w:val="1"/>
    <w:pPr>
      <w:ind w:firstLine="420"/>
    </w:pPr>
    <w:rPr>
      <w:rFonts w:ascii="Calibri" w:hAnsi="Calibri"/>
      <w:szCs w:val="22"/>
    </w:rPr>
  </w:style>
  <w:style w:type="character" w:customStyle="1" w:styleId="145">
    <w:name w:val="批注框文本 字符"/>
    <w:basedOn w:val="34"/>
    <w:autoRedefine/>
    <w:qFormat/>
    <w:uiPriority w:val="0"/>
    <w:rPr>
      <w:rFonts w:ascii="宋体" w:hAnsi="宋体" w:eastAsia="宋体" w:cs="宋体"/>
      <w:kern w:val="0"/>
      <w:sz w:val="18"/>
      <w:szCs w:val="18"/>
    </w:rPr>
  </w:style>
  <w:style w:type="paragraph" w:customStyle="1" w:styleId="146">
    <w:name w:val="表报"/>
    <w:basedOn w:val="1"/>
    <w:autoRedefine/>
    <w:qFormat/>
    <w:uiPriority w:val="0"/>
    <w:pPr>
      <w:autoSpaceDE w:val="0"/>
      <w:autoSpaceDN w:val="0"/>
      <w:spacing w:before="156" w:beforeLines="50"/>
      <w:ind w:firstLine="480"/>
      <w:jc w:val="center"/>
    </w:pPr>
    <w:rPr>
      <w:rFonts w:ascii="黑体" w:eastAsia="黑体"/>
      <w:lang w:val="zh-CN"/>
    </w:rPr>
  </w:style>
  <w:style w:type="paragraph" w:customStyle="1" w:styleId="147">
    <w:name w:val="附录 1"/>
    <w:basedOn w:val="2"/>
    <w:autoRedefine/>
    <w:qFormat/>
    <w:uiPriority w:val="0"/>
    <w:pPr>
      <w:pageBreakBefore/>
      <w:widowControl w:val="0"/>
      <w:numPr>
        <w:numId w:val="4"/>
      </w:numPr>
      <w:spacing w:before="335" w:after="335" w:line="285" w:lineRule="exact"/>
    </w:pPr>
    <w:rPr>
      <w:rFonts w:ascii="Arial" w:hAnsi="Arial"/>
      <w:bCs w:val="0"/>
      <w:sz w:val="21"/>
      <w:szCs w:val="20"/>
    </w:rPr>
  </w:style>
  <w:style w:type="paragraph" w:customStyle="1" w:styleId="148">
    <w:name w:val="目录 41"/>
    <w:basedOn w:val="1"/>
    <w:next w:val="1"/>
    <w:autoRedefine/>
    <w:unhideWhenUsed/>
    <w:qFormat/>
    <w:uiPriority w:val="39"/>
    <w:pPr>
      <w:ind w:left="630"/>
    </w:pPr>
    <w:rPr>
      <w:rFonts w:ascii="Calibri" w:hAnsi="Calibri" w:cs="Calibri"/>
      <w:sz w:val="18"/>
      <w:szCs w:val="18"/>
    </w:rPr>
  </w:style>
  <w:style w:type="paragraph" w:customStyle="1" w:styleId="149">
    <w:name w:val="正文 A"/>
    <w:autoRedefine/>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150">
    <w:name w:val="目录 81"/>
    <w:basedOn w:val="1"/>
    <w:next w:val="1"/>
    <w:autoRedefine/>
    <w:unhideWhenUsed/>
    <w:qFormat/>
    <w:uiPriority w:val="39"/>
    <w:pPr>
      <w:ind w:left="1470"/>
    </w:pPr>
    <w:rPr>
      <w:rFonts w:ascii="Calibri" w:hAnsi="Calibri" w:cs="Calibri"/>
      <w:sz w:val="18"/>
      <w:szCs w:val="18"/>
    </w:rPr>
  </w:style>
  <w:style w:type="paragraph" w:customStyle="1" w:styleId="151">
    <w:name w:val="修订1"/>
    <w:autoRedefine/>
    <w:semiHidden/>
    <w:qFormat/>
    <w:uiPriority w:val="99"/>
    <w:rPr>
      <w:rFonts w:ascii="Times New Roman" w:hAnsi="Times New Roman" w:eastAsia="宋体" w:cs="Times New Roman"/>
      <w:kern w:val="2"/>
      <w:sz w:val="21"/>
      <w:szCs w:val="24"/>
      <w:lang w:val="en-US" w:eastAsia="zh-CN" w:bidi="ar-SA"/>
    </w:rPr>
  </w:style>
  <w:style w:type="character" w:customStyle="1" w:styleId="152">
    <w:name w:val="正文文本缩进 字符"/>
    <w:basedOn w:val="34"/>
    <w:autoRedefine/>
    <w:qFormat/>
    <w:uiPriority w:val="0"/>
    <w:rPr>
      <w:rFonts w:ascii="宋体" w:hAnsi="宋体" w:eastAsia="宋体" w:cs="宋体"/>
      <w:kern w:val="0"/>
      <w:sz w:val="24"/>
      <w:szCs w:val="24"/>
    </w:rPr>
  </w:style>
  <w:style w:type="paragraph" w:customStyle="1" w:styleId="153">
    <w:name w:val="标题四"/>
    <w:basedOn w:val="1"/>
    <w:autoRedefine/>
    <w:qFormat/>
    <w:uiPriority w:val="0"/>
  </w:style>
  <w:style w:type="paragraph" w:customStyle="1" w:styleId="154">
    <w:name w:val="reader-word-layer reader-word-s1-7"/>
    <w:basedOn w:val="1"/>
    <w:autoRedefine/>
    <w:qFormat/>
    <w:uiPriority w:val="0"/>
    <w:pPr>
      <w:spacing w:before="100" w:beforeAutospacing="1" w:after="100" w:afterAutospacing="1"/>
    </w:pPr>
  </w:style>
  <w:style w:type="paragraph" w:customStyle="1" w:styleId="155">
    <w:name w:val="目录 11"/>
    <w:basedOn w:val="1"/>
    <w:next w:val="1"/>
    <w:autoRedefine/>
    <w:qFormat/>
    <w:uiPriority w:val="39"/>
    <w:pPr>
      <w:tabs>
        <w:tab w:val="left" w:pos="284"/>
        <w:tab w:val="right" w:leader="dot" w:pos="9061"/>
      </w:tabs>
    </w:pPr>
    <w:rPr>
      <w:rFonts w:ascii="Calibri" w:hAnsi="Calibri" w:cs="Calibri"/>
      <w:b/>
      <w:bCs/>
      <w:caps/>
      <w:sz w:val="20"/>
      <w:szCs w:val="20"/>
    </w:rPr>
  </w:style>
  <w:style w:type="character" w:customStyle="1" w:styleId="156">
    <w:name w:val="纯文本 字符"/>
    <w:basedOn w:val="34"/>
    <w:autoRedefine/>
    <w:qFormat/>
    <w:uiPriority w:val="0"/>
    <w:rPr>
      <w:rFonts w:hAnsi="Courier New" w:cs="Courier New" w:asciiTheme="minorEastAsia"/>
      <w:kern w:val="0"/>
      <w:sz w:val="24"/>
      <w:szCs w:val="24"/>
    </w:rPr>
  </w:style>
  <w:style w:type="paragraph" w:customStyle="1" w:styleId="157">
    <w:name w:val="默认 A"/>
    <w:autoRedefine/>
    <w:qFormat/>
    <w:uiPriority w:val="0"/>
    <w:rPr>
      <w:rFonts w:ascii="Helvetica" w:hAnsi="Helvetica" w:eastAsia="Arial Unicode MS" w:cs="Arial Unicode MS"/>
      <w:color w:val="000000"/>
      <w:sz w:val="22"/>
      <w:szCs w:val="22"/>
      <w:u w:color="000000"/>
      <w:lang w:val="en-US" w:eastAsia="zh-CN" w:bidi="ar-SA"/>
    </w:rPr>
  </w:style>
  <w:style w:type="paragraph" w:customStyle="1" w:styleId="158">
    <w:name w:val="reader-word-layer reader-word-s5-2"/>
    <w:basedOn w:val="1"/>
    <w:autoRedefine/>
    <w:qFormat/>
    <w:uiPriority w:val="0"/>
    <w:pPr>
      <w:spacing w:before="100" w:beforeAutospacing="1" w:after="100" w:afterAutospacing="1"/>
    </w:pPr>
  </w:style>
  <w:style w:type="paragraph" w:customStyle="1" w:styleId="159">
    <w:name w:val="目录 91"/>
    <w:basedOn w:val="1"/>
    <w:next w:val="1"/>
    <w:autoRedefine/>
    <w:unhideWhenUsed/>
    <w:qFormat/>
    <w:uiPriority w:val="39"/>
    <w:pPr>
      <w:ind w:left="1680"/>
    </w:pPr>
    <w:rPr>
      <w:rFonts w:ascii="Calibri" w:hAnsi="Calibri" w:cs="Calibri"/>
      <w:sz w:val="18"/>
      <w:szCs w:val="18"/>
    </w:rPr>
  </w:style>
  <w:style w:type="paragraph" w:customStyle="1" w:styleId="160">
    <w:name w:val="Default"/>
    <w:basedOn w:val="161"/>
    <w:next w:val="1"/>
    <w:autoRedefine/>
    <w:qFormat/>
    <w:uiPriority w:val="0"/>
    <w:pPr>
      <w:widowControl w:val="0"/>
      <w:autoSpaceDE w:val="0"/>
      <w:autoSpaceDN w:val="0"/>
      <w:adjustRightInd w:val="0"/>
    </w:pPr>
    <w:rPr>
      <w:rFonts w:hAnsi="Times New Roman"/>
      <w:color w:val="000000"/>
      <w:sz w:val="24"/>
      <w:szCs w:val="24"/>
    </w:rPr>
  </w:style>
  <w:style w:type="paragraph" w:customStyle="1" w:styleId="161">
    <w:name w:val="纯文本1"/>
    <w:basedOn w:val="1"/>
    <w:next w:val="14"/>
    <w:autoRedefine/>
    <w:qFormat/>
    <w:uiPriority w:val="0"/>
    <w:pPr>
      <w:textAlignment w:val="baseline"/>
    </w:pPr>
    <w:rPr>
      <w:rFonts w:hAnsi="Courier New"/>
      <w:sz w:val="21"/>
      <w:szCs w:val="20"/>
    </w:rPr>
  </w:style>
  <w:style w:type="character" w:customStyle="1" w:styleId="162">
    <w:name w:val="HTML 预设格式 字符"/>
    <w:basedOn w:val="34"/>
    <w:autoRedefine/>
    <w:qFormat/>
    <w:uiPriority w:val="0"/>
    <w:rPr>
      <w:rFonts w:ascii="Courier New" w:hAnsi="Courier New" w:eastAsia="宋体" w:cs="Courier New"/>
      <w:kern w:val="0"/>
      <w:sz w:val="20"/>
      <w:szCs w:val="20"/>
    </w:rPr>
  </w:style>
  <w:style w:type="paragraph" w:customStyle="1" w:styleId="163">
    <w:name w:val="目录 31"/>
    <w:basedOn w:val="1"/>
    <w:next w:val="1"/>
    <w:autoRedefine/>
    <w:unhideWhenUsed/>
    <w:qFormat/>
    <w:uiPriority w:val="39"/>
    <w:pPr>
      <w:ind w:left="420"/>
    </w:pPr>
    <w:rPr>
      <w:rFonts w:ascii="Calibri" w:hAnsi="Calibri" w:cs="Calibri"/>
      <w:i/>
      <w:iCs/>
      <w:sz w:val="20"/>
      <w:szCs w:val="20"/>
    </w:rPr>
  </w:style>
  <w:style w:type="paragraph" w:customStyle="1" w:styleId="164">
    <w:name w:val="样式 首行缩进:  1.04 厘米"/>
    <w:autoRedefine/>
    <w:qFormat/>
    <w:uiPriority w:val="0"/>
    <w:pPr>
      <w:widowControl w:val="0"/>
      <w:spacing w:line="360" w:lineRule="auto"/>
    </w:pPr>
    <w:rPr>
      <w:rFonts w:ascii="Times New Roman" w:hAnsi="Times New Roman" w:eastAsia="Arial Unicode MS" w:cs="Arial Unicode MS"/>
      <w:color w:val="000000"/>
      <w:sz w:val="24"/>
      <w:szCs w:val="24"/>
      <w:u w:color="000000"/>
      <w:lang w:val="en-US" w:eastAsia="zh-CN" w:bidi="ar-SA"/>
    </w:rPr>
  </w:style>
  <w:style w:type="paragraph" w:customStyle="1" w:styleId="165">
    <w:name w:val="reader-word-layer reader-word-s1-8"/>
    <w:basedOn w:val="1"/>
    <w:autoRedefine/>
    <w:qFormat/>
    <w:uiPriority w:val="0"/>
    <w:pPr>
      <w:spacing w:before="100" w:beforeAutospacing="1" w:after="100" w:afterAutospacing="1"/>
    </w:pPr>
  </w:style>
  <w:style w:type="paragraph" w:customStyle="1" w:styleId="166">
    <w:name w:val="reader-word-layer reader-word-s1-1"/>
    <w:basedOn w:val="1"/>
    <w:autoRedefine/>
    <w:qFormat/>
    <w:uiPriority w:val="0"/>
    <w:pPr>
      <w:spacing w:before="100" w:beforeAutospacing="1" w:after="100" w:afterAutospacing="1"/>
    </w:pPr>
  </w:style>
  <w:style w:type="paragraph" w:customStyle="1" w:styleId="167">
    <w:name w:val="目录 21"/>
    <w:basedOn w:val="1"/>
    <w:next w:val="1"/>
    <w:autoRedefine/>
    <w:qFormat/>
    <w:uiPriority w:val="39"/>
    <w:pPr>
      <w:tabs>
        <w:tab w:val="left" w:pos="709"/>
        <w:tab w:val="right" w:leader="dot" w:pos="9061"/>
      </w:tabs>
      <w:ind w:firstLine="240" w:firstLineChars="100"/>
    </w:pPr>
    <w:rPr>
      <w:rFonts w:ascii="Calibri" w:hAnsi="Calibri" w:cs="Calibri"/>
      <w:smallCaps/>
      <w:sz w:val="20"/>
      <w:szCs w:val="20"/>
    </w:rPr>
  </w:style>
  <w:style w:type="paragraph" w:customStyle="1" w:styleId="168">
    <w:name w:val="目录 61"/>
    <w:basedOn w:val="1"/>
    <w:next w:val="1"/>
    <w:autoRedefine/>
    <w:unhideWhenUsed/>
    <w:qFormat/>
    <w:uiPriority w:val="39"/>
    <w:pPr>
      <w:ind w:left="1050"/>
    </w:pPr>
    <w:rPr>
      <w:rFonts w:ascii="Calibri" w:hAnsi="Calibri" w:cs="Calibri"/>
      <w:sz w:val="18"/>
      <w:szCs w:val="18"/>
    </w:rPr>
  </w:style>
  <w:style w:type="paragraph" w:customStyle="1" w:styleId="169">
    <w:name w:val="样式 四号 黑色 行距: 1.5 倍行距 首行缩进:  2 字符"/>
    <w:basedOn w:val="1"/>
    <w:autoRedefine/>
    <w:qFormat/>
    <w:uiPriority w:val="0"/>
    <w:pPr>
      <w:ind w:firstLine="560"/>
    </w:pPr>
    <w:rPr>
      <w:rFonts w:eastAsia="仿宋_GB2312"/>
      <w:color w:val="000000"/>
      <w:szCs w:val="20"/>
    </w:rPr>
  </w:style>
  <w:style w:type="paragraph" w:customStyle="1" w:styleId="170">
    <w:name w:val="附录 4"/>
    <w:basedOn w:val="7"/>
    <w:autoRedefine/>
    <w:qFormat/>
    <w:uiPriority w:val="0"/>
    <w:pPr>
      <w:keepNext w:val="0"/>
      <w:widowControl w:val="0"/>
      <w:numPr>
        <w:numId w:val="4"/>
      </w:numPr>
      <w:snapToGrid/>
      <w:spacing w:before="156" w:after="156" w:line="240" w:lineRule="auto"/>
      <w:ind w:left="1680" w:hanging="420"/>
    </w:pPr>
    <w:rPr>
      <w:rFonts w:ascii="Arial" w:hAnsi="Arial"/>
      <w:bCs w:val="0"/>
      <w:color w:val="000000"/>
      <w:kern w:val="21"/>
      <w:sz w:val="21"/>
      <w:szCs w:val="20"/>
    </w:rPr>
  </w:style>
  <w:style w:type="paragraph" w:customStyle="1" w:styleId="171">
    <w:name w:val="表内格式"/>
    <w:basedOn w:val="1"/>
    <w:autoRedefine/>
    <w:qFormat/>
    <w:uiPriority w:val="0"/>
    <w:pPr>
      <w:spacing w:line="280" w:lineRule="exact"/>
      <w:jc w:val="center"/>
    </w:pPr>
    <w:rPr>
      <w:sz w:val="18"/>
      <w:szCs w:val="20"/>
    </w:rPr>
  </w:style>
  <w:style w:type="paragraph" w:customStyle="1" w:styleId="172">
    <w:name w:val="Table Paragraph"/>
    <w:basedOn w:val="1"/>
    <w:autoRedefine/>
    <w:qFormat/>
    <w:uiPriority w:val="1"/>
    <w:pPr>
      <w:widowControl w:val="0"/>
      <w:autoSpaceDE w:val="0"/>
      <w:autoSpaceDN w:val="0"/>
      <w:jc w:val="center"/>
    </w:pPr>
    <w:rPr>
      <w:rFonts w:eastAsia="Times New Roman"/>
      <w:sz w:val="22"/>
      <w:szCs w:val="22"/>
      <w:lang w:eastAsia="en-US"/>
    </w:rPr>
  </w:style>
  <w:style w:type="paragraph" w:customStyle="1" w:styleId="173">
    <w:name w:val="附录 3"/>
    <w:basedOn w:val="134"/>
    <w:autoRedefine/>
    <w:qFormat/>
    <w:uiPriority w:val="0"/>
    <w:pPr>
      <w:numPr>
        <w:ilvl w:val="2"/>
      </w:numPr>
      <w:spacing w:before="0" w:beforeLines="0" w:after="0" w:afterLines="0"/>
      <w:outlineLvl w:val="2"/>
    </w:pPr>
    <w:rPr>
      <w:bCs/>
      <w:color w:val="auto"/>
      <w:kern w:val="2"/>
      <w:szCs w:val="24"/>
    </w:rPr>
  </w:style>
  <w:style w:type="table" w:customStyle="1" w:styleId="174">
    <w:name w:val="样式1"/>
    <w:basedOn w:val="31"/>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175">
    <w:name w:val="Table Normal"/>
    <w:autoRedefine/>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176">
    <w:name w:val="标准表格"/>
    <w:basedOn w:val="31"/>
    <w:autoRedefine/>
    <w:qFormat/>
    <w:uiPriority w:val="99"/>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0" w:beforeLines="0" w:beforeAutospacing="0" w:after="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character" w:customStyle="1" w:styleId="177">
    <w:name w:val="批注文字 Char1"/>
    <w:autoRedefine/>
    <w:qFormat/>
    <w:uiPriority w:val="0"/>
  </w:style>
  <w:style w:type="character" w:customStyle="1" w:styleId="178">
    <w:name w:val="fontstyle01"/>
    <w:basedOn w:val="34"/>
    <w:autoRedefine/>
    <w:qFormat/>
    <w:uiPriority w:val="0"/>
    <w:rPr>
      <w:rFonts w:hint="eastAsia" w:ascii="宋体" w:hAnsi="宋体" w:eastAsia="宋体"/>
      <w:color w:val="000000"/>
      <w:sz w:val="22"/>
      <w:szCs w:val="22"/>
    </w:rPr>
  </w:style>
  <w:style w:type="table" w:customStyle="1" w:styleId="179">
    <w:name w:val="网格型1"/>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0">
    <w:name w:val="网格型2"/>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
    <w:name w:val="Table Normal1"/>
    <w:autoRedefine/>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paragraph" w:customStyle="1" w:styleId="182">
    <w:name w:val="msonormal"/>
    <w:basedOn w:val="1"/>
    <w:autoRedefine/>
    <w:qFormat/>
    <w:uiPriority w:val="0"/>
    <w:pPr>
      <w:spacing w:before="100" w:beforeAutospacing="1" w:after="100" w:afterAutospacing="1"/>
    </w:pPr>
  </w:style>
  <w:style w:type="paragraph" w:customStyle="1" w:styleId="183">
    <w:name w:val="font5"/>
    <w:basedOn w:val="1"/>
    <w:autoRedefine/>
    <w:qFormat/>
    <w:uiPriority w:val="0"/>
    <w:pPr>
      <w:spacing w:before="100" w:beforeAutospacing="1" w:after="100" w:afterAutospacing="1"/>
    </w:pPr>
    <w:rPr>
      <w:sz w:val="18"/>
      <w:szCs w:val="18"/>
    </w:rPr>
  </w:style>
  <w:style w:type="paragraph" w:customStyle="1" w:styleId="184">
    <w:name w:val="font6"/>
    <w:basedOn w:val="1"/>
    <w:autoRedefine/>
    <w:qFormat/>
    <w:uiPriority w:val="0"/>
    <w:pPr>
      <w:spacing w:before="100" w:beforeAutospacing="1" w:after="100" w:afterAutospacing="1"/>
    </w:pPr>
    <w:rPr>
      <w:color w:val="000000"/>
      <w:sz w:val="20"/>
      <w:szCs w:val="20"/>
    </w:rPr>
  </w:style>
  <w:style w:type="paragraph" w:customStyle="1" w:styleId="185">
    <w:name w:val="font7"/>
    <w:basedOn w:val="1"/>
    <w:autoRedefine/>
    <w:qFormat/>
    <w:uiPriority w:val="0"/>
    <w:pPr>
      <w:spacing w:before="100" w:beforeAutospacing="1" w:after="100" w:afterAutospacing="1"/>
    </w:pPr>
    <w:rPr>
      <w:color w:val="000000"/>
      <w:sz w:val="20"/>
      <w:szCs w:val="20"/>
    </w:rPr>
  </w:style>
  <w:style w:type="paragraph" w:customStyle="1" w:styleId="186">
    <w:name w:val="font8"/>
    <w:basedOn w:val="1"/>
    <w:autoRedefine/>
    <w:qFormat/>
    <w:uiPriority w:val="0"/>
    <w:pPr>
      <w:spacing w:before="100" w:beforeAutospacing="1" w:after="100" w:afterAutospacing="1"/>
    </w:pPr>
    <w:rPr>
      <w:b/>
      <w:bCs/>
      <w:color w:val="000000"/>
      <w:sz w:val="20"/>
      <w:szCs w:val="20"/>
    </w:rPr>
  </w:style>
  <w:style w:type="paragraph" w:customStyle="1" w:styleId="187">
    <w:name w:val="xl6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188">
    <w:name w:val="xl6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189">
    <w:name w:val="xl67"/>
    <w:basedOn w:val="1"/>
    <w:autoRedefine/>
    <w:qFormat/>
    <w:uiPriority w:val="0"/>
    <w:pPr>
      <w:spacing w:before="100" w:beforeAutospacing="1" w:after="100" w:afterAutospacing="1"/>
    </w:pPr>
    <w:rPr>
      <w:sz w:val="20"/>
      <w:szCs w:val="20"/>
    </w:rPr>
  </w:style>
  <w:style w:type="paragraph" w:customStyle="1" w:styleId="190">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table" w:customStyle="1" w:styleId="191">
    <w:name w:val="Table Normal2"/>
    <w:autoRedefine/>
    <w:semiHidden/>
    <w:unhideWhenUsed/>
    <w:qFormat/>
    <w:uiPriority w:val="2"/>
    <w:pPr>
      <w:widowControl w:val="0"/>
      <w:autoSpaceDE w:val="0"/>
      <w:autoSpaceDN w:val="0"/>
    </w:pPr>
    <w:rPr>
      <w:rFonts w:ascii="等线" w:hAnsi="等线" w:eastAsia="等线"/>
      <w:sz w:val="22"/>
      <w:lang w:eastAsia="en-US"/>
    </w:rPr>
    <w:tblPr>
      <w:tblCellMar>
        <w:top w:w="0" w:type="dxa"/>
        <w:left w:w="0" w:type="dxa"/>
        <w:bottom w:w="0" w:type="dxa"/>
        <w:right w:w="0" w:type="dxa"/>
      </w:tblCellMar>
    </w:tblPr>
  </w:style>
  <w:style w:type="character" w:customStyle="1" w:styleId="192">
    <w:name w:val="标题 字符"/>
    <w:basedOn w:val="34"/>
    <w:link w:val="27"/>
    <w:autoRedefine/>
    <w:qFormat/>
    <w:uiPriority w:val="1"/>
    <w:rPr>
      <w:rFonts w:ascii="Times New Roman" w:hAnsi="Times New Roman" w:eastAsia="Times New Roman" w:cs="Times New Roman"/>
      <w:kern w:val="0"/>
      <w:sz w:val="89"/>
      <w:szCs w:val="89"/>
      <w:lang w:eastAsia="en-US"/>
    </w:rPr>
  </w:style>
  <w:style w:type="table" w:customStyle="1" w:styleId="193">
    <w:name w:val="网格型3"/>
    <w:basedOn w:val="31"/>
    <w:autoRedefine/>
    <w:qFormat/>
    <w:uiPriority w:val="0"/>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4">
    <w:name w:val="表格 Char Char"/>
    <w:autoRedefine/>
    <w:qFormat/>
    <w:uiPriority w:val="0"/>
    <w:rPr>
      <w:rFonts w:ascii="Times New Roman" w:hAnsi="Times New Roman" w:eastAsia="宋体"/>
      <w:szCs w:val="24"/>
    </w:rPr>
  </w:style>
  <w:style w:type="character" w:customStyle="1" w:styleId="195">
    <w:name w:val="fontstyle21"/>
    <w:autoRedefine/>
    <w:qFormat/>
    <w:uiPriority w:val="0"/>
    <w:rPr>
      <w:rFonts w:hint="eastAsia" w:ascii="TimesNewRomanPSMT" w:eastAsia="TimesNewRomanPSMT"/>
      <w:color w:val="000000"/>
      <w:sz w:val="24"/>
      <w:szCs w:val="24"/>
    </w:rPr>
  </w:style>
  <w:style w:type="paragraph" w:customStyle="1" w:styleId="196">
    <w:name w:val="_Style 8"/>
    <w:basedOn w:val="1"/>
    <w:next w:val="1"/>
    <w:autoRedefine/>
    <w:qFormat/>
    <w:uiPriority w:val="0"/>
    <w:pPr>
      <w:widowControl w:val="0"/>
      <w:pBdr>
        <w:bottom w:val="single" w:color="auto" w:sz="6" w:space="1"/>
      </w:pBdr>
      <w:jc w:val="center"/>
    </w:pPr>
    <w:rPr>
      <w:rFonts w:ascii="Arial" w:hAnsi="等线"/>
      <w:vanish/>
      <w:kern w:val="2"/>
      <w:sz w:val="16"/>
    </w:rPr>
  </w:style>
  <w:style w:type="paragraph" w:customStyle="1" w:styleId="197">
    <w:name w:val="_Style 9"/>
    <w:basedOn w:val="1"/>
    <w:next w:val="1"/>
    <w:autoRedefine/>
    <w:qFormat/>
    <w:uiPriority w:val="0"/>
    <w:pPr>
      <w:widowControl w:val="0"/>
      <w:pBdr>
        <w:top w:val="single" w:color="auto" w:sz="6" w:space="1"/>
      </w:pBdr>
      <w:jc w:val="center"/>
    </w:pPr>
    <w:rPr>
      <w:rFonts w:ascii="Arial" w:hAnsi="等线"/>
      <w:vanish/>
      <w:kern w:val="2"/>
      <w:sz w:val="16"/>
    </w:rPr>
  </w:style>
  <w:style w:type="character" w:customStyle="1" w:styleId="198">
    <w:name w:val="正文文本首行缩进 字符1"/>
    <w:autoRedefine/>
    <w:qFormat/>
    <w:uiPriority w:val="99"/>
    <w:rPr>
      <w:rFonts w:eastAsia="宋体"/>
      <w:kern w:val="2"/>
      <w:sz w:val="21"/>
      <w:szCs w:val="24"/>
      <w:lang w:val="en-US" w:eastAsia="zh-CN" w:bidi="ar-SA"/>
    </w:rPr>
  </w:style>
  <w:style w:type="character" w:customStyle="1" w:styleId="199">
    <w:name w:val="正文文本首行缩进 字符"/>
    <w:autoRedefine/>
    <w:qFormat/>
    <w:uiPriority w:val="0"/>
    <w:rPr>
      <w:rFonts w:ascii="宋体" w:hAnsi="宋体" w:eastAsia="宋体" w:cs="宋体"/>
      <w:kern w:val="0"/>
      <w:sz w:val="24"/>
      <w:szCs w:val="24"/>
      <w:lang w:eastAsia="en-US"/>
    </w:rPr>
  </w:style>
  <w:style w:type="paragraph" w:customStyle="1" w:styleId="200">
    <w:name w:val="font9"/>
    <w:basedOn w:val="1"/>
    <w:autoRedefine/>
    <w:qFormat/>
    <w:uiPriority w:val="0"/>
    <w:pPr>
      <w:spacing w:before="100" w:beforeAutospacing="1" w:after="100" w:afterAutospacing="1"/>
    </w:pPr>
    <w:rPr>
      <w:sz w:val="18"/>
      <w:szCs w:val="18"/>
    </w:rPr>
  </w:style>
  <w:style w:type="paragraph" w:customStyle="1" w:styleId="201">
    <w:name w:val="font10"/>
    <w:basedOn w:val="1"/>
    <w:autoRedefine/>
    <w:qFormat/>
    <w:uiPriority w:val="0"/>
    <w:pPr>
      <w:spacing w:before="100" w:beforeAutospacing="1" w:after="100" w:afterAutospacing="1"/>
    </w:pPr>
    <w:rPr>
      <w:b/>
      <w:bCs/>
      <w:color w:val="000000"/>
      <w:sz w:val="22"/>
      <w:szCs w:val="22"/>
    </w:rPr>
  </w:style>
  <w:style w:type="paragraph" w:customStyle="1" w:styleId="202">
    <w:name w:val="font11"/>
    <w:basedOn w:val="1"/>
    <w:autoRedefine/>
    <w:qFormat/>
    <w:uiPriority w:val="0"/>
    <w:pPr>
      <w:spacing w:before="100" w:beforeAutospacing="1" w:after="100" w:afterAutospacing="1"/>
    </w:pPr>
    <w:rPr>
      <w:rFonts w:ascii="Arial Black" w:hAnsi="Arial Black"/>
      <w:b/>
      <w:bCs/>
      <w:color w:val="000000"/>
      <w:sz w:val="22"/>
      <w:szCs w:val="22"/>
    </w:rPr>
  </w:style>
  <w:style w:type="paragraph" w:customStyle="1" w:styleId="203">
    <w:name w:val="xl6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style>
  <w:style w:type="paragraph" w:customStyle="1" w:styleId="204">
    <w:name w:val="xl7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Black" w:hAnsi="Arial Black"/>
      <w:sz w:val="18"/>
      <w:szCs w:val="18"/>
    </w:rPr>
  </w:style>
  <w:style w:type="paragraph" w:customStyle="1" w:styleId="205">
    <w:name w:val="xl7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Black" w:hAnsi="Arial Black"/>
    </w:rPr>
  </w:style>
  <w:style w:type="paragraph" w:customStyle="1" w:styleId="206">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Black" w:hAnsi="Arial Black"/>
      <w:b/>
      <w:bCs/>
      <w:sz w:val="20"/>
      <w:szCs w:val="20"/>
    </w:rPr>
  </w:style>
  <w:style w:type="paragraph" w:customStyle="1" w:styleId="207">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208">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FF0000"/>
    </w:rPr>
  </w:style>
  <w:style w:type="paragraph" w:customStyle="1" w:styleId="209">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210">
    <w:name w:val="xl7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rPr>
  </w:style>
  <w:style w:type="paragraph" w:customStyle="1" w:styleId="211">
    <w:name w:val="xl7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rPr>
  </w:style>
  <w:style w:type="paragraph" w:customStyle="1" w:styleId="212">
    <w:name w:val="xl7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Black" w:hAnsi="Arial Black"/>
      <w:b/>
      <w:bCs/>
    </w:rPr>
  </w:style>
  <w:style w:type="paragraph" w:customStyle="1" w:styleId="213">
    <w:name w:val="xl7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Black" w:hAnsi="Arial Black"/>
      <w:b/>
      <w:bCs/>
    </w:rPr>
  </w:style>
  <w:style w:type="paragraph" w:customStyle="1" w:styleId="214">
    <w:name w:val="xl8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b/>
      <w:bCs/>
    </w:rPr>
  </w:style>
  <w:style w:type="paragraph" w:customStyle="1" w:styleId="215">
    <w:name w:val="xl8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FF0000"/>
    </w:rPr>
  </w:style>
  <w:style w:type="table" w:customStyle="1" w:styleId="216">
    <w:name w:val="Table Normal3"/>
    <w:autoRedefine/>
    <w:unhideWhenUsed/>
    <w:qFormat/>
    <w:uiPriority w:val="2"/>
    <w:pPr>
      <w:widowControl w:val="0"/>
      <w:autoSpaceDE w:val="0"/>
      <w:autoSpaceDN w:val="0"/>
    </w:pPr>
    <w:rPr>
      <w:rFonts w:ascii="等线" w:hAnsi="等线" w:eastAsia="等线"/>
      <w:sz w:val="22"/>
      <w:lang w:eastAsia="en-US"/>
    </w:rPr>
    <w:tblPr>
      <w:tblCellMar>
        <w:top w:w="0" w:type="dxa"/>
        <w:left w:w="0" w:type="dxa"/>
        <w:bottom w:w="0" w:type="dxa"/>
        <w:right w:w="0" w:type="dxa"/>
      </w:tblCellMar>
    </w:tblPr>
  </w:style>
  <w:style w:type="table" w:customStyle="1" w:styleId="217">
    <w:name w:val="网格型4"/>
    <w:basedOn w:val="31"/>
    <w:autoRedefine/>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8">
    <w:name w:val="正文文本首行缩进 2 字符"/>
    <w:autoRedefine/>
    <w:qFormat/>
    <w:uiPriority w:val="0"/>
    <w:rPr>
      <w:szCs w:val="24"/>
    </w:rPr>
  </w:style>
  <w:style w:type="character" w:customStyle="1" w:styleId="219">
    <w:name w:val="正文缩进 字符"/>
    <w:autoRedefine/>
    <w:qFormat/>
    <w:uiPriority w:val="0"/>
    <w:rPr>
      <w:rFonts w:eastAsia="宋体"/>
    </w:rPr>
  </w:style>
  <w:style w:type="character" w:customStyle="1" w:styleId="220">
    <w:name w:val="题注 字符"/>
    <w:autoRedefine/>
    <w:qFormat/>
    <w:uiPriority w:val="35"/>
    <w:rPr>
      <w:rFonts w:ascii="等线 Light" w:hAnsi="等线 Light" w:eastAsia="黑体" w:cs="Times New Roman"/>
      <w:kern w:val="0"/>
      <w:sz w:val="20"/>
      <w:szCs w:val="20"/>
      <w:lang w:eastAsia="en-US"/>
    </w:rPr>
  </w:style>
  <w:style w:type="character" w:customStyle="1" w:styleId="221">
    <w:name w:val="日期 字符1"/>
    <w:autoRedefine/>
    <w:semiHidden/>
    <w:qFormat/>
    <w:uiPriority w:val="99"/>
    <w:rPr>
      <w:rFonts w:ascii="Noto Sans CJK JP Black" w:hAnsi="Noto Sans CJK JP Black" w:eastAsia="Noto Sans CJK JP Black" w:cs="Noto Sans CJK JP Black"/>
      <w:kern w:val="0"/>
      <w:sz w:val="22"/>
      <w:lang w:eastAsia="en-US"/>
    </w:rPr>
  </w:style>
  <w:style w:type="character" w:customStyle="1" w:styleId="222">
    <w:name w:val="日期 Char1"/>
    <w:basedOn w:val="34"/>
    <w:autoRedefine/>
    <w:semiHidden/>
    <w:qFormat/>
    <w:uiPriority w:val="99"/>
  </w:style>
  <w:style w:type="character" w:customStyle="1" w:styleId="223">
    <w:name w:val="文档结构图 字符1"/>
    <w:autoRedefine/>
    <w:semiHidden/>
    <w:qFormat/>
    <w:uiPriority w:val="99"/>
    <w:rPr>
      <w:rFonts w:ascii="Microsoft YaHei UI" w:hAnsi="Noto Sans CJK JP Black" w:eastAsia="Microsoft YaHei UI" w:cs="Noto Sans CJK JP Black"/>
      <w:kern w:val="0"/>
      <w:sz w:val="18"/>
      <w:szCs w:val="18"/>
      <w:lang w:eastAsia="en-US"/>
    </w:rPr>
  </w:style>
  <w:style w:type="character" w:customStyle="1" w:styleId="224">
    <w:name w:val="文档结构图 Char1"/>
    <w:autoRedefine/>
    <w:semiHidden/>
    <w:qFormat/>
    <w:uiPriority w:val="99"/>
    <w:rPr>
      <w:rFonts w:ascii="宋体" w:eastAsia="宋体"/>
      <w:sz w:val="18"/>
      <w:szCs w:val="18"/>
    </w:rPr>
  </w:style>
  <w:style w:type="character" w:customStyle="1" w:styleId="225">
    <w:name w:val="批注主题 Char1"/>
    <w:autoRedefine/>
    <w:semiHidden/>
    <w:qFormat/>
    <w:uiPriority w:val="99"/>
    <w:rPr>
      <w:b/>
      <w:bCs/>
    </w:rPr>
  </w:style>
  <w:style w:type="character" w:customStyle="1" w:styleId="226">
    <w:name w:val="正文文本缩进 2 字符1"/>
    <w:autoRedefine/>
    <w:semiHidden/>
    <w:qFormat/>
    <w:uiPriority w:val="99"/>
    <w:rPr>
      <w:rFonts w:ascii="Noto Sans CJK JP Black" w:hAnsi="Noto Sans CJK JP Black" w:eastAsia="Noto Sans CJK JP Black" w:cs="Noto Sans CJK JP Black"/>
      <w:kern w:val="0"/>
      <w:sz w:val="22"/>
      <w:lang w:eastAsia="en-US"/>
    </w:rPr>
  </w:style>
  <w:style w:type="character" w:customStyle="1" w:styleId="227">
    <w:name w:val="正文文本缩进 2 Char1"/>
    <w:basedOn w:val="34"/>
    <w:autoRedefine/>
    <w:semiHidden/>
    <w:qFormat/>
    <w:uiPriority w:val="99"/>
  </w:style>
  <w:style w:type="character" w:customStyle="1" w:styleId="228">
    <w:name w:val="批注框文本 Char1"/>
    <w:autoRedefine/>
    <w:semiHidden/>
    <w:qFormat/>
    <w:uiPriority w:val="99"/>
    <w:rPr>
      <w:sz w:val="18"/>
      <w:szCs w:val="18"/>
    </w:rPr>
  </w:style>
  <w:style w:type="character" w:customStyle="1" w:styleId="229">
    <w:name w:val="正文文本缩进 字符1"/>
    <w:autoRedefine/>
    <w:semiHidden/>
    <w:qFormat/>
    <w:uiPriority w:val="99"/>
    <w:rPr>
      <w:rFonts w:ascii="Noto Sans CJK JP Black" w:hAnsi="Noto Sans CJK JP Black" w:eastAsia="Noto Sans CJK JP Black" w:cs="Noto Sans CJK JP Black"/>
      <w:kern w:val="0"/>
      <w:sz w:val="22"/>
      <w:lang w:eastAsia="en-US"/>
    </w:rPr>
  </w:style>
  <w:style w:type="character" w:customStyle="1" w:styleId="230">
    <w:name w:val="正文文本缩进 Char1"/>
    <w:basedOn w:val="34"/>
    <w:autoRedefine/>
    <w:semiHidden/>
    <w:qFormat/>
    <w:uiPriority w:val="99"/>
  </w:style>
  <w:style w:type="character" w:customStyle="1" w:styleId="231">
    <w:name w:val="正文首行缩进 Char1"/>
    <w:autoRedefine/>
    <w:semiHidden/>
    <w:qFormat/>
    <w:uiPriority w:val="99"/>
    <w:rPr>
      <w:rFonts w:ascii="Noto Sans CJK JP Black" w:hAnsi="Noto Sans CJK JP Black" w:eastAsia="Noto Sans CJK JP Black" w:cs="Noto Sans CJK JP Black"/>
      <w:kern w:val="0"/>
      <w:sz w:val="24"/>
      <w:szCs w:val="24"/>
      <w:lang w:eastAsia="en-US"/>
    </w:rPr>
  </w:style>
  <w:style w:type="character" w:customStyle="1" w:styleId="232">
    <w:name w:val="纯文本 字符1"/>
    <w:autoRedefine/>
    <w:semiHidden/>
    <w:qFormat/>
    <w:uiPriority w:val="99"/>
    <w:rPr>
      <w:rFonts w:ascii="等线" w:hAnsi="Courier New" w:cs="Courier New"/>
      <w:kern w:val="0"/>
      <w:sz w:val="22"/>
      <w:lang w:eastAsia="en-US"/>
    </w:rPr>
  </w:style>
  <w:style w:type="character" w:customStyle="1" w:styleId="233">
    <w:name w:val="纯文本 Char1"/>
    <w:autoRedefine/>
    <w:semiHidden/>
    <w:qFormat/>
    <w:uiPriority w:val="99"/>
    <w:rPr>
      <w:rFonts w:ascii="宋体" w:hAnsi="Courier New" w:eastAsia="宋体" w:cs="Courier New"/>
      <w:szCs w:val="21"/>
    </w:rPr>
  </w:style>
  <w:style w:type="character" w:customStyle="1" w:styleId="234">
    <w:name w:val="正文文本首行缩进 2 字符1"/>
    <w:autoRedefine/>
    <w:semiHidden/>
    <w:qFormat/>
    <w:uiPriority w:val="99"/>
  </w:style>
  <w:style w:type="character" w:customStyle="1" w:styleId="235">
    <w:name w:val="正文首行缩进 2 Char1"/>
    <w:basedOn w:val="230"/>
    <w:autoRedefine/>
    <w:semiHidden/>
    <w:qFormat/>
    <w:uiPriority w:val="99"/>
  </w:style>
  <w:style w:type="character" w:customStyle="1" w:styleId="236">
    <w:name w:val="页眉 Char1"/>
    <w:autoRedefine/>
    <w:semiHidden/>
    <w:qFormat/>
    <w:uiPriority w:val="99"/>
    <w:rPr>
      <w:sz w:val="18"/>
      <w:szCs w:val="18"/>
    </w:rPr>
  </w:style>
  <w:style w:type="character" w:customStyle="1" w:styleId="237">
    <w:name w:val="HTML 预设格式 字符1"/>
    <w:autoRedefine/>
    <w:semiHidden/>
    <w:qFormat/>
    <w:uiPriority w:val="99"/>
    <w:rPr>
      <w:rFonts w:ascii="Courier New" w:hAnsi="Courier New" w:eastAsia="Noto Sans CJK JP Black" w:cs="Courier New"/>
      <w:kern w:val="0"/>
      <w:sz w:val="20"/>
      <w:szCs w:val="20"/>
      <w:lang w:eastAsia="en-US"/>
    </w:rPr>
  </w:style>
  <w:style w:type="character" w:customStyle="1" w:styleId="238">
    <w:name w:val="HTML 预设格式 Char2"/>
    <w:autoRedefine/>
    <w:semiHidden/>
    <w:qFormat/>
    <w:uiPriority w:val="99"/>
    <w:rPr>
      <w:rFonts w:ascii="Courier New" w:hAnsi="Courier New" w:cs="Courier New"/>
      <w:sz w:val="20"/>
      <w:szCs w:val="20"/>
    </w:rPr>
  </w:style>
  <w:style w:type="character" w:customStyle="1" w:styleId="239">
    <w:name w:val="页脚 Char1"/>
    <w:autoRedefine/>
    <w:semiHidden/>
    <w:qFormat/>
    <w:uiPriority w:val="99"/>
    <w:rPr>
      <w:sz w:val="18"/>
      <w:szCs w:val="18"/>
    </w:rPr>
  </w:style>
  <w:style w:type="table" w:customStyle="1" w:styleId="240">
    <w:name w:val="样式11"/>
    <w:basedOn w:val="31"/>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241">
    <w:name w:val="标准表格1"/>
    <w:basedOn w:val="31"/>
    <w:autoRedefine/>
    <w:qFormat/>
    <w:uiPriority w:val="99"/>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0" w:beforeLines="0" w:beforeAutospacing="0" w:after="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paragraph" w:customStyle="1" w:styleId="242">
    <w:name w:val="_Style 10"/>
    <w:basedOn w:val="1"/>
    <w:next w:val="1"/>
    <w:autoRedefine/>
    <w:qFormat/>
    <w:uiPriority w:val="0"/>
    <w:pPr>
      <w:widowControl w:val="0"/>
      <w:ind w:firstLine="200"/>
    </w:pPr>
    <w:rPr>
      <w:kern w:val="2"/>
      <w:sz w:val="21"/>
      <w:szCs w:val="21"/>
    </w:rPr>
  </w:style>
  <w:style w:type="paragraph" w:customStyle="1" w:styleId="243">
    <w:name w:val="表题"/>
    <w:autoRedefine/>
    <w:qFormat/>
    <w:uiPriority w:val="0"/>
    <w:pPr>
      <w:widowControl w:val="0"/>
      <w:autoSpaceDE w:val="0"/>
      <w:autoSpaceDN w:val="0"/>
      <w:adjustRightInd w:val="0"/>
      <w:jc w:val="center"/>
    </w:pPr>
    <w:rPr>
      <w:rFonts w:ascii="Times New Roman" w:hAnsi="Times New Roman" w:eastAsia="等线" w:cs="Times New Roman"/>
      <w:b/>
      <w:color w:val="000000"/>
      <w:sz w:val="21"/>
      <w:szCs w:val="24"/>
      <w:lang w:val="en-US" w:eastAsia="zh-CN" w:bidi="ar-SA"/>
    </w:rPr>
  </w:style>
  <w:style w:type="character" w:customStyle="1" w:styleId="244">
    <w:name w:val="cucd-0 Char1"/>
    <w:link w:val="245"/>
    <w:autoRedefine/>
    <w:qFormat/>
    <w:locked/>
    <w:uiPriority w:val="0"/>
    <w:rPr>
      <w:sz w:val="24"/>
      <w:szCs w:val="24"/>
    </w:rPr>
  </w:style>
  <w:style w:type="paragraph" w:customStyle="1" w:styleId="245">
    <w:name w:val="cucd-0"/>
    <w:link w:val="244"/>
    <w:autoRedefine/>
    <w:qFormat/>
    <w:uiPriority w:val="0"/>
    <w:pPr>
      <w:spacing w:line="360" w:lineRule="auto"/>
      <w:ind w:firstLine="480" w:firstLineChars="200"/>
    </w:pPr>
    <w:rPr>
      <w:rFonts w:asciiTheme="minorHAnsi" w:hAnsiTheme="minorHAnsi" w:eastAsiaTheme="minorEastAsia" w:cstheme="minorBidi"/>
      <w:kern w:val="2"/>
      <w:sz w:val="24"/>
      <w:szCs w:val="24"/>
      <w:lang w:val="en-US" w:eastAsia="zh-CN" w:bidi="ar-SA"/>
    </w:rPr>
  </w:style>
  <w:style w:type="table" w:customStyle="1" w:styleId="246">
    <w:name w:val="cauc-table"/>
    <w:basedOn w:val="31"/>
    <w:autoRedefine/>
    <w:qFormat/>
    <w:uiPriority w:val="0"/>
    <w:pPr>
      <w:jc w:val="center"/>
    </w:pPr>
    <w:tblP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
    <w:tcPr>
      <w:vAlign w:val="center"/>
    </w:tcPr>
    <w:tblStylePr w:type="firstRow">
      <w:rPr>
        <w:b/>
        <w:i w:val="0"/>
      </w:rPr>
      <w:tcPr>
        <w:tcBorders>
          <w:top w:val="thinThickSmallGap" w:color="auto" w:sz="12" w:space="0"/>
          <w:left w:val="thinThickSmallGap" w:color="auto" w:sz="12" w:space="0"/>
          <w:bottom w:val="single" w:color="auto" w:sz="4" w:space="0"/>
          <w:right w:val="thickThinSmallGap" w:color="auto" w:sz="12" w:space="0"/>
          <w:insideH w:val="single" w:sz="6" w:space="0"/>
          <w:insideV w:val="single" w:sz="6" w:space="0"/>
          <w:tl2br w:val="nil"/>
          <w:tr2bl w:val="nil"/>
        </w:tcBorders>
        <w:shd w:val="clear" w:color="auto" w:fill="D9D9D9"/>
      </w:tcPr>
    </w:tblStylePr>
  </w:style>
  <w:style w:type="table" w:customStyle="1" w:styleId="247">
    <w:name w:val="网格型11"/>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8">
    <w:name w:val="网格型21"/>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9">
    <w:name w:val="网格型31"/>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0">
    <w:name w:val="网格型41"/>
    <w:basedOn w:val="3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1">
    <w:name w:val="fontstyle31"/>
    <w:autoRedefine/>
    <w:qFormat/>
    <w:uiPriority w:val="0"/>
    <w:rPr>
      <w:rFonts w:hint="eastAsia" w:ascii="MS Mincho" w:eastAsia="MS Mincho"/>
      <w:color w:val="000000"/>
      <w:sz w:val="22"/>
      <w:szCs w:val="22"/>
    </w:rPr>
  </w:style>
  <w:style w:type="table" w:customStyle="1" w:styleId="252">
    <w:name w:val="灰度表格1221"/>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3">
    <w:name w:val="Default1"/>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54">
    <w:name w:val="font12"/>
    <w:basedOn w:val="1"/>
    <w:autoRedefine/>
    <w:qFormat/>
    <w:uiPriority w:val="0"/>
    <w:pPr>
      <w:spacing w:before="100" w:beforeAutospacing="1" w:after="100" w:afterAutospacing="1"/>
    </w:pPr>
    <w:rPr>
      <w:color w:val="000000"/>
      <w:sz w:val="20"/>
      <w:szCs w:val="20"/>
    </w:rPr>
  </w:style>
  <w:style w:type="paragraph" w:customStyle="1" w:styleId="255">
    <w:name w:val="xl8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s="Calibri"/>
    </w:rPr>
  </w:style>
  <w:style w:type="paragraph" w:customStyle="1" w:styleId="256">
    <w:name w:val="xl8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s="Calibri"/>
    </w:rPr>
  </w:style>
  <w:style w:type="paragraph" w:customStyle="1" w:styleId="257">
    <w:name w:val="xl8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s="Calibri"/>
      <w:color w:val="000000"/>
    </w:rPr>
  </w:style>
  <w:style w:type="paragraph" w:customStyle="1" w:styleId="258">
    <w:name w:val="xl8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s="Calibri"/>
      <w:color w:val="000000"/>
    </w:rPr>
  </w:style>
  <w:style w:type="paragraph" w:customStyle="1" w:styleId="259">
    <w:name w:val="xl8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0"/>
      <w:szCs w:val="20"/>
    </w:rPr>
  </w:style>
  <w:style w:type="paragraph" w:customStyle="1" w:styleId="260">
    <w:name w:val="xl8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0"/>
      <w:szCs w:val="20"/>
    </w:rPr>
  </w:style>
  <w:style w:type="paragraph" w:customStyle="1" w:styleId="261">
    <w:name w:val="xl8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0"/>
      <w:szCs w:val="20"/>
    </w:rPr>
  </w:style>
  <w:style w:type="paragraph" w:customStyle="1" w:styleId="262">
    <w:name w:val="xl8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0"/>
      <w:szCs w:val="20"/>
    </w:rPr>
  </w:style>
  <w:style w:type="paragraph" w:customStyle="1" w:styleId="263">
    <w:name w:val="xl9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0"/>
      <w:szCs w:val="20"/>
    </w:rPr>
  </w:style>
  <w:style w:type="paragraph" w:customStyle="1" w:styleId="264">
    <w:name w:val="xl9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0"/>
      <w:szCs w:val="20"/>
    </w:rPr>
  </w:style>
  <w:style w:type="paragraph" w:customStyle="1" w:styleId="265">
    <w:name w:val="xl9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style>
  <w:style w:type="table" w:customStyle="1" w:styleId="266">
    <w:name w:val="网格型5"/>
    <w:basedOn w:val="3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67">
    <w:name w:val="样式 正文缩进表正文正文非缩进 + 首行缩进:  2 字符"/>
    <w:basedOn w:val="9"/>
    <w:autoRedefine/>
    <w:qFormat/>
    <w:uiPriority w:val="0"/>
    <w:pPr>
      <w:widowControl w:val="0"/>
      <w:adjustRightInd/>
      <w:spacing w:line="420" w:lineRule="exact"/>
      <w:ind w:firstLine="480"/>
      <w:contextualSpacing/>
      <w:jc w:val="both"/>
      <w:textAlignment w:val="auto"/>
    </w:pPr>
    <w:rPr>
      <w:rFonts w:ascii="等线" w:hAnsi="Calibri" w:cs="Times New Roman"/>
    </w:rPr>
  </w:style>
  <w:style w:type="paragraph" w:customStyle="1" w:styleId="268">
    <w:name w:val="A-z正文"/>
    <w:basedOn w:val="1"/>
    <w:autoRedefine/>
    <w:qFormat/>
    <w:uiPriority w:val="0"/>
    <w:pPr>
      <w:widowControl w:val="0"/>
      <w:ind w:firstLine="200"/>
      <w:contextualSpacing/>
    </w:pPr>
    <w:rPr>
      <w:kern w:val="2"/>
      <w:szCs w:val="20"/>
    </w:rPr>
  </w:style>
  <w:style w:type="table" w:customStyle="1" w:styleId="269">
    <w:name w:val="三所表格要求格式"/>
    <w:basedOn w:val="33"/>
    <w:autoRedefine/>
    <w:qFormat/>
    <w:uiPriority w:val="0"/>
    <w:pPr>
      <w:jc w:val="center"/>
    </w:pPr>
    <w:tblPr>
      <w:tblBorders>
        <w:top w:val="single" w:color="auto" w:sz="12" w:space="0"/>
        <w:bottom w:val="single" w:color="auto" w:sz="12" w:space="0"/>
        <w:insideH w:val="dotted" w:color="auto" w:sz="8" w:space="0"/>
        <w:insideV w:val="dotted" w:color="auto" w:sz="8" w:space="0"/>
      </w:tblBorders>
    </w:tblPr>
    <w:tcPr>
      <w:vAlign w:val="center"/>
    </w:tc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270">
    <w:name w:val="网格型6"/>
    <w:basedOn w:val="3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71">
    <w:name w:val="fontstyle11"/>
    <w:autoRedefine/>
    <w:qFormat/>
    <w:uiPriority w:val="0"/>
    <w:rPr>
      <w:rFonts w:hint="default" w:ascii="仿宋" w:hAnsi="仿宋"/>
      <w:color w:val="000000"/>
      <w:sz w:val="30"/>
      <w:szCs w:val="30"/>
    </w:rPr>
  </w:style>
  <w:style w:type="character" w:customStyle="1" w:styleId="272">
    <w:name w:val="表标题 Char"/>
    <w:link w:val="273"/>
    <w:autoRedefine/>
    <w:qFormat/>
    <w:uiPriority w:val="0"/>
    <w:rPr>
      <w:b/>
    </w:rPr>
  </w:style>
  <w:style w:type="paragraph" w:customStyle="1" w:styleId="273">
    <w:name w:val="表标题"/>
    <w:basedOn w:val="1"/>
    <w:link w:val="272"/>
    <w:autoRedefine/>
    <w:qFormat/>
    <w:uiPriority w:val="0"/>
    <w:pPr>
      <w:widowControl w:val="0"/>
      <w:jc w:val="center"/>
    </w:pPr>
    <w:rPr>
      <w:rFonts w:asciiTheme="minorHAnsi" w:hAnsiTheme="minorHAnsi" w:eastAsiaTheme="minorEastAsia" w:cstheme="minorBidi"/>
      <w:b/>
      <w:kern w:val="2"/>
      <w:sz w:val="21"/>
      <w:szCs w:val="22"/>
    </w:rPr>
  </w:style>
  <w:style w:type="paragraph" w:customStyle="1" w:styleId="274">
    <w:name w:val="5正文SH"/>
    <w:basedOn w:val="1"/>
    <w:autoRedefine/>
    <w:qFormat/>
    <w:uiPriority w:val="0"/>
    <w:pPr>
      <w:widowControl w:val="0"/>
      <w:adjustRightInd w:val="0"/>
      <w:snapToGrid w:val="0"/>
      <w:ind w:firstLine="200"/>
    </w:pPr>
    <w:rPr>
      <w:rFonts w:eastAsia="仿宋_GB2312"/>
      <w:kern w:val="2"/>
      <w:szCs w:val="28"/>
    </w:rPr>
  </w:style>
  <w:style w:type="character" w:customStyle="1" w:styleId="275">
    <w:name w:val="AA Char Char"/>
    <w:link w:val="276"/>
    <w:autoRedefine/>
    <w:qFormat/>
    <w:uiPriority w:val="0"/>
    <w:rPr>
      <w:rFonts w:ascii="大黑体" w:hAnsi="大黑体"/>
      <w:sz w:val="24"/>
      <w:szCs w:val="24"/>
    </w:rPr>
  </w:style>
  <w:style w:type="paragraph" w:customStyle="1" w:styleId="276">
    <w:name w:val="AA"/>
    <w:basedOn w:val="1"/>
    <w:link w:val="275"/>
    <w:autoRedefine/>
    <w:qFormat/>
    <w:uiPriority w:val="0"/>
    <w:pPr>
      <w:widowControl w:val="0"/>
      <w:ind w:firstLine="200"/>
    </w:pPr>
    <w:rPr>
      <w:rFonts w:ascii="大黑体" w:hAnsi="大黑体" w:eastAsiaTheme="minorEastAsia" w:cstheme="minorBidi"/>
      <w:kern w:val="2"/>
    </w:rPr>
  </w:style>
  <w:style w:type="character" w:customStyle="1" w:styleId="277">
    <w:name w:val="font31"/>
    <w:basedOn w:val="34"/>
    <w:autoRedefine/>
    <w:qFormat/>
    <w:uiPriority w:val="0"/>
    <w:rPr>
      <w:rFonts w:hint="default" w:ascii="Times New Roman" w:hAnsi="Times New Roman" w:cs="Times New Roman"/>
      <w:color w:val="000000"/>
      <w:sz w:val="24"/>
      <w:szCs w:val="24"/>
      <w:u w:val="none"/>
    </w:rPr>
  </w:style>
  <w:style w:type="character" w:customStyle="1" w:styleId="278">
    <w:name w:val="font81"/>
    <w:autoRedefine/>
    <w:qFormat/>
    <w:uiPriority w:val="0"/>
    <w:rPr>
      <w:rFonts w:hint="eastAsia" w:ascii="宋体" w:hAnsi="宋体" w:eastAsia="宋体"/>
      <w:color w:val="000000"/>
      <w:sz w:val="24"/>
      <w:szCs w:val="24"/>
      <w:u w:val="none"/>
    </w:rPr>
  </w:style>
  <w:style w:type="character" w:customStyle="1" w:styleId="279">
    <w:name w:val="font91"/>
    <w:autoRedefine/>
    <w:qFormat/>
    <w:uiPriority w:val="0"/>
    <w:rPr>
      <w:rFonts w:hint="eastAsia" w:ascii="仿宋_GB2312" w:eastAsia="仿宋_GB2312"/>
      <w:color w:val="000000"/>
      <w:sz w:val="24"/>
      <w:szCs w:val="24"/>
      <w:u w:val="none"/>
    </w:rPr>
  </w:style>
  <w:style w:type="character" w:customStyle="1" w:styleId="280">
    <w:name w:val="font51"/>
    <w:basedOn w:val="34"/>
    <w:autoRedefine/>
    <w:qFormat/>
    <w:uiPriority w:val="0"/>
    <w:rPr>
      <w:rFonts w:hint="eastAsia" w:ascii="仿宋" w:hAnsi="仿宋" w:eastAsia="仿宋"/>
      <w:color w:val="000000"/>
      <w:sz w:val="24"/>
      <w:szCs w:val="24"/>
      <w:u w:val="none"/>
    </w:rPr>
  </w:style>
  <w:style w:type="character" w:customStyle="1" w:styleId="281">
    <w:name w:val="font01"/>
    <w:basedOn w:val="34"/>
    <w:autoRedefine/>
    <w:qFormat/>
    <w:uiPriority w:val="0"/>
    <w:rPr>
      <w:rFonts w:hint="eastAsia" w:ascii="仿宋_GB2312" w:eastAsia="仿宋_GB2312"/>
      <w:color w:val="000000"/>
      <w:sz w:val="24"/>
      <w:szCs w:val="24"/>
      <w:u w:val="none"/>
    </w:rPr>
  </w:style>
  <w:style w:type="character" w:customStyle="1" w:styleId="282">
    <w:name w:val="font71"/>
    <w:autoRedefine/>
    <w:qFormat/>
    <w:uiPriority w:val="0"/>
    <w:rPr>
      <w:rFonts w:hint="eastAsia" w:ascii="仿宋_GB2312" w:eastAsia="仿宋_GB2312"/>
      <w:b/>
      <w:bCs/>
      <w:color w:val="000099"/>
      <w:sz w:val="24"/>
      <w:szCs w:val="24"/>
      <w:u w:val="none"/>
    </w:rPr>
  </w:style>
  <w:style w:type="character" w:customStyle="1" w:styleId="283">
    <w:name w:val="font21"/>
    <w:autoRedefine/>
    <w:qFormat/>
    <w:uiPriority w:val="0"/>
    <w:rPr>
      <w:rFonts w:hint="eastAsia" w:ascii="仿宋_GB2312" w:eastAsia="仿宋_GB2312"/>
      <w:color w:val="000099"/>
      <w:sz w:val="24"/>
      <w:szCs w:val="24"/>
      <w:u w:val="none"/>
    </w:rPr>
  </w:style>
  <w:style w:type="paragraph" w:customStyle="1" w:styleId="284">
    <w:name w:val="font0"/>
    <w:basedOn w:val="1"/>
    <w:autoRedefine/>
    <w:qFormat/>
    <w:uiPriority w:val="0"/>
    <w:pPr>
      <w:spacing w:before="100" w:beforeAutospacing="1" w:after="100" w:afterAutospacing="1"/>
    </w:pPr>
    <w:rPr>
      <w:b/>
      <w:bCs/>
      <w:color w:val="000000"/>
      <w:sz w:val="18"/>
      <w:szCs w:val="18"/>
    </w:rPr>
  </w:style>
  <w:style w:type="paragraph" w:customStyle="1" w:styleId="285">
    <w:name w:val="font1"/>
    <w:basedOn w:val="1"/>
    <w:autoRedefine/>
    <w:qFormat/>
    <w:uiPriority w:val="0"/>
    <w:pPr>
      <w:spacing w:before="100" w:beforeAutospacing="1" w:after="100" w:afterAutospacing="1"/>
    </w:pPr>
    <w:rPr>
      <w:color w:val="000000"/>
      <w:sz w:val="22"/>
      <w:szCs w:val="22"/>
    </w:rPr>
  </w:style>
  <w:style w:type="paragraph" w:customStyle="1" w:styleId="286">
    <w:name w:val="font2"/>
    <w:basedOn w:val="1"/>
    <w:autoRedefine/>
    <w:qFormat/>
    <w:uiPriority w:val="0"/>
    <w:pPr>
      <w:spacing w:before="100" w:beforeAutospacing="1" w:after="100" w:afterAutospacing="1"/>
    </w:pPr>
    <w:rPr>
      <w:color w:val="FF0000"/>
      <w:sz w:val="18"/>
      <w:szCs w:val="18"/>
    </w:rPr>
  </w:style>
  <w:style w:type="paragraph" w:customStyle="1" w:styleId="287">
    <w:name w:val="font3"/>
    <w:basedOn w:val="1"/>
    <w:autoRedefine/>
    <w:qFormat/>
    <w:uiPriority w:val="0"/>
    <w:pPr>
      <w:spacing w:before="100" w:beforeAutospacing="1" w:after="100" w:afterAutospacing="1"/>
    </w:pPr>
    <w:rPr>
      <w:color w:val="FF0000"/>
      <w:sz w:val="18"/>
      <w:szCs w:val="18"/>
    </w:rPr>
  </w:style>
  <w:style w:type="paragraph" w:customStyle="1" w:styleId="288">
    <w:name w:val="font4"/>
    <w:basedOn w:val="1"/>
    <w:autoRedefine/>
    <w:qFormat/>
    <w:uiPriority w:val="0"/>
    <w:pPr>
      <w:spacing w:before="100" w:beforeAutospacing="1" w:after="100" w:afterAutospacing="1"/>
    </w:pPr>
    <w:rPr>
      <w:color w:val="000000"/>
      <w:sz w:val="21"/>
      <w:szCs w:val="21"/>
    </w:rPr>
  </w:style>
  <w:style w:type="paragraph" w:customStyle="1" w:styleId="289">
    <w:name w:val="et2"/>
    <w:basedOn w:val="1"/>
    <w:autoRedefine/>
    <w:qFormat/>
    <w:uiPriority w:val="0"/>
    <w:pPr>
      <w:pBdr>
        <w:top w:val="single" w:color="000000" w:sz="8" w:space="0"/>
        <w:left w:val="single" w:color="000000" w:sz="8" w:space="0"/>
        <w:right w:val="single" w:color="000000" w:sz="8" w:space="0"/>
      </w:pBdr>
      <w:spacing w:before="100" w:beforeAutospacing="1" w:after="100" w:afterAutospacing="1"/>
      <w:jc w:val="center"/>
    </w:pPr>
    <w:rPr>
      <w:b/>
      <w:bCs/>
      <w:sz w:val="18"/>
      <w:szCs w:val="18"/>
    </w:rPr>
  </w:style>
  <w:style w:type="paragraph" w:customStyle="1" w:styleId="290">
    <w:name w:val="et3"/>
    <w:basedOn w:val="1"/>
    <w:autoRedefine/>
    <w:qFormat/>
    <w:uiPriority w:val="0"/>
    <w:pPr>
      <w:pBdr>
        <w:top w:val="single" w:color="000000" w:sz="8" w:space="0"/>
        <w:right w:val="single" w:color="000000" w:sz="8" w:space="0"/>
      </w:pBdr>
      <w:spacing w:before="100" w:beforeAutospacing="1" w:after="100" w:afterAutospacing="1"/>
      <w:jc w:val="center"/>
    </w:pPr>
    <w:rPr>
      <w:b/>
      <w:bCs/>
      <w:sz w:val="18"/>
      <w:szCs w:val="18"/>
    </w:rPr>
  </w:style>
  <w:style w:type="paragraph" w:customStyle="1" w:styleId="291">
    <w:name w:val="et4"/>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b/>
      <w:bCs/>
      <w:sz w:val="18"/>
      <w:szCs w:val="18"/>
    </w:rPr>
  </w:style>
  <w:style w:type="paragraph" w:customStyle="1" w:styleId="292">
    <w:name w:val="et5"/>
    <w:basedOn w:val="1"/>
    <w:autoRedefine/>
    <w:qFormat/>
    <w:uiPriority w:val="0"/>
    <w:pPr>
      <w:pBdr>
        <w:left w:val="single" w:color="000000" w:sz="8" w:space="0"/>
        <w:right w:val="single" w:color="000000" w:sz="8" w:space="0"/>
      </w:pBdr>
      <w:spacing w:before="100" w:beforeAutospacing="1" w:after="100" w:afterAutospacing="1"/>
      <w:jc w:val="center"/>
    </w:pPr>
    <w:rPr>
      <w:b/>
      <w:bCs/>
      <w:sz w:val="18"/>
      <w:szCs w:val="18"/>
    </w:rPr>
  </w:style>
  <w:style w:type="paragraph" w:customStyle="1" w:styleId="293">
    <w:name w:val="et6"/>
    <w:basedOn w:val="1"/>
    <w:autoRedefine/>
    <w:qFormat/>
    <w:uiPriority w:val="0"/>
    <w:pPr>
      <w:pBdr>
        <w:right w:val="single" w:color="000000" w:sz="8" w:space="0"/>
      </w:pBdr>
      <w:spacing w:before="100" w:beforeAutospacing="1" w:after="100" w:afterAutospacing="1"/>
      <w:jc w:val="center"/>
    </w:pPr>
    <w:rPr>
      <w:b/>
      <w:bCs/>
      <w:sz w:val="18"/>
      <w:szCs w:val="18"/>
    </w:rPr>
  </w:style>
  <w:style w:type="paragraph" w:customStyle="1" w:styleId="294">
    <w:name w:val="et7"/>
    <w:basedOn w:val="1"/>
    <w:autoRedefine/>
    <w:qFormat/>
    <w:uiPriority w:val="0"/>
    <w:pPr>
      <w:pBdr>
        <w:bottom w:val="single" w:color="000000" w:sz="8" w:space="0"/>
        <w:right w:val="single" w:color="000000" w:sz="8" w:space="0"/>
      </w:pBdr>
      <w:spacing w:before="100" w:beforeAutospacing="1" w:after="100" w:afterAutospacing="1"/>
      <w:jc w:val="center"/>
    </w:pPr>
    <w:rPr>
      <w:sz w:val="18"/>
      <w:szCs w:val="18"/>
    </w:rPr>
  </w:style>
  <w:style w:type="paragraph" w:customStyle="1" w:styleId="295">
    <w:name w:val="et8"/>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sz w:val="18"/>
      <w:szCs w:val="18"/>
    </w:rPr>
  </w:style>
  <w:style w:type="paragraph" w:customStyle="1" w:styleId="296">
    <w:name w:val="et9"/>
    <w:basedOn w:val="1"/>
    <w:autoRedefine/>
    <w:qFormat/>
    <w:uiPriority w:val="0"/>
    <w:pPr>
      <w:pBdr>
        <w:left w:val="single" w:color="000000" w:sz="8" w:space="0"/>
        <w:bottom w:val="single" w:color="000000" w:sz="8" w:space="0"/>
        <w:right w:val="single" w:color="000000" w:sz="8" w:space="0"/>
      </w:pBdr>
      <w:spacing w:before="100" w:beforeAutospacing="1" w:after="100" w:afterAutospacing="1"/>
    </w:pPr>
  </w:style>
  <w:style w:type="paragraph" w:customStyle="1" w:styleId="297">
    <w:name w:val="et10"/>
    <w:basedOn w:val="1"/>
    <w:autoRedefine/>
    <w:qFormat/>
    <w:uiPriority w:val="0"/>
    <w:pPr>
      <w:pBdr>
        <w:bottom w:val="single" w:color="000000" w:sz="8" w:space="0"/>
        <w:right w:val="single" w:color="000000" w:sz="8" w:space="0"/>
      </w:pBdr>
      <w:spacing w:before="100" w:beforeAutospacing="1" w:after="100" w:afterAutospacing="1"/>
    </w:pPr>
  </w:style>
  <w:style w:type="paragraph" w:customStyle="1" w:styleId="298">
    <w:name w:val="et11"/>
    <w:basedOn w:val="1"/>
    <w:autoRedefine/>
    <w:qFormat/>
    <w:uiPriority w:val="0"/>
    <w:pPr>
      <w:pBdr>
        <w:bottom w:val="single" w:color="000000" w:sz="8" w:space="0"/>
        <w:right w:val="single" w:color="000000" w:sz="8" w:space="0"/>
      </w:pBdr>
      <w:spacing w:before="100" w:beforeAutospacing="1" w:after="100" w:afterAutospacing="1"/>
      <w:jc w:val="center"/>
    </w:pPr>
    <w:rPr>
      <w:sz w:val="18"/>
      <w:szCs w:val="18"/>
    </w:rPr>
  </w:style>
  <w:style w:type="paragraph" w:customStyle="1" w:styleId="299">
    <w:name w:val="et12"/>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sz w:val="18"/>
      <w:szCs w:val="18"/>
    </w:rPr>
  </w:style>
  <w:style w:type="paragraph" w:customStyle="1" w:styleId="300">
    <w:name w:val="et13"/>
    <w:basedOn w:val="1"/>
    <w:autoRedefine/>
    <w:qFormat/>
    <w:uiPriority w:val="0"/>
    <w:pPr>
      <w:pBdr>
        <w:left w:val="single" w:color="000000" w:sz="8" w:space="0"/>
        <w:bottom w:val="single" w:color="000000" w:sz="8" w:space="0"/>
        <w:right w:val="single" w:color="000000" w:sz="8" w:space="0"/>
      </w:pBdr>
      <w:spacing w:before="100" w:beforeAutospacing="1" w:after="100" w:afterAutospacing="1"/>
      <w:jc w:val="center"/>
    </w:pPr>
    <w:rPr>
      <w:sz w:val="18"/>
      <w:szCs w:val="18"/>
    </w:rPr>
  </w:style>
  <w:style w:type="paragraph" w:customStyle="1" w:styleId="301">
    <w:name w:val="et14"/>
    <w:basedOn w:val="1"/>
    <w:autoRedefine/>
    <w:qFormat/>
    <w:uiPriority w:val="0"/>
    <w:pPr>
      <w:pBdr>
        <w:bottom w:val="single" w:color="000000" w:sz="8" w:space="0"/>
        <w:right w:val="single" w:color="000000" w:sz="8" w:space="0"/>
      </w:pBdr>
      <w:spacing w:before="100" w:beforeAutospacing="1" w:after="100" w:afterAutospacing="1"/>
      <w:jc w:val="center"/>
    </w:pPr>
    <w:rPr>
      <w:color w:val="FF0000"/>
      <w:sz w:val="18"/>
      <w:szCs w:val="18"/>
    </w:rPr>
  </w:style>
  <w:style w:type="paragraph" w:customStyle="1" w:styleId="302">
    <w:name w:val="et15"/>
    <w:basedOn w:val="1"/>
    <w:autoRedefine/>
    <w:qFormat/>
    <w:uiPriority w:val="0"/>
    <w:pPr>
      <w:pBdr>
        <w:bottom w:val="single" w:color="000000" w:sz="8" w:space="0"/>
        <w:right w:val="single" w:color="000000" w:sz="8" w:space="0"/>
      </w:pBdr>
      <w:spacing w:before="100" w:beforeAutospacing="1" w:after="100" w:afterAutospacing="1"/>
      <w:jc w:val="center"/>
    </w:pPr>
    <w:rPr>
      <w:color w:val="FF0000"/>
      <w:sz w:val="18"/>
      <w:szCs w:val="18"/>
    </w:rPr>
  </w:style>
  <w:style w:type="paragraph" w:customStyle="1" w:styleId="303">
    <w:name w:val="et16"/>
    <w:basedOn w:val="1"/>
    <w:autoRedefine/>
    <w:qFormat/>
    <w:uiPriority w:val="0"/>
    <w:pPr>
      <w:pBdr>
        <w:bottom w:val="single" w:color="000000" w:sz="8" w:space="0"/>
        <w:right w:val="single" w:color="000000" w:sz="8" w:space="0"/>
      </w:pBdr>
      <w:spacing w:before="100" w:beforeAutospacing="1" w:after="100" w:afterAutospacing="1"/>
      <w:jc w:val="center"/>
    </w:pPr>
    <w:rPr>
      <w:b/>
      <w:bCs/>
      <w:sz w:val="18"/>
      <w:szCs w:val="18"/>
    </w:rPr>
  </w:style>
  <w:style w:type="paragraph" w:customStyle="1" w:styleId="304">
    <w:name w:val="et17"/>
    <w:basedOn w:val="1"/>
    <w:autoRedefine/>
    <w:qFormat/>
    <w:uiPriority w:val="0"/>
    <w:pPr>
      <w:pBdr>
        <w:bottom w:val="single" w:color="000000" w:sz="8" w:space="0"/>
        <w:right w:val="single" w:color="000000" w:sz="8" w:space="0"/>
      </w:pBdr>
      <w:spacing w:before="100" w:beforeAutospacing="1" w:after="100" w:afterAutospacing="1"/>
      <w:jc w:val="center"/>
    </w:pPr>
    <w:rPr>
      <w:b/>
      <w:bCs/>
      <w:sz w:val="18"/>
      <w:szCs w:val="18"/>
    </w:rPr>
  </w:style>
  <w:style w:type="paragraph" w:customStyle="1" w:styleId="305">
    <w:name w:val="et18"/>
    <w:basedOn w:val="1"/>
    <w:autoRedefine/>
    <w:qFormat/>
    <w:uiPriority w:val="0"/>
    <w:pPr>
      <w:pBdr>
        <w:right w:val="single" w:color="000000" w:sz="8" w:space="0"/>
      </w:pBdr>
      <w:spacing w:before="100" w:beforeAutospacing="1" w:after="100" w:afterAutospacing="1"/>
      <w:jc w:val="center"/>
    </w:pPr>
    <w:rPr>
      <w:sz w:val="18"/>
      <w:szCs w:val="18"/>
    </w:rPr>
  </w:style>
  <w:style w:type="paragraph" w:customStyle="1" w:styleId="306">
    <w:name w:val="et19"/>
    <w:basedOn w:val="1"/>
    <w:autoRedefine/>
    <w:qFormat/>
    <w:uiPriority w:val="0"/>
    <w:pPr>
      <w:pBdr>
        <w:right w:val="single" w:color="000000" w:sz="8" w:space="0"/>
      </w:pBdr>
      <w:spacing w:before="100" w:beforeAutospacing="1" w:after="100" w:afterAutospacing="1"/>
      <w:jc w:val="center"/>
    </w:pPr>
    <w:rPr>
      <w:sz w:val="18"/>
      <w:szCs w:val="18"/>
    </w:rPr>
  </w:style>
  <w:style w:type="paragraph" w:customStyle="1" w:styleId="307">
    <w:name w:val="et20"/>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color w:val="FF0000"/>
      <w:sz w:val="18"/>
      <w:szCs w:val="18"/>
    </w:rPr>
  </w:style>
  <w:style w:type="paragraph" w:customStyle="1" w:styleId="308">
    <w:name w:val="et21"/>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color w:val="FF0000"/>
      <w:sz w:val="18"/>
      <w:szCs w:val="18"/>
    </w:rPr>
  </w:style>
  <w:style w:type="paragraph" w:customStyle="1" w:styleId="309">
    <w:name w:val="et22"/>
    <w:basedOn w:val="1"/>
    <w:autoRedefine/>
    <w:qFormat/>
    <w:uiPriority w:val="0"/>
    <w:pPr>
      <w:pBdr>
        <w:bottom w:val="single" w:color="000000" w:sz="8" w:space="0"/>
        <w:right w:val="single" w:color="000000" w:sz="8" w:space="0"/>
      </w:pBdr>
      <w:spacing w:before="100" w:beforeAutospacing="1" w:after="100" w:afterAutospacing="1"/>
      <w:jc w:val="center"/>
    </w:pPr>
    <w:rPr>
      <w:sz w:val="21"/>
      <w:szCs w:val="21"/>
    </w:rPr>
  </w:style>
  <w:style w:type="paragraph" w:customStyle="1" w:styleId="310">
    <w:name w:val="et23"/>
    <w:basedOn w:val="1"/>
    <w:autoRedefine/>
    <w:qFormat/>
    <w:uiPriority w:val="0"/>
    <w:pPr>
      <w:pBdr>
        <w:bottom w:val="single" w:color="000000" w:sz="8" w:space="0"/>
        <w:right w:val="single" w:color="000000" w:sz="8" w:space="0"/>
      </w:pBdr>
      <w:spacing w:before="100" w:beforeAutospacing="1" w:after="100" w:afterAutospacing="1"/>
      <w:jc w:val="center"/>
    </w:pPr>
  </w:style>
  <w:style w:type="paragraph" w:customStyle="1" w:styleId="311">
    <w:name w:val="et24"/>
    <w:basedOn w:val="1"/>
    <w:autoRedefine/>
    <w:qFormat/>
    <w:uiPriority w:val="0"/>
    <w:pPr>
      <w:pBdr>
        <w:bottom w:val="single" w:color="000000" w:sz="8" w:space="0"/>
        <w:right w:val="single" w:color="000000" w:sz="8" w:space="0"/>
      </w:pBdr>
      <w:spacing w:before="100" w:beforeAutospacing="1" w:after="100" w:afterAutospacing="1"/>
      <w:jc w:val="center"/>
    </w:pPr>
    <w:rPr>
      <w:color w:val="000099"/>
      <w:sz w:val="18"/>
      <w:szCs w:val="18"/>
    </w:rPr>
  </w:style>
  <w:style w:type="paragraph" w:customStyle="1" w:styleId="312">
    <w:name w:val="et25"/>
    <w:basedOn w:val="1"/>
    <w:autoRedefine/>
    <w:qFormat/>
    <w:uiPriority w:val="0"/>
    <w:pPr>
      <w:pBdr>
        <w:bottom w:val="single" w:color="000000" w:sz="8" w:space="0"/>
        <w:right w:val="single" w:color="000000" w:sz="8" w:space="0"/>
      </w:pBdr>
      <w:spacing w:before="100" w:beforeAutospacing="1" w:after="100" w:afterAutospacing="1"/>
      <w:jc w:val="center"/>
    </w:pPr>
    <w:rPr>
      <w:color w:val="000000"/>
      <w:sz w:val="21"/>
      <w:szCs w:val="21"/>
    </w:rPr>
  </w:style>
  <w:style w:type="paragraph" w:customStyle="1" w:styleId="313">
    <w:name w:val="et26"/>
    <w:basedOn w:val="1"/>
    <w:autoRedefine/>
    <w:qFormat/>
    <w:uiPriority w:val="0"/>
    <w:pPr>
      <w:pBdr>
        <w:right w:val="single" w:color="000000" w:sz="8" w:space="0"/>
      </w:pBdr>
      <w:spacing w:before="100" w:beforeAutospacing="1" w:after="100" w:afterAutospacing="1"/>
      <w:jc w:val="center"/>
    </w:pPr>
    <w:rPr>
      <w:color w:val="000000"/>
      <w:sz w:val="21"/>
      <w:szCs w:val="21"/>
    </w:rPr>
  </w:style>
  <w:style w:type="paragraph" w:customStyle="1" w:styleId="314">
    <w:name w:val="et27"/>
    <w:basedOn w:val="1"/>
    <w:autoRedefine/>
    <w:qFormat/>
    <w:uiPriority w:val="0"/>
    <w:pPr>
      <w:pBdr>
        <w:right w:val="single" w:color="000000" w:sz="8" w:space="0"/>
      </w:pBdr>
      <w:spacing w:before="100" w:beforeAutospacing="1" w:after="100" w:afterAutospacing="1"/>
      <w:jc w:val="center"/>
    </w:pPr>
    <w:rPr>
      <w:color w:val="000099"/>
      <w:sz w:val="18"/>
      <w:szCs w:val="18"/>
    </w:rPr>
  </w:style>
  <w:style w:type="paragraph" w:customStyle="1" w:styleId="315">
    <w:name w:val="et28"/>
    <w:basedOn w:val="1"/>
    <w:autoRedefine/>
    <w:qFormat/>
    <w:uiPriority w:val="0"/>
    <w:pPr>
      <w:pBdr>
        <w:right w:val="single" w:color="000000" w:sz="8" w:space="0"/>
      </w:pBdr>
      <w:spacing w:before="100" w:beforeAutospacing="1" w:after="100" w:afterAutospacing="1"/>
      <w:jc w:val="center"/>
    </w:pPr>
    <w:rPr>
      <w:color w:val="FF0000"/>
      <w:sz w:val="18"/>
      <w:szCs w:val="18"/>
    </w:rPr>
  </w:style>
  <w:style w:type="paragraph" w:customStyle="1" w:styleId="316">
    <w:name w:val="et29"/>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color w:val="000000"/>
      <w:sz w:val="21"/>
      <w:szCs w:val="21"/>
    </w:rPr>
  </w:style>
  <w:style w:type="paragraph" w:customStyle="1" w:styleId="317">
    <w:name w:val="et30"/>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color w:val="000099"/>
      <w:sz w:val="18"/>
      <w:szCs w:val="18"/>
    </w:rPr>
  </w:style>
  <w:style w:type="character" w:customStyle="1" w:styleId="318">
    <w:name w:val="font41"/>
    <w:basedOn w:val="34"/>
    <w:autoRedefine/>
    <w:qFormat/>
    <w:uiPriority w:val="0"/>
    <w:rPr>
      <w:rFonts w:hint="default" w:ascii="Times New Roman" w:hAnsi="Times New Roman" w:cs="Times New Roman"/>
      <w:b/>
      <w:bCs/>
      <w:color w:val="000000"/>
      <w:sz w:val="24"/>
      <w:szCs w:val="24"/>
      <w:u w:val="none"/>
    </w:rPr>
  </w:style>
  <w:style w:type="character" w:customStyle="1" w:styleId="319">
    <w:name w:val="font61"/>
    <w:autoRedefine/>
    <w:qFormat/>
    <w:uiPriority w:val="0"/>
    <w:rPr>
      <w:rFonts w:hint="default" w:ascii="Arial" w:hAnsi="Arial" w:cs="Arial"/>
      <w:color w:val="000000"/>
      <w:sz w:val="22"/>
      <w:szCs w:val="22"/>
      <w:u w:val="none"/>
    </w:rPr>
  </w:style>
  <w:style w:type="character" w:customStyle="1" w:styleId="320">
    <w:name w:val="font101"/>
    <w:autoRedefine/>
    <w:qFormat/>
    <w:uiPriority w:val="0"/>
    <w:rPr>
      <w:rFonts w:hint="default" w:ascii="Times New Roman" w:hAnsi="Times New Roman" w:cs="Times New Roman"/>
      <w:b/>
      <w:bCs/>
      <w:color w:val="000000"/>
      <w:sz w:val="20"/>
      <w:szCs w:val="20"/>
      <w:u w:val="none"/>
    </w:rPr>
  </w:style>
  <w:style w:type="table" w:customStyle="1" w:styleId="321">
    <w:name w:val="Table Normal4"/>
    <w:autoRedefine/>
    <w:unhideWhenUsed/>
    <w:qFormat/>
    <w:uiPriority w:val="2"/>
    <w:pPr>
      <w:widowControl w:val="0"/>
      <w:autoSpaceDE w:val="0"/>
      <w:autoSpaceDN w:val="0"/>
    </w:pPr>
    <w:rPr>
      <w:rFonts w:ascii="等线" w:hAnsi="等线" w:eastAsia="等线"/>
      <w:sz w:val="22"/>
      <w:lang w:eastAsia="en-US"/>
    </w:rPr>
    <w:tblPr>
      <w:tblCellMar>
        <w:top w:w="0" w:type="dxa"/>
        <w:left w:w="0" w:type="dxa"/>
        <w:bottom w:w="0" w:type="dxa"/>
        <w:right w:w="0" w:type="dxa"/>
      </w:tblCellMar>
    </w:tblPr>
  </w:style>
  <w:style w:type="table" w:customStyle="1" w:styleId="322">
    <w:name w:val="网格型7"/>
    <w:basedOn w:val="31"/>
    <w:autoRedefine/>
    <w:qFormat/>
    <w:uiPriority w:val="0"/>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3">
    <w:name w:val="样式12"/>
    <w:basedOn w:val="31"/>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24">
    <w:name w:val="标准表格2"/>
    <w:basedOn w:val="31"/>
    <w:autoRedefine/>
    <w:qFormat/>
    <w:uiPriority w:val="99"/>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0" w:beforeLines="0" w:beforeAutospacing="0" w:after="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table" w:customStyle="1" w:styleId="325">
    <w:name w:val="cauc-table1"/>
    <w:basedOn w:val="31"/>
    <w:autoRedefine/>
    <w:qFormat/>
    <w:uiPriority w:val="0"/>
    <w:pPr>
      <w:jc w:val="center"/>
    </w:pPr>
    <w:tblP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
    <w:tcPr>
      <w:vAlign w:val="center"/>
    </w:tcPr>
    <w:tblStylePr w:type="firstRow">
      <w:rPr>
        <w:b/>
        <w:i w:val="0"/>
      </w:rPr>
      <w:tcPr>
        <w:tcBorders>
          <w:top w:val="thinThickSmallGap" w:color="auto" w:sz="12" w:space="0"/>
          <w:left w:val="thinThickSmallGap" w:color="auto" w:sz="12" w:space="0"/>
          <w:bottom w:val="single" w:color="auto" w:sz="4" w:space="0"/>
          <w:right w:val="thickThinSmallGap" w:color="auto" w:sz="12" w:space="0"/>
          <w:insideH w:val="single" w:sz="6" w:space="0"/>
          <w:insideV w:val="single" w:sz="6" w:space="0"/>
          <w:tl2br w:val="nil"/>
          <w:tr2bl w:val="nil"/>
        </w:tcBorders>
        <w:shd w:val="clear" w:color="auto" w:fill="D9D9D9"/>
      </w:tcPr>
    </w:tblStylePr>
  </w:style>
  <w:style w:type="table" w:customStyle="1" w:styleId="326">
    <w:name w:val="网格型12"/>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7">
    <w:name w:val="网格型22"/>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8">
    <w:name w:val="网格型32"/>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9">
    <w:name w:val="网格型42"/>
    <w:basedOn w:val="3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0">
    <w:name w:val="灰度表格12211"/>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1">
    <w:name w:val="网格型51"/>
    <w:basedOn w:val="3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2">
    <w:name w:val="三所表格要求格式1"/>
    <w:basedOn w:val="33"/>
    <w:autoRedefine/>
    <w:qFormat/>
    <w:uiPriority w:val="0"/>
    <w:pPr>
      <w:jc w:val="center"/>
    </w:pPr>
    <w:rPr>
      <w:rFonts w:ascii="Times New Roman" w:hAnsi="Times New Roman" w:eastAsia="宋体"/>
    </w:rPr>
    <w:tblPr>
      <w:tblBorders>
        <w:top w:val="single" w:color="auto" w:sz="12" w:space="0"/>
        <w:bottom w:val="single" w:color="auto" w:sz="12" w:space="0"/>
        <w:insideH w:val="dotted" w:color="auto" w:sz="8" w:space="0"/>
        <w:insideV w:val="dotted" w:color="auto" w:sz="8" w:space="0"/>
      </w:tblBorders>
    </w:tblPr>
    <w:tcPr>
      <w:vAlign w:val="center"/>
    </w:tc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333">
    <w:name w:val="表格主题1"/>
    <w:basedOn w:val="31"/>
    <w:autoRedefine/>
    <w:semiHidden/>
    <w:unhideWhenUsed/>
    <w:qFormat/>
    <w:uiPriority w:val="99"/>
    <w:pPr>
      <w:widowControl w:val="0"/>
      <w:jc w:val="both"/>
    </w:pPr>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4">
    <w:name w:val="网格型61"/>
    <w:basedOn w:val="3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5">
    <w:name w:val="网格型71"/>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6">
    <w:name w:val="样式111"/>
    <w:basedOn w:val="31"/>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37">
    <w:name w:val="Table Normal11"/>
    <w:autoRedefine/>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338">
    <w:name w:val="标准表格11"/>
    <w:basedOn w:val="31"/>
    <w:autoRedefine/>
    <w:qFormat/>
    <w:uiPriority w:val="99"/>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0" w:beforeLines="0" w:beforeAutospacing="0" w:after="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table" w:customStyle="1" w:styleId="339">
    <w:name w:val="网格型（pxg）1"/>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40">
    <w:name w:val="Head 1wsa Char"/>
    <w:autoRedefine/>
    <w:qFormat/>
    <w:locked/>
    <w:uiPriority w:val="0"/>
    <w:rPr>
      <w:rFonts w:eastAsia="黑体"/>
      <w:bCs/>
      <w:kern w:val="44"/>
      <w:sz w:val="24"/>
      <w:szCs w:val="44"/>
    </w:rPr>
  </w:style>
  <w:style w:type="table" w:customStyle="1" w:styleId="341">
    <w:name w:val="Table Normal21"/>
    <w:autoRedefine/>
    <w:semiHidden/>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342">
    <w:name w:val="网格型8"/>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3">
    <w:name w:val="样式13"/>
    <w:basedOn w:val="31"/>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44">
    <w:name w:val="Table Normal31"/>
    <w:autoRedefine/>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345">
    <w:name w:val="网格型9"/>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6">
    <w:name w:val="样式14"/>
    <w:basedOn w:val="31"/>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47">
    <w:name w:val="Table Normal41"/>
    <w:autoRedefine/>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348">
    <w:name w:val="标准表格3"/>
    <w:basedOn w:val="31"/>
    <w:autoRedefine/>
    <w:qFormat/>
    <w:uiPriority w:val="99"/>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0" w:beforeLines="0" w:beforeAutospacing="0" w:after="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paragraph" w:customStyle="1" w:styleId="349">
    <w:name w:val="List Paragraph1"/>
    <w:basedOn w:val="1"/>
    <w:autoRedefine/>
    <w:qFormat/>
    <w:uiPriority w:val="0"/>
    <w:pPr>
      <w:ind w:firstLine="420"/>
    </w:pPr>
    <w:rPr>
      <w:rFonts w:ascii="Calibri" w:hAnsi="Calibri"/>
    </w:rPr>
  </w:style>
  <w:style w:type="paragraph" w:customStyle="1" w:styleId="350">
    <w:name w:val="D1磅"/>
    <w:basedOn w:val="1"/>
    <w:autoRedefine/>
    <w:qFormat/>
    <w:uiPriority w:val="0"/>
    <w:pPr>
      <w:spacing w:before="20" w:after="20"/>
      <w:jc w:val="center"/>
    </w:pPr>
    <w:rPr>
      <w:szCs w:val="21"/>
    </w:rPr>
  </w:style>
  <w:style w:type="paragraph" w:customStyle="1" w:styleId="351">
    <w:name w:val="xl9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352">
    <w:name w:val="xl9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353">
    <w:name w:val="xl9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354">
    <w:name w:val="四级条标题"/>
    <w:basedOn w:val="355"/>
    <w:next w:val="359"/>
    <w:autoRedefine/>
    <w:qFormat/>
    <w:uiPriority w:val="0"/>
    <w:pPr>
      <w:tabs>
        <w:tab w:val="left" w:pos="1260"/>
      </w:tabs>
      <w:spacing w:before="50" w:beforeLines="50" w:after="50" w:afterLines="50"/>
      <w:outlineLvl w:val="5"/>
    </w:pPr>
    <w:rPr>
      <w:szCs w:val="21"/>
    </w:rPr>
  </w:style>
  <w:style w:type="paragraph" w:customStyle="1" w:styleId="355">
    <w:name w:val="三级条标题"/>
    <w:basedOn w:val="356"/>
    <w:next w:val="359"/>
    <w:autoRedefine/>
    <w:qFormat/>
    <w:uiPriority w:val="0"/>
    <w:pPr>
      <w:numPr>
        <w:ilvl w:val="0"/>
        <w:numId w:val="0"/>
      </w:numPr>
      <w:tabs>
        <w:tab w:val="left" w:pos="1260"/>
      </w:tabs>
      <w:outlineLvl w:val="4"/>
    </w:pPr>
  </w:style>
  <w:style w:type="paragraph" w:customStyle="1" w:styleId="356">
    <w:name w:val="二级条标题"/>
    <w:basedOn w:val="357"/>
    <w:next w:val="359"/>
    <w:autoRedefine/>
    <w:qFormat/>
    <w:uiPriority w:val="0"/>
    <w:pPr>
      <w:numPr>
        <w:ilvl w:val="3"/>
      </w:numPr>
      <w:tabs>
        <w:tab w:val="left" w:pos="1260"/>
      </w:tabs>
      <w:outlineLvl w:val="3"/>
    </w:pPr>
  </w:style>
  <w:style w:type="paragraph" w:customStyle="1" w:styleId="357">
    <w:name w:val="一级条标题"/>
    <w:basedOn w:val="358"/>
    <w:next w:val="359"/>
    <w:autoRedefine/>
    <w:qFormat/>
    <w:uiPriority w:val="0"/>
    <w:pPr>
      <w:numPr>
        <w:ilvl w:val="2"/>
        <w:numId w:val="5"/>
      </w:numPr>
      <w:spacing w:before="0" w:beforeLines="0" w:after="0" w:afterLines="0"/>
      <w:outlineLvl w:val="2"/>
    </w:pPr>
  </w:style>
  <w:style w:type="paragraph" w:customStyle="1" w:styleId="358">
    <w:name w:val="章标题"/>
    <w:next w:val="359"/>
    <w:autoRedefine/>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59">
    <w:name w:val="段"/>
    <w:autoRedefine/>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360">
    <w:name w:val="正文文本首行缩进 字符2"/>
    <w:autoRedefine/>
    <w:semiHidden/>
    <w:qFormat/>
    <w:uiPriority w:val="99"/>
    <w:rPr>
      <w:rFonts w:ascii="宋体" w:hAnsi="宋体" w:cs="宋体"/>
      <w:kern w:val="2"/>
      <w:sz w:val="24"/>
      <w:szCs w:val="24"/>
    </w:rPr>
  </w:style>
  <w:style w:type="character" w:customStyle="1" w:styleId="361">
    <w:name w:val="正文文本首行缩进 2 字符2"/>
    <w:autoRedefine/>
    <w:semiHidden/>
    <w:qFormat/>
    <w:uiPriority w:val="99"/>
    <w:rPr>
      <w:rFonts w:ascii="宋体" w:hAnsi="宋体" w:cs="宋体"/>
      <w:sz w:val="24"/>
      <w:szCs w:val="24"/>
    </w:rPr>
  </w:style>
  <w:style w:type="character" w:customStyle="1" w:styleId="362">
    <w:name w:val="！正文 Char Char"/>
    <w:link w:val="363"/>
    <w:autoRedefine/>
    <w:qFormat/>
    <w:locked/>
    <w:uiPriority w:val="0"/>
    <w:rPr>
      <w:szCs w:val="28"/>
    </w:rPr>
  </w:style>
  <w:style w:type="paragraph" w:customStyle="1" w:styleId="363">
    <w:name w:val="！正文"/>
    <w:basedOn w:val="1"/>
    <w:link w:val="362"/>
    <w:autoRedefine/>
    <w:qFormat/>
    <w:uiPriority w:val="0"/>
    <w:pPr>
      <w:widowControl w:val="0"/>
      <w:ind w:firstLine="200"/>
    </w:pPr>
    <w:rPr>
      <w:rFonts w:asciiTheme="minorHAnsi" w:hAnsiTheme="minorHAnsi" w:eastAsiaTheme="minorEastAsia" w:cstheme="minorBidi"/>
      <w:kern w:val="2"/>
      <w:sz w:val="21"/>
      <w:szCs w:val="28"/>
    </w:rPr>
  </w:style>
  <w:style w:type="table" w:customStyle="1" w:styleId="364">
    <w:name w:val="网格型10"/>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5">
    <w:name w:val="Table Normal5"/>
    <w:autoRedefine/>
    <w:semiHidden/>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366">
    <w:name w:val="Table Normal6"/>
    <w:autoRedefine/>
    <w:semiHidden/>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367">
    <w:name w:val="Table Normal7"/>
    <w:autoRedefine/>
    <w:semiHidden/>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368">
    <w:name w:val="Table Normal8"/>
    <w:autoRedefine/>
    <w:semiHidden/>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369">
    <w:name w:val="Table Normal9"/>
    <w:autoRedefine/>
    <w:semiHidden/>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370">
    <w:name w:val="Table Normal10"/>
    <w:autoRedefine/>
    <w:semiHidden/>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character" w:customStyle="1" w:styleId="371">
    <w:name w:val="未处理的提及1"/>
    <w:autoRedefine/>
    <w:semiHidden/>
    <w:unhideWhenUsed/>
    <w:qFormat/>
    <w:uiPriority w:val="99"/>
    <w:rPr>
      <w:color w:val="605E5C"/>
      <w:shd w:val="clear" w:color="auto" w:fill="E1DFDD"/>
    </w:rPr>
  </w:style>
  <w:style w:type="character" w:customStyle="1" w:styleId="372">
    <w:name w:val="Body text + Bookman Old Style"/>
    <w:autoRedefine/>
    <w:qFormat/>
    <w:uiPriority w:val="0"/>
    <w:rPr>
      <w:rFonts w:ascii="Bookman Old Style" w:hAnsi="Bookman Old Style" w:eastAsia="Bookman Old Style" w:cs="Bookman Old Style"/>
      <w:b/>
      <w:bCs/>
      <w:color w:val="000000"/>
      <w:spacing w:val="0"/>
      <w:w w:val="100"/>
      <w:position w:val="0"/>
      <w:sz w:val="8"/>
      <w:szCs w:val="8"/>
      <w:u w:val="none"/>
      <w:shd w:val="clear" w:color="auto" w:fill="FFFFFF"/>
    </w:rPr>
  </w:style>
  <w:style w:type="character" w:customStyle="1" w:styleId="373">
    <w:name w:val="Body text + 5.5 pt"/>
    <w:autoRedefine/>
    <w:qFormat/>
    <w:uiPriority w:val="0"/>
    <w:rPr>
      <w:rFonts w:ascii="MingLiU" w:hAnsi="MingLiU" w:eastAsia="MingLiU" w:cs="MingLiU"/>
      <w:color w:val="000000"/>
      <w:spacing w:val="0"/>
      <w:w w:val="100"/>
      <w:position w:val="0"/>
      <w:sz w:val="11"/>
      <w:szCs w:val="11"/>
      <w:u w:val="none"/>
      <w:shd w:val="clear" w:color="auto" w:fill="FFFFFF"/>
    </w:rPr>
  </w:style>
  <w:style w:type="character" w:customStyle="1" w:styleId="374">
    <w:name w:val="普通(网站) 字符"/>
    <w:link w:val="25"/>
    <w:autoRedefine/>
    <w:qFormat/>
    <w:locked/>
    <w:uiPriority w:val="0"/>
    <w:rPr>
      <w:rFonts w:ascii="宋体" w:hAnsi="宋体" w:eastAsia="宋体" w:cs="宋体"/>
      <w:kern w:val="0"/>
      <w:sz w:val="24"/>
      <w:szCs w:val="24"/>
    </w:rPr>
  </w:style>
  <w:style w:type="paragraph" w:customStyle="1" w:styleId="375">
    <w:name w:val="修订2"/>
    <w:autoRedefine/>
    <w:hidden/>
    <w:unhideWhenUsed/>
    <w:qFormat/>
    <w:uiPriority w:val="99"/>
    <w:rPr>
      <w:rFonts w:ascii="宋体" w:hAnsi="宋体" w:eastAsia="宋体" w:cs="宋体"/>
      <w:sz w:val="24"/>
      <w:szCs w:val="24"/>
      <w:lang w:val="en-US" w:eastAsia="zh-CN" w:bidi="ar-SA"/>
    </w:rPr>
  </w:style>
  <w:style w:type="paragraph" w:customStyle="1" w:styleId="376">
    <w:name w:val="00表头"/>
    <w:basedOn w:val="377"/>
    <w:autoRedefine/>
    <w:qFormat/>
    <w:uiPriority w:val="0"/>
    <w:pPr>
      <w:spacing w:line="240" w:lineRule="auto"/>
      <w:ind w:firstLine="0" w:firstLineChars="0"/>
      <w:jc w:val="center"/>
    </w:pPr>
    <w:rPr>
      <w:b/>
    </w:rPr>
  </w:style>
  <w:style w:type="paragraph" w:customStyle="1" w:styleId="377">
    <w:name w:val="1正文段落"/>
    <w:basedOn w:val="1"/>
    <w:autoRedefine/>
    <w:qFormat/>
    <w:uiPriority w:val="0"/>
    <w:pPr>
      <w:ind w:firstLine="480"/>
      <w:jc w:val="left"/>
    </w:pPr>
    <w:rPr>
      <w:snapToGrid w:val="0"/>
    </w:rPr>
  </w:style>
  <w:style w:type="paragraph" w:customStyle="1" w:styleId="378">
    <w:name w:val="表字体"/>
    <w:autoRedefine/>
    <w:qFormat/>
    <w:uiPriority w:val="0"/>
    <w:pPr>
      <w:jc w:val="center"/>
    </w:pPr>
    <w:rPr>
      <w:rFonts w:ascii="Times New Roman" w:hAnsi="Times New Roman" w:eastAsia="宋体" w:cs="Times New Roman"/>
      <w:sz w:val="21"/>
      <w:lang w:val="en-US" w:eastAsia="zh-CN" w:bidi="ar-SA"/>
    </w:rPr>
  </w:style>
  <w:style w:type="paragraph" w:styleId="379">
    <w:name w:val="List Paragraph"/>
    <w:basedOn w:val="1"/>
    <w:autoRedefine/>
    <w:qFormat/>
    <w:uiPriority w:val="0"/>
    <w:pPr>
      <w:widowControl w:val="0"/>
      <w:numPr>
        <w:ilvl w:val="0"/>
        <w:numId w:val="6"/>
      </w:numPr>
      <w:tabs>
        <w:tab w:val="left" w:pos="1139"/>
      </w:tabs>
      <w:ind w:firstLineChars="0"/>
      <w:jc w:val="center"/>
    </w:pPr>
    <w:rPr>
      <w:kern w:val="2"/>
    </w:rPr>
  </w:style>
  <w:style w:type="paragraph" w:customStyle="1" w:styleId="380">
    <w:name w:val="表格填充1"/>
    <w:basedOn w:val="1"/>
    <w:autoRedefine/>
    <w:qFormat/>
    <w:uiPriority w:val="0"/>
    <w:pPr>
      <w:adjustRightInd w:val="0"/>
      <w:snapToGrid w:val="0"/>
      <w:spacing w:line="330" w:lineRule="exact"/>
    </w:pPr>
    <w:rPr>
      <w:szCs w:val="21"/>
    </w:rPr>
  </w:style>
  <w:style w:type="paragraph" w:customStyle="1" w:styleId="381">
    <w:name w:val="样式 样式 首行缩进:  2 字符 + 首行缩进:  2 字符"/>
    <w:basedOn w:val="1"/>
    <w:next w:val="20"/>
    <w:autoRedefine/>
    <w:qFormat/>
    <w:uiPriority w:val="0"/>
    <w:pPr>
      <w:snapToGrid w:val="0"/>
      <w:ind w:firstLine="560"/>
    </w:pPr>
    <w:rPr>
      <w:sz w:val="28"/>
    </w:rPr>
  </w:style>
  <w:style w:type="paragraph" w:customStyle="1" w:styleId="382">
    <w:name w:val="样式35"/>
    <w:basedOn w:val="1"/>
    <w:autoRedefine/>
    <w:qFormat/>
    <w:uiPriority w:val="0"/>
    <w:pPr>
      <w:adjustRightInd w:val="0"/>
      <w:spacing w:line="312" w:lineRule="auto"/>
      <w:ind w:firstLine="567"/>
    </w:pPr>
    <w:rPr>
      <w:rFonts w:ascii="宋体"/>
      <w:sz w:val="28"/>
      <w:szCs w:val="20"/>
    </w:rPr>
  </w:style>
  <w:style w:type="paragraph" w:customStyle="1" w:styleId="383">
    <w:name w:val="修订3"/>
    <w:autoRedefine/>
    <w:hidden/>
    <w:unhideWhenUsed/>
    <w:qFormat/>
    <w:uiPriority w:val="99"/>
    <w:rPr>
      <w:rFonts w:ascii="Times New Roman" w:hAnsi="Times New Roman" w:eastAsia="宋体" w:cs="Times New Roman"/>
      <w:sz w:val="24"/>
      <w:szCs w:val="24"/>
      <w:lang w:val="en-US" w:eastAsia="zh-CN" w:bidi="ar-SA"/>
    </w:rPr>
  </w:style>
  <w:style w:type="paragraph" w:customStyle="1" w:styleId="384">
    <w:name w:val="正文（用）"/>
    <w:basedOn w:val="1"/>
    <w:autoRedefine/>
    <w:qFormat/>
    <w:uiPriority w:val="0"/>
    <w:pPr>
      <w:ind w:firstLine="480"/>
      <w:jc w:val="left"/>
    </w:pPr>
    <w:rPr>
      <w:rFonts w:ascii="宋体" w:hAnsi="宋体" w:cs="宋体"/>
    </w:rPr>
  </w:style>
  <w:style w:type="paragraph" w:customStyle="1" w:styleId="385">
    <w:name w:val="表格报告书"/>
    <w:next w:val="386"/>
    <w:autoRedefine/>
    <w:qFormat/>
    <w:uiPriority w:val="0"/>
    <w:pPr>
      <w:spacing w:before="20"/>
      <w:jc w:val="center"/>
    </w:pPr>
    <w:rPr>
      <w:rFonts w:ascii="Times New Roman" w:hAnsi="Times New Roman" w:eastAsia="宋体" w:cs="Times New Roman"/>
      <w:kern w:val="2"/>
      <w:sz w:val="21"/>
      <w:szCs w:val="24"/>
      <w:lang w:val="en-US" w:eastAsia="zh-CN" w:bidi="ar-SA"/>
    </w:rPr>
  </w:style>
  <w:style w:type="paragraph" w:customStyle="1" w:styleId="386">
    <w:name w:val="正文报告书"/>
    <w:next w:val="1"/>
    <w:autoRedefine/>
    <w:qFormat/>
    <w:uiPriority w:val="0"/>
    <w:pPr>
      <w:spacing w:before="20" w:line="360" w:lineRule="auto"/>
      <w:ind w:firstLine="643" w:firstLineChars="200"/>
    </w:pPr>
    <w:rPr>
      <w:rFonts w:ascii="Times New Roman" w:hAnsi="Times New Roman" w:eastAsia="宋体" w:cs="Times New Roman"/>
      <w:kern w:val="2"/>
      <w:sz w:val="24"/>
      <w:szCs w:val="24"/>
      <w:lang w:val="en-US" w:eastAsia="zh-CN" w:bidi="ar-SA"/>
    </w:rPr>
  </w:style>
  <w:style w:type="paragraph" w:customStyle="1" w:styleId="387">
    <w:name w:val="修订4"/>
    <w:autoRedefine/>
    <w:hidden/>
    <w:unhideWhenUsed/>
    <w:qFormat/>
    <w:uiPriority w:val="99"/>
    <w:rPr>
      <w:rFonts w:ascii="Times New Roman" w:hAnsi="Times New Roman" w:eastAsia="宋体" w:cs="Times New Roman"/>
      <w:sz w:val="24"/>
      <w:szCs w:val="24"/>
      <w:lang w:val="en-US" w:eastAsia="zh-CN" w:bidi="ar-SA"/>
    </w:rPr>
  </w:style>
  <w:style w:type="paragraph" w:customStyle="1" w:styleId="388">
    <w:name w:val="修订5"/>
    <w:autoRedefine/>
    <w:hidden/>
    <w:unhideWhenUsed/>
    <w:qFormat/>
    <w:uiPriority w:val="99"/>
    <w:rPr>
      <w:rFonts w:ascii="Times New Roman" w:hAnsi="Times New Roman" w:eastAsia="宋体" w:cs="Times New Roman"/>
      <w:sz w:val="24"/>
      <w:szCs w:val="24"/>
      <w:lang w:val="en-US" w:eastAsia="zh-CN" w:bidi="ar-SA"/>
    </w:rPr>
  </w:style>
  <w:style w:type="paragraph" w:customStyle="1" w:styleId="389">
    <w:name w:val="正文1"/>
    <w:basedOn w:val="1"/>
    <w:autoRedefine/>
    <w:qFormat/>
    <w:uiPriority w:val="0"/>
    <w:pPr>
      <w:spacing w:line="240" w:lineRule="auto"/>
      <w:ind w:firstLine="0" w:firstLineChars="0"/>
      <w:jc w:val="left"/>
    </w:pPr>
    <w:rPr>
      <w:rFonts w:ascii="仿宋_GB2312" w:hAnsi="仿宋_GB2312" w:cs="宋体"/>
      <w:kern w:val="2"/>
      <w:sz w:val="21"/>
      <w:szCs w:val="21"/>
    </w:rPr>
  </w:style>
  <w:style w:type="paragraph" w:customStyle="1" w:styleId="390">
    <w:name w:val="修订6"/>
    <w:autoRedefine/>
    <w:hidden/>
    <w:unhideWhenUsed/>
    <w:qFormat/>
    <w:uiPriority w:val="99"/>
    <w:rPr>
      <w:rFonts w:ascii="Times New Roman" w:hAnsi="Times New Roman" w:eastAsia="宋体" w:cs="Times New Roman"/>
      <w:sz w:val="24"/>
      <w:szCs w:val="24"/>
      <w:lang w:val="en-US" w:eastAsia="zh-CN" w:bidi="ar-SA"/>
    </w:rPr>
  </w:style>
  <w:style w:type="paragraph" w:customStyle="1" w:styleId="391">
    <w:name w:val="修订7"/>
    <w:autoRedefine/>
    <w:hidden/>
    <w:unhideWhenUsed/>
    <w:qFormat/>
    <w:uiPriority w:val="99"/>
    <w:rPr>
      <w:rFonts w:ascii="Times New Roman" w:hAnsi="Times New Roman" w:eastAsia="宋体" w:cs="Times New Roman"/>
      <w:sz w:val="24"/>
      <w:szCs w:val="24"/>
      <w:lang w:val="en-US" w:eastAsia="zh-CN" w:bidi="ar-SA"/>
    </w:rPr>
  </w:style>
  <w:style w:type="paragraph" w:customStyle="1" w:styleId="392">
    <w:name w:val="Table Text"/>
    <w:basedOn w:val="1"/>
    <w:autoRedefine/>
    <w:semiHidden/>
    <w:qFormat/>
    <w:uiPriority w:val="0"/>
    <w:rPr>
      <w:rFonts w:ascii="宋体" w:hAnsi="宋体" w:cs="宋体"/>
      <w:sz w:val="20"/>
      <w:szCs w:val="20"/>
      <w:lang w:eastAsia="en-US"/>
    </w:rPr>
  </w:style>
  <w:style w:type="paragraph" w:customStyle="1" w:styleId="393">
    <w:name w:val="表中表格"/>
    <w:basedOn w:val="1"/>
    <w:autoRedefine/>
    <w:qFormat/>
    <w:uiPriority w:val="0"/>
    <w:pPr>
      <w:jc w:val="center"/>
    </w:pPr>
    <w:rPr>
      <w:szCs w:val="21"/>
    </w:rPr>
  </w:style>
  <w:style w:type="character" w:customStyle="1" w:styleId="394">
    <w:name w:val="正文 小四"/>
    <w:qFormat/>
    <w:uiPriority w:val="0"/>
    <w:rPr>
      <w:rFonts w:ascii="宋体" w:hAnsi="宋体"/>
      <w:sz w:val="21"/>
    </w:rPr>
  </w:style>
</w:styles>
</file>

<file path=word/_rels/document.xml.rels><?xml version="1.0" encoding="UTF-8" standalone="yes"?>
<Relationships xmlns="http://schemas.openxmlformats.org/package/2006/relationships"><Relationship Id="rId99" Type="http://schemas.openxmlformats.org/officeDocument/2006/relationships/image" Target="media/image77.png"/><Relationship Id="rId98" Type="http://schemas.openxmlformats.org/officeDocument/2006/relationships/image" Target="media/image76.png"/><Relationship Id="rId97" Type="http://schemas.openxmlformats.org/officeDocument/2006/relationships/image" Target="media/image75.png"/><Relationship Id="rId96" Type="http://schemas.openxmlformats.org/officeDocument/2006/relationships/image" Target="media/image74.png"/><Relationship Id="rId95" Type="http://schemas.openxmlformats.org/officeDocument/2006/relationships/image" Target="media/image73.png"/><Relationship Id="rId94" Type="http://schemas.openxmlformats.org/officeDocument/2006/relationships/image" Target="media/image72.png"/><Relationship Id="rId93" Type="http://schemas.openxmlformats.org/officeDocument/2006/relationships/image" Target="media/image71.png"/><Relationship Id="rId92" Type="http://schemas.openxmlformats.org/officeDocument/2006/relationships/image" Target="media/image70.png"/><Relationship Id="rId91" Type="http://schemas.openxmlformats.org/officeDocument/2006/relationships/image" Target="media/image69.png"/><Relationship Id="rId90" Type="http://schemas.openxmlformats.org/officeDocument/2006/relationships/image" Target="media/image68.png"/><Relationship Id="rId9" Type="http://schemas.openxmlformats.org/officeDocument/2006/relationships/footer" Target="footer2.xml"/><Relationship Id="rId89" Type="http://schemas.openxmlformats.org/officeDocument/2006/relationships/image" Target="media/image67.png"/><Relationship Id="rId88" Type="http://schemas.openxmlformats.org/officeDocument/2006/relationships/image" Target="media/image66.png"/><Relationship Id="rId87" Type="http://schemas.openxmlformats.org/officeDocument/2006/relationships/image" Target="media/image65.png"/><Relationship Id="rId86" Type="http://schemas.openxmlformats.org/officeDocument/2006/relationships/image" Target="media/image64.png"/><Relationship Id="rId85" Type="http://schemas.openxmlformats.org/officeDocument/2006/relationships/image" Target="media/image63.png"/><Relationship Id="rId84" Type="http://schemas.openxmlformats.org/officeDocument/2006/relationships/image" Target="media/image62.png"/><Relationship Id="rId83" Type="http://schemas.openxmlformats.org/officeDocument/2006/relationships/image" Target="media/image61.png"/><Relationship Id="rId82" Type="http://schemas.openxmlformats.org/officeDocument/2006/relationships/image" Target="media/image60.png"/><Relationship Id="rId81" Type="http://schemas.openxmlformats.org/officeDocument/2006/relationships/image" Target="media/image59.png"/><Relationship Id="rId80" Type="http://schemas.openxmlformats.org/officeDocument/2006/relationships/image" Target="media/image58.png"/><Relationship Id="rId8" Type="http://schemas.openxmlformats.org/officeDocument/2006/relationships/footer" Target="footer1.xml"/><Relationship Id="rId79" Type="http://schemas.openxmlformats.org/officeDocument/2006/relationships/image" Target="media/image57.png"/><Relationship Id="rId78" Type="http://schemas.openxmlformats.org/officeDocument/2006/relationships/image" Target="media/image56.png"/><Relationship Id="rId77" Type="http://schemas.openxmlformats.org/officeDocument/2006/relationships/image" Target="media/image55.png"/><Relationship Id="rId76" Type="http://schemas.openxmlformats.org/officeDocument/2006/relationships/image" Target="media/image54.png"/><Relationship Id="rId75" Type="http://schemas.openxmlformats.org/officeDocument/2006/relationships/image" Target="media/image53.png"/><Relationship Id="rId74" Type="http://schemas.openxmlformats.org/officeDocument/2006/relationships/image" Target="media/image52.png"/><Relationship Id="rId73" Type="http://schemas.openxmlformats.org/officeDocument/2006/relationships/image" Target="media/image51.png"/><Relationship Id="rId72" Type="http://schemas.openxmlformats.org/officeDocument/2006/relationships/image" Target="media/image50.png"/><Relationship Id="rId71" Type="http://schemas.openxmlformats.org/officeDocument/2006/relationships/image" Target="media/image49.png"/><Relationship Id="rId70" Type="http://schemas.openxmlformats.org/officeDocument/2006/relationships/image" Target="media/image48.png"/><Relationship Id="rId7" Type="http://schemas.openxmlformats.org/officeDocument/2006/relationships/header" Target="header3.xml"/><Relationship Id="rId69" Type="http://schemas.openxmlformats.org/officeDocument/2006/relationships/image" Target="media/image47.png"/><Relationship Id="rId68" Type="http://schemas.openxmlformats.org/officeDocument/2006/relationships/image" Target="media/image46.png"/><Relationship Id="rId67" Type="http://schemas.openxmlformats.org/officeDocument/2006/relationships/image" Target="media/image45.png"/><Relationship Id="rId66" Type="http://schemas.openxmlformats.org/officeDocument/2006/relationships/image" Target="media/image44.png"/><Relationship Id="rId65" Type="http://schemas.openxmlformats.org/officeDocument/2006/relationships/image" Target="media/image43.png"/><Relationship Id="rId64" Type="http://schemas.openxmlformats.org/officeDocument/2006/relationships/image" Target="media/image42.png"/><Relationship Id="rId63" Type="http://schemas.openxmlformats.org/officeDocument/2006/relationships/image" Target="media/image41.png"/><Relationship Id="rId62" Type="http://schemas.openxmlformats.org/officeDocument/2006/relationships/image" Target="media/image40.png"/><Relationship Id="rId61" Type="http://schemas.openxmlformats.org/officeDocument/2006/relationships/image" Target="media/image39.png"/><Relationship Id="rId60" Type="http://schemas.openxmlformats.org/officeDocument/2006/relationships/image" Target="media/image38.png"/><Relationship Id="rId6" Type="http://schemas.openxmlformats.org/officeDocument/2006/relationships/header" Target="header2.xml"/><Relationship Id="rId59" Type="http://schemas.openxmlformats.org/officeDocument/2006/relationships/image" Target="media/image37.png"/><Relationship Id="rId58" Type="http://schemas.openxmlformats.org/officeDocument/2006/relationships/image" Target="media/image36.png"/><Relationship Id="rId57" Type="http://schemas.openxmlformats.org/officeDocument/2006/relationships/image" Target="media/image35.png"/><Relationship Id="rId56" Type="http://schemas.openxmlformats.org/officeDocument/2006/relationships/image" Target="media/image34.png"/><Relationship Id="rId55" Type="http://schemas.openxmlformats.org/officeDocument/2006/relationships/image" Target="media/image33.png"/><Relationship Id="rId54" Type="http://schemas.openxmlformats.org/officeDocument/2006/relationships/image" Target="media/image32.png"/><Relationship Id="rId53" Type="http://schemas.openxmlformats.org/officeDocument/2006/relationships/image" Target="media/image31.png"/><Relationship Id="rId52" Type="http://schemas.openxmlformats.org/officeDocument/2006/relationships/image" Target="media/image30.png"/><Relationship Id="rId51" Type="http://schemas.openxmlformats.org/officeDocument/2006/relationships/image" Target="media/image29.png"/><Relationship Id="rId50" Type="http://schemas.openxmlformats.org/officeDocument/2006/relationships/image" Target="media/image28.png"/><Relationship Id="rId5" Type="http://schemas.openxmlformats.org/officeDocument/2006/relationships/header" Target="header1.xml"/><Relationship Id="rId49" Type="http://schemas.openxmlformats.org/officeDocument/2006/relationships/image" Target="media/image27.png"/><Relationship Id="rId48" Type="http://schemas.openxmlformats.org/officeDocument/2006/relationships/image" Target="media/image26.jpeg"/><Relationship Id="rId47" Type="http://schemas.openxmlformats.org/officeDocument/2006/relationships/image" Target="media/image25.jpeg"/><Relationship Id="rId46" Type="http://schemas.openxmlformats.org/officeDocument/2006/relationships/image" Target="media/image24.jpeg"/><Relationship Id="rId45" Type="http://schemas.openxmlformats.org/officeDocument/2006/relationships/image" Target="media/image23.jpeg"/><Relationship Id="rId44" Type="http://schemas.openxmlformats.org/officeDocument/2006/relationships/image" Target="media/image22.jpeg"/><Relationship Id="rId43" Type="http://schemas.openxmlformats.org/officeDocument/2006/relationships/image" Target="media/image21.jpeg"/><Relationship Id="rId42" Type="http://schemas.openxmlformats.org/officeDocument/2006/relationships/image" Target="media/image20.jpeg"/><Relationship Id="rId41" Type="http://schemas.openxmlformats.org/officeDocument/2006/relationships/image" Target="media/image19.jpeg"/><Relationship Id="rId40" Type="http://schemas.openxmlformats.org/officeDocument/2006/relationships/image" Target="media/image18.jpeg"/><Relationship Id="rId4" Type="http://schemas.openxmlformats.org/officeDocument/2006/relationships/endnotes" Target="endnotes.xml"/><Relationship Id="rId39" Type="http://schemas.openxmlformats.org/officeDocument/2006/relationships/image" Target="media/image17.png"/><Relationship Id="rId38" Type="http://schemas.openxmlformats.org/officeDocument/2006/relationships/image" Target="media/image16.png"/><Relationship Id="rId37" Type="http://schemas.openxmlformats.org/officeDocument/2006/relationships/image" Target="media/image15.png"/><Relationship Id="rId36" Type="http://schemas.openxmlformats.org/officeDocument/2006/relationships/image" Target="media/image14.png"/><Relationship Id="rId35" Type="http://schemas.openxmlformats.org/officeDocument/2006/relationships/image" Target="media/image13.png"/><Relationship Id="rId34" Type="http://schemas.openxmlformats.org/officeDocument/2006/relationships/image" Target="media/image12.png"/><Relationship Id="rId33" Type="http://schemas.openxmlformats.org/officeDocument/2006/relationships/image" Target="media/image11.emf"/><Relationship Id="rId32" Type="http://schemas.openxmlformats.org/officeDocument/2006/relationships/oleObject" Target="embeddings/oleObject2.bin"/><Relationship Id="rId31" Type="http://schemas.openxmlformats.org/officeDocument/2006/relationships/image" Target="media/image10.emf"/><Relationship Id="rId30" Type="http://schemas.openxmlformats.org/officeDocument/2006/relationships/oleObject" Target="embeddings/oleObject1.bin"/><Relationship Id="rId3" Type="http://schemas.openxmlformats.org/officeDocument/2006/relationships/footnotes" Target="footnotes.xml"/><Relationship Id="rId29" Type="http://schemas.openxmlformats.org/officeDocument/2006/relationships/image" Target="media/image9.png"/><Relationship Id="rId28" Type="http://schemas.openxmlformats.org/officeDocument/2006/relationships/image" Target="media/image8.png"/><Relationship Id="rId27" Type="http://schemas.openxmlformats.org/officeDocument/2006/relationships/image" Target="media/image7.png"/><Relationship Id="rId26" Type="http://schemas.openxmlformats.org/officeDocument/2006/relationships/image" Target="media/image6.png"/><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9" Type="http://schemas.openxmlformats.org/officeDocument/2006/relationships/fontTable" Target="fontTable.xml"/><Relationship Id="rId128" Type="http://schemas.openxmlformats.org/officeDocument/2006/relationships/customXml" Target="../customXml/item2.xml"/><Relationship Id="rId127" Type="http://schemas.openxmlformats.org/officeDocument/2006/relationships/numbering" Target="numbering.xml"/><Relationship Id="rId126" Type="http://schemas.openxmlformats.org/officeDocument/2006/relationships/customXml" Target="../customXml/item1.xml"/><Relationship Id="rId125" Type="http://schemas.openxmlformats.org/officeDocument/2006/relationships/image" Target="media/image103.jpeg"/><Relationship Id="rId124" Type="http://schemas.openxmlformats.org/officeDocument/2006/relationships/image" Target="media/image102.jpeg"/><Relationship Id="rId123" Type="http://schemas.openxmlformats.org/officeDocument/2006/relationships/image" Target="media/image101.jpeg"/><Relationship Id="rId122" Type="http://schemas.openxmlformats.org/officeDocument/2006/relationships/image" Target="media/image100.jpeg"/><Relationship Id="rId121" Type="http://schemas.openxmlformats.org/officeDocument/2006/relationships/image" Target="media/image99.jpeg"/><Relationship Id="rId120" Type="http://schemas.openxmlformats.org/officeDocument/2006/relationships/image" Target="media/image98.jpeg"/><Relationship Id="rId12" Type="http://schemas.openxmlformats.org/officeDocument/2006/relationships/footer" Target="footer4.xml"/><Relationship Id="rId119" Type="http://schemas.openxmlformats.org/officeDocument/2006/relationships/image" Target="media/image97.png"/><Relationship Id="rId118" Type="http://schemas.openxmlformats.org/officeDocument/2006/relationships/image" Target="media/image96.png"/><Relationship Id="rId117" Type="http://schemas.openxmlformats.org/officeDocument/2006/relationships/image" Target="media/image95.png"/><Relationship Id="rId116" Type="http://schemas.openxmlformats.org/officeDocument/2006/relationships/image" Target="media/image94.png"/><Relationship Id="rId115" Type="http://schemas.openxmlformats.org/officeDocument/2006/relationships/image" Target="media/image93.png"/><Relationship Id="rId114" Type="http://schemas.openxmlformats.org/officeDocument/2006/relationships/image" Target="media/image92.png"/><Relationship Id="rId113" Type="http://schemas.openxmlformats.org/officeDocument/2006/relationships/image" Target="media/image91.png"/><Relationship Id="rId112" Type="http://schemas.openxmlformats.org/officeDocument/2006/relationships/image" Target="media/image90.png"/><Relationship Id="rId111" Type="http://schemas.openxmlformats.org/officeDocument/2006/relationships/image" Target="media/image89.emf"/><Relationship Id="rId110" Type="http://schemas.openxmlformats.org/officeDocument/2006/relationships/image" Target="media/image88.png"/><Relationship Id="rId11" Type="http://schemas.openxmlformats.org/officeDocument/2006/relationships/header" Target="header4.xml"/><Relationship Id="rId109" Type="http://schemas.openxmlformats.org/officeDocument/2006/relationships/image" Target="media/image87.png"/><Relationship Id="rId108" Type="http://schemas.openxmlformats.org/officeDocument/2006/relationships/image" Target="media/image86.png"/><Relationship Id="rId107" Type="http://schemas.openxmlformats.org/officeDocument/2006/relationships/image" Target="media/image85.png"/><Relationship Id="rId106" Type="http://schemas.openxmlformats.org/officeDocument/2006/relationships/image" Target="media/image84.png"/><Relationship Id="rId105" Type="http://schemas.openxmlformats.org/officeDocument/2006/relationships/image" Target="media/image83.png"/><Relationship Id="rId104" Type="http://schemas.openxmlformats.org/officeDocument/2006/relationships/image" Target="media/image82.png"/><Relationship Id="rId103" Type="http://schemas.openxmlformats.org/officeDocument/2006/relationships/image" Target="media/image81.png"/><Relationship Id="rId102" Type="http://schemas.openxmlformats.org/officeDocument/2006/relationships/image" Target="media/image80.png"/><Relationship Id="rId101" Type="http://schemas.openxmlformats.org/officeDocument/2006/relationships/image" Target="media/image79.png"/><Relationship Id="rId100" Type="http://schemas.openxmlformats.org/officeDocument/2006/relationships/image" Target="media/image78.png"/><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e90f7bd5-be33-4d4f-a1a2-ec3af135213b</errorID>
      <errorWord>2026年07月</errorWord>
      <group>L1_Knowledge</group>
      <groupName>知识性问题</groupName>
      <ability>L2_Time</ability>
      <abilityName>日期时间</abilityName>
      <candidateList>
        <item>2026年7月</item>
      </candidateList>
      <explain>根据日常书写习惯，月份一般会省略前导零。</explain>
      <paraID>4C3F0C6A</paraID>
      <start>17</start>
      <end>24</end>
      <status>modified</status>
      <modifiedWord>2026年7月</modifiedWord>
      <trackRevisions>false</trackRevisions>
    </reviewItem>
    <reviewItem>
      <errorID>551e4766-3b1e-45fd-90ef-dead6ca65700</errorID>
      <errorWord>资源节约综合利用</errorWord>
      <group>L1_Political</group>
      <groupName>政治性问题</groupName>
      <ability>L2_Keyword</ability>
      <abilityName>固定表述</abilityName>
      <candidateList>
        <item>资源节约集约利用</item>
      </candidateList>
      <explain>词汇“资源节约集约利用”在特定场景下为固定表述形式，请确认此处的“资源节约综合利用”是否存在不当。</explain>
      <paraID> 4E627B8</paraID>
      <start>57</start>
      <end>65</end>
      <status>ignored</status>
      <modifiedWord/>
      <trackRevisions>false</trackRevisions>
    </reviewItem>
    <reviewItem>
      <errorID>23cccfcd-7b16-4cd5-907d-425edddde10c</errorID>
      <errorWord>城市化建设</errorWord>
      <group>L1_Political</group>
      <groupName>政治性问题</groupName>
      <ability>L2_Keyword</ability>
      <abilityName>固定表述</abilityName>
      <candidateList>
        <item>城镇化建设</item>
      </candidateList>
      <explain>词汇“城镇化建设”在特定场景下为固定表述形式，请确认此处的“城市化建设”是否存在不当。</explain>
      <paraID> 886A62D</paraID>
      <start>60</start>
      <end>65</end>
      <status>ignored</status>
      <modifiedWord/>
      <trackRevisions>false</trackRevisions>
    </reviewItem>
    <reviewItem>
      <errorID>d8b2427d-4b30-447d-aae8-acc6f107a45a</errorID>
      <errorWord>环境治理设施建设</errorWord>
      <group>L1_Political</group>
      <groupName>政治性问题</groupName>
      <ability>L2_Keyword</ability>
      <abilityName>固定表述</abilityName>
      <candidateList>
        <item>环境基础设施建设</item>
      </candidateList>
      <explain>词汇“环境基础设施建设”在特定场景下为固定表述形式，请确认此处的“环境治理设施建设”是否存在不当。</explain>
      <paraID>4C83A507</paraID>
      <start>13</start>
      <end>21</end>
      <status>ignored</status>
      <modifiedWord/>
      <trackRevisions>false</trackRevisions>
    </reviewItem>
    <reviewItem>
      <errorID>e3978979-5bc9-434d-8c7b-ee8d89ed87b1</errorID>
      <errorWord>生态红线</errorWord>
      <group>L1_Political</group>
      <groupName>政治性问题</groupName>
      <ability>L2_Unpolitical</ability>
      <abilityName>政治敏感错误</abilityName>
      <candidateList>
        <item>生态保护红线</item>
      </candidateList>
      <explain/>
      <paraID>1F074E75</paraID>
      <start>25</start>
      <end>29</end>
      <status>ignored</status>
      <modifiedWord/>
      <trackRevisions>false</trackRevisions>
    </reviewItem>
    <reviewItem>
      <errorID>8ec6e3a4-6e94-47d5-af81-13be3277df89</errorID>
      <errorWord>:</errorWord>
      <group>L1_Format</group>
      <groupName>格式问题</groupName>
      <ability>L2_HalfPunc_CN</ability>
      <abilityName>全半角问题</abilityName>
      <candidateList>
        <item>：</item>
      </candidateList>
      <explain>文本全半角错误。</explain>
      <paraID>47AFDA4B</paraID>
      <start>11</start>
      <end>12</end>
      <status>modified</status>
      <modifiedWord>：</modifiedWord>
      <trackRevisions>false</trackRevisions>
    </reviewItem>
    <reviewItem>
      <errorID>5695c301-5932-46fd-90f3-3c4c62c33f17</errorID>
      <errorWord>:</errorWord>
      <group>L1_Format</group>
      <groupName>格式问题</groupName>
      <ability>L2_HalfPunc_CN</ability>
      <abilityName>全半角问题</abilityName>
      <candidateList>
        <item>：</item>
      </candidateList>
      <explain>文本全半角错误。</explain>
      <paraID>73B4D3D6</paraID>
      <start>66</start>
      <end>67</end>
      <status>modified</status>
      <modifiedWord>：</modifiedWord>
      <trackRevisions>false</trackRevisions>
    </reviewItem>
    <reviewItem>
      <errorID>cf3d9501-f285-4d74-8aeb-fdfd7e90170d</errorID>
      <errorWord>行动计址</errorWord>
      <group>L1_Word</group>
      <groupName>字词问题</groupName>
      <ability>L2_Typo</ability>
      <abilityName>字词错误</abilityName>
      <candidateList>
        <item>行动计划</item>
      </candidateList>
      <explain/>
      <paraID>23C70096</paraID>
      <start>26</start>
      <end>30</end>
      <status>modified</status>
      <modifiedWord>行动计划</modifiedWord>
      <trackRevisions>false</trackRevisions>
    </reviewItem>
    <reviewItem>
      <errorID>6adb0be4-2ff7-4bbf-b893-74d3ed0d06d1</errorID>
      <errorWord>类污</errorWord>
      <group>L1_Word</group>
      <groupName>字词问题</groupName>
      <ability>L2_Typo</ability>
      <abilityName>字词错误</abilityName>
      <candidateList>
        <item>粪污</item>
      </candidateList>
      <explain/>
      <paraID>23C70096</paraID>
      <start>52</start>
      <end>54</end>
      <status>modified</status>
      <modifiedWord>粪污</modifiedWord>
      <trackRevisions>false</trackRevisions>
    </reviewItem>
    <reviewItem>
      <errorID>3ab0cbec-c240-4b2f-945f-996ccb417be3</errorID>
      <errorWord>坐</errorWord>
      <group>L1_Word</group>
      <groupName>字词问题</groupName>
      <ability>L2_Typo</ability>
      <abilityName>字词错误</abilityName>
      <candidateList>
        <item>尘</item>
      </candidateList>
      <explain/>
      <paraID>18F883B5</paraID>
      <start>61</start>
      <end>62</end>
      <status>modified</status>
      <modifiedWord>尘</modifiedWord>
      <trackRevisions>false</trackRevisions>
    </reviewItem>
    <reviewItem>
      <errorID>6bd09442-8362-41d0-843c-7a120761a003</errorID>
      <errorWord>生态红线</errorWord>
      <group>L1_Political</group>
      <groupName>政治性问题</groupName>
      <ability>L2_Unpolitical</ability>
      <abilityName>政治敏感错误</abilityName>
      <candidateList>
        <item>生态保护红线</item>
      </candidateList>
      <explain/>
      <paraID>256367E8</paraID>
      <start>25</start>
      <end>31</end>
      <status>modified</status>
      <modifiedWord>生态保护红线</modifiedWord>
      <trackRevisions>false</trackRevisions>
    </reviewItem>
    <reviewItem>
      <errorID>57522b6a-b70c-4e83-b230-8c38a41553ea</errorID>
      <errorWord>资源节约综合利用</errorWord>
      <group>L1_Political</group>
      <groupName>政治性问题</groupName>
      <ability>L2_Keyword</ability>
      <abilityName>固定表述</abilityName>
      <candidateList>
        <item>资源节约集约利用</item>
      </candidateList>
      <explain>词汇“资源节约集约利用”在特定场景下为固定表述形式，请确认此处的“资源节约综合利用”是否存在不当。</explain>
      <paraID>22F42A7C</paraID>
      <start>36</start>
      <end>44</end>
      <status>ignored</status>
      <modifiedWord/>
      <trackRevisions>false</trackRevisions>
    </reviewItem>
    <reviewItem>
      <errorID>66fb5637-703e-4777-add5-3ef998bbbb5a</errorID>
      <errorWord>（</errorWord>
      <group>L1_Punc</group>
      <groupName>标点问题</groupName>
      <ability>L2_Punc_CN</ability>
      <abilityName>标点符号问题</abilityName>
      <candidateList/>
      <explain>同一形式括号套用。</explain>
      <paraID> A7EFB17</paraID>
      <start>48</start>
      <end>49</end>
      <status>ignored</status>
      <modifiedWord/>
      <trackRevisions>false</trackRevisions>
    </reviewItem>
    <reviewItem>
      <errorID>b85d60a2-83d7-4776-835f-587190150328</errorID>
      <errorWord>）</errorWord>
      <group>L1_Punc</group>
      <groupName>标点问题</groupName>
      <ability>L2_Punc_CN</ability>
      <abilityName>标点符号问题</abilityName>
      <candidateList/>
      <explain>同一形式括号套用。</explain>
      <paraID> A7EFB17</paraID>
      <start>62</start>
      <end>63</end>
      <status>ignored</status>
      <modifiedWord/>
      <trackRevisions>false</trackRevisions>
    </reviewItem>
    <reviewItem>
      <errorID>2b0ec241-aa8e-4494-9077-f69c6d03145f</errorID>
      <errorWord>国家级重点生态功能区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词汇“国家重点生态功能区”在特定场景下为固定表述形式，请确认此处的“国家级重点生态功能区”是否存在不当。</explain>
      <paraID>17C5F188</paraID>
      <start>64</start>
      <end>74</end>
      <status>ignored</status>
      <modifiedWord/>
      <trackRevisions>false</trackRevisions>
    </reviewItem>
    <reviewItem>
      <errorID>b8312430-7f42-44fb-968d-d8c20b02e321</errorID>
      <errorWord>高标号</errorWord>
      <group>L1_Word</group>
      <groupName>字词问题</groupName>
      <ability>L2_Typo</ability>
      <abilityName>字词错误</abilityName>
      <candidateList>
        <item>高标</item>
      </candidateList>
      <explain/>
      <paraID>414FA2FC</paraID>
      <start>268</start>
      <end>271</end>
      <status>ignored</status>
      <modifiedWord/>
      <trackRevisions>false</trackRevisions>
    </reviewItem>
    <reviewItem>
      <errorID>f2297da0-98b9-44b2-92f1-f6888b6a16d9</errorID>
      <errorWord>II</errorWord>
      <group>L1_Knowledge</group>
      <groupName>知识性问题</groupName>
      <ability>L2_Knowledge</ability>
      <abilityName>其他知识</abilityName>
      <candidateList>
        <item>Ⅱ</item>
      </candidateList>
      <explain>中文环境下罗马数字格式错误。</explain>
      <paraID>414FA2FC</paraID>
      <start>491</start>
      <end>493</end>
      <status>ignored</status>
      <modifiedWord/>
      <trackRevisions>false</trackRevisions>
    </reviewItem>
    <reviewItem>
      <errorID>87e44148-67ff-4a89-b98f-e9a5847f429a</errorID>
      <errorWord>III级</errorWord>
      <group>L1_Knowledge</group>
      <groupName>知识性问题</groupName>
      <ability>L2_Knowledge</ability>
      <abilityName>其他知识</abilityName>
      <candidateList>
        <item>Ⅲ级</item>
      </candidateList>
      <explain>中文环境下罗马数字格式错误。</explain>
      <paraID>414FA2FC</paraID>
      <start>494</start>
      <end>498</end>
      <status>ignored</status>
      <modifiedWord/>
      <trackRevisions>false</trackRevisions>
    </reviewItem>
    <reviewItem>
      <errorID>b1020d21-a8e7-418c-ab53-59b741406579</errorID>
      <errorWord>II</errorWord>
      <group>L1_Knowledge</group>
      <groupName>知识性问题</groupName>
      <ability>L2_Knowledge</ability>
      <abilityName>其他知识</abilityName>
      <candidateList>
        <item>Ⅱ</item>
      </candidateList>
      <explain>中文环境下罗马数字格式错误。</explain>
      <paraID>6CFFD3E9</paraID>
      <start>65</start>
      <end>67</end>
      <status>ignored</status>
      <modifiedWord/>
      <trackRevisions>false</trackRevisions>
    </reviewItem>
    <reviewItem>
      <errorID>fd582787-4d87-4f25-80db-be4441303213</errorID>
      <errorWord>III级</errorWord>
      <group>L1_Knowledge</group>
      <groupName>知识性问题</groupName>
      <ability>L2_Knowledge</ability>
      <abilityName>其他知识</abilityName>
      <candidateList>
        <item>Ⅲ级</item>
      </candidateList>
      <explain>中文环境下罗马数字格式错误。</explain>
      <paraID>6CFFD3E9</paraID>
      <start>68</start>
      <end>72</end>
      <status>ignored</status>
      <modifiedWord/>
      <trackRevisions>false</trackRevisions>
    </reviewItem>
    <reviewItem>
      <errorID>040c1dd5-c559-4db4-a203-dd362eb8b50b</errorID>
      <errorWord>空器</errorWord>
      <group>L1_Word</group>
      <groupName>字词问题</groupName>
      <ability>L2_Typo</ability>
      <abilityName>字词错误</abilityName>
      <candidateList>
        <item>空气</item>
      </candidateList>
      <explain/>
      <paraID>430B277B</paraID>
      <start>35</start>
      <end>37</end>
      <status>ignored</status>
      <modifiedWord/>
      <trackRevisions>false</trackRevisions>
    </reviewItem>
    <reviewItem>
      <errorID>9f70571a-c678-4db0-bb68-d7ac312dfe28</errorID>
      <errorWord>布</errorWord>
      <group>L1_Word</group>
      <groupName>字词问题</groupName>
      <ability>L2_Typo</ability>
      <abilityName>字词错误</abilityName>
      <candidateList>
        <item>布式</item>
      </candidateList>
      <explain/>
      <paraID>1417211A</paraID>
      <start>15</start>
      <end>16</end>
      <status>ignored</status>
      <modifiedWord/>
      <trackRevisions>false</trackRevisions>
    </reviewItem>
    <reviewItem>
      <errorID>a267353e-7cd4-4fff-a383-91c9da53fe0e</errorID>
      <errorWord>（</errorWord>
      <group>L1_Format</group>
      <groupName>格式问题</groupName>
      <ability>L2_HalfPunc_CN</ability>
      <abilityName>全半角问题</abilityName>
      <candidateList>
        <item>(</item>
      </candidateList>
      <explain>文本全半角错误。</explain>
      <paraID>7F33235D</paraID>
      <start>0</start>
      <end>1</end>
      <status>unmodified</status>
      <modifiedWord/>
      <trackRevisions>false</trackRevisions>
    </reviewItem>
    <reviewItem>
      <errorID>98676ad9-9a94-4ecf-a1d5-09f9e71e2703</errorID>
      <errorWord>）</errorWord>
      <group>L1_Format</group>
      <groupName>格式问题</groupName>
      <ability>L2_HalfPunc_CN</ability>
      <abilityName>全半角问题</abilityName>
      <candidateList>
        <item>)</item>
      </candidateList>
      <explain>文本全半角错误。</explain>
      <paraID>7F33235D</paraID>
      <start>6</start>
      <end>7</end>
      <status>unmodified</status>
      <modifiedWord/>
      <trackRevisions>false</trackRevisions>
    </reviewItem>
    <reviewItem>
      <errorID>0b2385c1-2257-41bf-b647-68b6f4021f08</errorID>
      <errorWord>（</errorWord>
      <group>L1_Format</group>
      <groupName>格式问题</groupName>
      <ability>L2_HalfPunc_CN</ability>
      <abilityName>全半角问题</abilityName>
      <candidateList>
        <item>(</item>
      </candidateList>
      <explain>文本全半角错误。</explain>
      <paraID>4D99C3FA</paraID>
      <start>0</start>
      <end>1</end>
      <status>unmodified</status>
      <modifiedWord/>
      <trackRevisions>false</trackRevisions>
    </reviewItem>
    <reviewItem>
      <errorID>3771bbf4-2271-4ef0-99bf-d10d02955891</errorID>
      <errorWord>）</errorWord>
      <group>L1_Format</group>
      <groupName>格式问题</groupName>
      <ability>L2_HalfPunc_CN</ability>
      <abilityName>全半角问题</abilityName>
      <candidateList>
        <item>)</item>
      </candidateList>
      <explain>文本全半角错误。</explain>
      <paraID>4D99C3FA</paraID>
      <start>6</start>
      <end>7</end>
      <status>unmodified</status>
      <modifiedWord/>
      <trackRevisions>false</trackRevisions>
    </reviewItem>
    <reviewItem>
      <errorID>0b02d213-6c62-4d3e-8985-08392e9f6542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6115DD8D</paraID>
      <start>0</start>
      <end>2</end>
      <status>unmodified</status>
      <modifiedWord/>
      <trackRevisions>false</trackRevisions>
    </reviewItem>
    <reviewItem>
      <errorID>19b0623f-94d6-481a-a034-281f560539e0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21C67DA9</paraID>
      <start>0</start>
      <end>2</end>
      <status>unmodified</status>
      <modifiedWord/>
      <trackRevisions>false</trackRevisions>
    </reviewItem>
    <reviewItem>
      <errorID>9f5d3b4e-4fc8-42c6-a882-fed66b4552c8</errorID>
      <errorWord>（</errorWord>
      <group>L1_Format</group>
      <groupName>格式问题</groupName>
      <ability>L2_HalfPunc_CN</ability>
      <abilityName>全半角问题</abilityName>
      <candidateList>
        <item>(</item>
      </candidateList>
      <explain>文本全半角错误。</explain>
      <paraID>3CB48A63</paraID>
      <start>0</start>
      <end>1</end>
      <status>unmodified</status>
      <modifiedWord/>
      <trackRevisions>false</trackRevisions>
    </reviewItem>
    <reviewItem>
      <errorID>1f4e7f9e-a431-412c-abbc-39ba4e9f7bff</errorID>
      <errorWord>）</errorWord>
      <group>L1_Format</group>
      <groupName>格式问题</groupName>
      <ability>L2_HalfPunc_CN</ability>
      <abilityName>全半角问题</abilityName>
      <candidateList>
        <item>)</item>
      </candidateList>
      <explain>文本全半角错误。</explain>
      <paraID>3CB48A63</paraID>
      <start>4</start>
      <end>5</end>
      <status>unmodified</status>
      <modifiedWord/>
      <trackRevisions>false</trackRevisions>
    </reviewItem>
    <reviewItem>
      <errorID>0eac8cc6-fe34-45be-b6d1-f6fd5b443204</errorID>
      <errorWord>（</errorWord>
      <group>L1_Format</group>
      <groupName>格式问题</groupName>
      <ability>L2_HalfPunc_CN</ability>
      <abilityName>全半角问题</abilityName>
      <candidateList>
        <item>(</item>
      </candidateList>
      <explain>文本全半角错误。</explain>
      <paraID>11E55835</paraID>
      <start>2</start>
      <end>3</end>
      <status>unmodified</status>
      <modifiedWord/>
      <trackRevisions>false</trackRevisions>
    </reviewItem>
    <reviewItem>
      <errorID>b207ec61-acc9-40ec-ae70-a93de0e1cabb</errorID>
      <errorWord>）</errorWord>
      <group>L1_Format</group>
      <groupName>格式问题</groupName>
      <ability>L2_HalfPunc_CN</ability>
      <abilityName>全半角问题</abilityName>
      <candidateList>
        <item>)</item>
      </candidateList>
      <explain>文本全半角错误。</explain>
      <paraID>11E55835</paraID>
      <start>6</start>
      <end>7</end>
      <status>unmodified</status>
      <modifiedWord/>
      <trackRevisions>false</trackRevisions>
    </reviewItem>
    <reviewItem>
      <errorID>c0162032-e256-4034-a106-48e2ff36488e</errorID>
      <errorWord>（</errorWord>
      <group>L1_Format</group>
      <groupName>格式问题</groupName>
      <ability>L2_HalfPunc_CN</ability>
      <abilityName>全半角问题</abilityName>
      <candidateList>
        <item>(</item>
      </candidateList>
      <explain>文本全半角错误。</explain>
      <paraID> 4131F0D</paraID>
      <start>4</start>
      <end>5</end>
      <status>unmodified</status>
      <modifiedWord/>
      <trackRevisions>false</trackRevisions>
    </reviewItem>
    <reviewItem>
      <errorID>e3411c84-17b1-4291-b4c2-6297ef1d44cb</errorID>
      <errorWord>）</errorWord>
      <group>L1_Format</group>
      <groupName>格式问题</groupName>
      <ability>L2_HalfPunc_CN</ability>
      <abilityName>全半角问题</abilityName>
      <candidateList>
        <item>)</item>
      </candidateList>
      <explain>文本全半角错误。</explain>
      <paraID> 4131F0D</paraID>
      <start>6</start>
      <end>7</end>
      <status>unmodified</status>
      <modifiedWord/>
      <trackRevisions>false</trackRevisions>
    </reviewItem>
    <reviewItem>
      <errorID>884d354a-47aa-401f-a2d4-238f1bab248f</errorID>
      <errorWord>（</errorWord>
      <group>L1_Format</group>
      <groupName>格式问题</groupName>
      <ability>L2_HalfPunc_CN</ability>
      <abilityName>全半角问题</abilityName>
      <candidateList>
        <item>(</item>
      </candidateList>
      <explain>文本全半角错误。</explain>
      <paraID>6C9AD903</paraID>
      <start>4</start>
      <end>5</end>
      <status>unmodified</status>
      <modifiedWord/>
      <trackRevisions>false</trackRevisions>
    </reviewItem>
    <reviewItem>
      <errorID>85839793-610a-4c2a-b125-6c8cf8f765c6</errorID>
      <errorWord>）</errorWord>
      <group>L1_Format</group>
      <groupName>格式问题</groupName>
      <ability>L2_HalfPunc_CN</ability>
      <abilityName>全半角问题</abilityName>
      <candidateList>
        <item>)</item>
      </candidateList>
      <explain>文本全半角错误。</explain>
      <paraID>6C9AD903</paraID>
      <start>6</start>
      <end>7</end>
      <status>unmodified</status>
      <modifiedWord/>
      <trackRevisions>false</trackRevisions>
    </reviewItem>
    <reviewItem>
      <errorID>d9defa9a-079a-4df6-a573-f215e437712c</errorID>
      <errorWord>（</errorWord>
      <group>L1_Format</group>
      <groupName>格式问题</groupName>
      <ability>L2_HalfPunc_CN</ability>
      <abilityName>全半角问题</abilityName>
      <candidateList>
        <item>(</item>
      </candidateList>
      <explain>文本全半角错误。</explain>
      <paraID>6B575269</paraID>
      <start>4</start>
      <end>5</end>
      <status>unmodified</status>
      <modifiedWord/>
      <trackRevisions>false</trackRevisions>
    </reviewItem>
    <reviewItem>
      <errorID>e26cf084-d710-4604-bc95-92a455ee2445</errorID>
      <errorWord>）</errorWord>
      <group>L1_Format</group>
      <groupName>格式问题</groupName>
      <ability>L2_HalfPunc_CN</ability>
      <abilityName>全半角问题</abilityName>
      <candidateList>
        <item>)</item>
      </candidateList>
      <explain>文本全半角错误。</explain>
      <paraID>6B575269</paraID>
      <start>6</start>
      <end>7</end>
      <status>unmodified</status>
      <modifiedWord/>
      <trackRevisions>false</trackRevisions>
    </reviewItem>
    <reviewItem>
      <errorID>bdbe1102-e841-47ee-aca7-38d78dc7128d</errorID>
      <errorWord>（</errorWord>
      <group>L1_Format</group>
      <groupName>格式问题</groupName>
      <ability>L2_HalfPunc_CN</ability>
      <abilityName>全半角问题</abilityName>
      <candidateList>
        <item>(</item>
      </candidateList>
      <explain>文本全半角错误。</explain>
      <paraID>100179D6</paraID>
      <start>4</start>
      <end>5</end>
      <status>unmodified</status>
      <modifiedWord/>
      <trackRevisions>false</trackRevisions>
    </reviewItem>
    <reviewItem>
      <errorID>1f94f044-f52c-46f4-853b-76031a0a879b</errorID>
      <errorWord>）</errorWord>
      <group>L1_Format</group>
      <groupName>格式问题</groupName>
      <ability>L2_HalfPunc_CN</ability>
      <abilityName>全半角问题</abilityName>
      <candidateList>
        <item>)</item>
      </candidateList>
      <explain>文本全半角错误。</explain>
      <paraID>100179D6</paraID>
      <start>6</start>
      <end>7</end>
      <status>unmodified</status>
      <modifiedWord/>
      <trackRevisions>false</trackRevisions>
    </reviewItem>
    <reviewItem>
      <errorID>c822e31f-6ee6-4a60-b54a-38f9d862ea2f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6214A5B2</paraID>
      <start>103</start>
      <end>104</end>
      <status>unmodified</status>
      <modifiedWord/>
      <trackRevisions>false</trackRevisions>
    </reviewItem>
    <reviewItem>
      <errorID>3ccf77d8-5dd3-4b9b-ae70-1e8623a3ef21</errorID>
      <errorWord>，则</errorWord>
      <group>L1_Word</group>
      <groupName>字词问题</groupName>
      <ability>L2_Typo</ability>
      <abilityName>字词错误</abilityName>
      <candidateList>
        <item>，</item>
      </candidateList>
      <explain/>
      <paraID>4358FB08</paraID>
      <start>93</start>
      <end>95</end>
      <status>unmodified</status>
      <modifiedWord/>
      <trackRevisions>false</trackRevisions>
    </reviewItem>
    <reviewItem>
      <errorID>0c82d8f1-3144-4676-bfa0-ae59b31e6a69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50C9F47F</paraID>
      <start>0</start>
      <end>2</end>
      <status>unmodified</status>
      <modifiedWord/>
      <trackRevisions>false</trackRevisions>
    </reviewItem>
    <reviewItem>
      <errorID>e02b296d-fee3-4e10-8ba8-a7ed599945b9</errorID>
      <errorWord>（</errorWord>
      <group>L1_Format</group>
      <groupName>格式问题</groupName>
      <ability>L2_HalfPunc_CN</ability>
      <abilityName>全半角问题</abilityName>
      <candidateList>
        <item>(</item>
      </candidateList>
      <explain>文本全半角错误。</explain>
      <paraID> EB6D772</paraID>
      <start>0</start>
      <end>1</end>
      <status>unmodified</status>
      <modifiedWord/>
      <trackRevisions>false</trackRevisions>
    </reviewItem>
    <reviewItem>
      <errorID>3169468b-7ac8-45dc-8219-0142c369ed87</errorID>
      <errorWord>）</errorWord>
      <group>L1_Format</group>
      <groupName>格式问题</groupName>
      <ability>L2_HalfPunc_CN</ability>
      <abilityName>全半角问题</abilityName>
      <candidateList>
        <item>)</item>
      </candidateList>
      <explain>文本全半角错误。</explain>
      <paraID> EB6D772</paraID>
      <start>6</start>
      <end>7</end>
      <status>unmodified</status>
      <modifiedWord/>
      <trackRevisions>false</trackRevisions>
    </reviewItem>
    <reviewItem>
      <errorID>875b4b67-4ecc-4a32-a8ca-ce96a66689dd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687E5550</paraID>
      <start>11</start>
      <end>12</end>
      <status>unmodified</status>
      <modifiedWord/>
      <trackRevisions>false</trackRevisions>
    </reviewItem>
    <reviewItem>
      <errorID>f6dc7f43-11d7-4689-abbf-68cbad337060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1D0BCDE9</paraID>
      <start>0</start>
      <end>2</end>
      <status>unmodified</status>
      <modifiedWord/>
      <trackRevisions>false</trackRevisions>
    </reviewItem>
    <reviewItem>
      <errorID>707848c4-07dc-4b0e-8c29-4a195901c3b6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736B14BD</paraID>
      <start>104</start>
      <end>105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68e782-65df-432e-aafd-20b3e319d155}">
  <ds:schemaRefs/>
</ds:datastoreItem>
</file>

<file path=docProps/app.xml><?xml version="1.0" encoding="utf-8"?>
<Properties xmlns="http://schemas.openxmlformats.org/officeDocument/2006/extended-properties" xmlns:vt="http://schemas.openxmlformats.org/officeDocument/2006/docPropsVTypes">
  <Template>Normal.dotm</Template>
  <Company>LG</Company>
  <Pages>161</Pages>
  <Words>20719</Words>
  <Characters>21683</Characters>
  <Lines>219</Lines>
  <Paragraphs>61</Paragraphs>
  <TotalTime>125</TotalTime>
  <ScaleCrop>false</ScaleCrop>
  <LinksUpToDate>false</LinksUpToDate>
  <CharactersWithSpaces>21834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2021-06-25T08:28:00Z</dcterms:created>
  <dc:creator>周 易鸣</dc:creator>
  <cp:lastModifiedBy>中汇</cp:lastModifiedBy>
  <cp:lastPrinted>2025-12-03T00:11:00Z</cp:lastPrinted>
  <dcterms:modified xsi:type="dcterms:W3CDTF">2026-08-18T06:05:25Z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63219BCDBD48465DB3CDBFADBD29A12E_13</vt:lpwstr>
  </property>
  <property fmtid="{D5CDD505-2E9C-101B-9397-08002B2CF9AE}" pid="4" name="KSOTemplateDocerSaveRecord">
    <vt:lpwstr>eyJoZGlkIjoiZjI1MDhiOTA0YjRkZTYzNjM4ZjQ1NWIwZGI0ZjFlNzYiLCJ1c2VySWQiOiIxNTg4MTU0MjIwIn0=</vt:lpwstr>
  </property>
</Properties>
</file>