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E6361">
      <w:pPr>
        <w:spacing w:line="700" w:lineRule="exact"/>
        <w:jc w:val="center"/>
        <w:rPr>
          <w:rFonts w:ascii="宋体" w:hAnsi="宋体" w:eastAsia="宋体" w:cs="宋体"/>
          <w:b/>
          <w:bCs/>
          <w:color w:val="000000"/>
          <w:sz w:val="48"/>
          <w:szCs w:val="48"/>
        </w:rPr>
      </w:pPr>
    </w:p>
    <w:p w14:paraId="0970E6AE">
      <w:pPr>
        <w:spacing w:line="700" w:lineRule="exact"/>
        <w:jc w:val="center"/>
        <w:rPr>
          <w:rFonts w:ascii="宋体" w:hAnsi="宋体" w:eastAsia="宋体" w:cs="宋体"/>
          <w:b/>
          <w:bCs/>
          <w:color w:val="000000"/>
          <w:sz w:val="48"/>
          <w:szCs w:val="48"/>
        </w:rPr>
      </w:pPr>
    </w:p>
    <w:p w14:paraId="34652DE9">
      <w:pPr>
        <w:spacing w:line="700" w:lineRule="exact"/>
        <w:jc w:val="center"/>
        <w:rPr>
          <w:rFonts w:ascii="宋体" w:hAnsi="宋体" w:eastAsia="宋体" w:cs="宋体"/>
          <w:b/>
          <w:bCs/>
          <w:color w:val="000000"/>
          <w:sz w:val="48"/>
          <w:szCs w:val="48"/>
        </w:rPr>
      </w:pPr>
    </w:p>
    <w:p w14:paraId="46C57B4F">
      <w:pPr>
        <w:spacing w:line="700" w:lineRule="exact"/>
        <w:jc w:val="center"/>
        <w:rPr>
          <w:rFonts w:ascii="宋体" w:hAnsi="宋体" w:eastAsia="宋体" w:cs="宋体"/>
          <w:b/>
          <w:bCs/>
          <w:color w:val="000000"/>
          <w:sz w:val="48"/>
          <w:szCs w:val="48"/>
        </w:rPr>
      </w:pPr>
    </w:p>
    <w:p w14:paraId="1CEA74EF">
      <w:pPr>
        <w:spacing w:line="700" w:lineRule="exact"/>
        <w:jc w:val="center"/>
        <w:rPr>
          <w:rFonts w:ascii="宋体" w:hAnsi="宋体" w:eastAsia="宋体" w:cs="宋体"/>
          <w:b/>
          <w:bCs/>
          <w:color w:val="000000"/>
          <w:sz w:val="48"/>
          <w:szCs w:val="48"/>
        </w:rPr>
      </w:pPr>
    </w:p>
    <w:p w14:paraId="29A3F480">
      <w:pPr>
        <w:spacing w:line="700" w:lineRule="exact"/>
        <w:jc w:val="center"/>
        <w:rPr>
          <w:rFonts w:ascii="宋体" w:hAnsi="宋体" w:eastAsia="宋体" w:cs="宋体"/>
          <w:b/>
          <w:bCs/>
          <w:color w:val="000000"/>
          <w:sz w:val="48"/>
          <w:szCs w:val="48"/>
        </w:rPr>
      </w:pPr>
    </w:p>
    <w:p w14:paraId="6A8B6BC1">
      <w:pPr>
        <w:spacing w:line="700" w:lineRule="exact"/>
        <w:jc w:val="center"/>
        <w:rPr>
          <w:rFonts w:ascii="宋体" w:hAnsi="宋体" w:eastAsia="宋体" w:cs="宋体"/>
          <w:b/>
          <w:bCs/>
          <w:color w:val="000000"/>
          <w:sz w:val="48"/>
          <w:szCs w:val="48"/>
        </w:rPr>
      </w:pPr>
    </w:p>
    <w:p w14:paraId="05C43C21">
      <w:pPr>
        <w:spacing w:line="700" w:lineRule="exact"/>
        <w:jc w:val="center"/>
        <w:rPr>
          <w:rFonts w:ascii="宋体" w:hAnsi="宋体" w:eastAsia="宋体" w:cs="宋体"/>
          <w:b/>
          <w:bCs/>
          <w:color w:val="000000"/>
          <w:sz w:val="48"/>
          <w:szCs w:val="48"/>
        </w:rPr>
      </w:pPr>
    </w:p>
    <w:p w14:paraId="01682056">
      <w:pPr>
        <w:spacing w:line="700" w:lineRule="exact"/>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2024年度岳阳市岳阳楼区民政局</w:t>
      </w:r>
    </w:p>
    <w:p w14:paraId="5F5F30FB">
      <w:pPr>
        <w:spacing w:line="700" w:lineRule="exact"/>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整体支出绩效自评报告</w:t>
      </w:r>
    </w:p>
    <w:p w14:paraId="2E43CAB4">
      <w:pPr>
        <w:spacing w:line="243" w:lineRule="auto"/>
        <w:rPr>
          <w:rFonts w:ascii="Arial" w:hAnsi="Calibri" w:eastAsia="宋体" w:cs="Times New Roman"/>
          <w:szCs w:val="24"/>
        </w:rPr>
      </w:pPr>
    </w:p>
    <w:p w14:paraId="31FCFCD3">
      <w:pPr>
        <w:spacing w:line="243" w:lineRule="auto"/>
        <w:rPr>
          <w:rFonts w:ascii="Arial" w:hAnsi="Calibri" w:eastAsia="宋体" w:cs="Times New Roman"/>
          <w:szCs w:val="24"/>
        </w:rPr>
      </w:pPr>
    </w:p>
    <w:p w14:paraId="76CC82E5">
      <w:pPr>
        <w:spacing w:line="243" w:lineRule="auto"/>
        <w:rPr>
          <w:rFonts w:ascii="Arial" w:hAnsi="Calibri" w:eastAsia="宋体" w:cs="Times New Roman"/>
          <w:szCs w:val="24"/>
        </w:rPr>
      </w:pPr>
    </w:p>
    <w:p w14:paraId="48B07B8B">
      <w:pPr>
        <w:spacing w:line="243" w:lineRule="auto"/>
        <w:rPr>
          <w:rFonts w:ascii="Arial" w:hAnsi="Calibri" w:eastAsia="宋体" w:cs="Times New Roman"/>
          <w:szCs w:val="24"/>
        </w:rPr>
      </w:pPr>
    </w:p>
    <w:p w14:paraId="49F6985B">
      <w:pPr>
        <w:spacing w:line="243" w:lineRule="auto"/>
        <w:rPr>
          <w:rFonts w:ascii="Arial" w:hAnsi="Calibri" w:eastAsia="宋体" w:cs="Times New Roman"/>
          <w:szCs w:val="24"/>
        </w:rPr>
      </w:pPr>
    </w:p>
    <w:p w14:paraId="46821FA7">
      <w:pPr>
        <w:spacing w:line="243" w:lineRule="auto"/>
        <w:rPr>
          <w:rFonts w:ascii="Arial" w:hAnsi="Calibri" w:eastAsia="宋体" w:cs="Times New Roman"/>
          <w:szCs w:val="24"/>
        </w:rPr>
      </w:pPr>
    </w:p>
    <w:p w14:paraId="5B58B1ED">
      <w:pPr>
        <w:spacing w:line="243" w:lineRule="auto"/>
        <w:rPr>
          <w:rFonts w:ascii="Arial" w:hAnsi="Calibri" w:eastAsia="宋体" w:cs="Times New Roman"/>
          <w:szCs w:val="24"/>
        </w:rPr>
      </w:pPr>
    </w:p>
    <w:p w14:paraId="1535496C">
      <w:pPr>
        <w:spacing w:line="243" w:lineRule="auto"/>
        <w:rPr>
          <w:rFonts w:ascii="Arial" w:hAnsi="Calibri" w:eastAsia="宋体" w:cs="Times New Roman"/>
          <w:szCs w:val="24"/>
        </w:rPr>
      </w:pPr>
    </w:p>
    <w:p w14:paraId="1378AD61">
      <w:pPr>
        <w:spacing w:line="243" w:lineRule="auto"/>
        <w:rPr>
          <w:rFonts w:ascii="Arial" w:hAnsi="Calibri" w:eastAsia="宋体" w:cs="Times New Roman"/>
          <w:szCs w:val="24"/>
        </w:rPr>
      </w:pPr>
    </w:p>
    <w:p w14:paraId="4D6D588A">
      <w:pPr>
        <w:spacing w:line="243" w:lineRule="auto"/>
        <w:rPr>
          <w:rFonts w:ascii="Arial" w:hAnsi="Calibri" w:eastAsia="宋体" w:cs="Times New Roman"/>
          <w:szCs w:val="24"/>
        </w:rPr>
      </w:pPr>
    </w:p>
    <w:p w14:paraId="31B0D4DE">
      <w:pPr>
        <w:spacing w:line="243" w:lineRule="auto"/>
        <w:rPr>
          <w:rFonts w:ascii="Arial" w:hAnsi="Calibri" w:eastAsia="宋体" w:cs="Times New Roman"/>
          <w:szCs w:val="24"/>
        </w:rPr>
      </w:pPr>
    </w:p>
    <w:p w14:paraId="5AC037D3">
      <w:pPr>
        <w:spacing w:line="243" w:lineRule="auto"/>
        <w:rPr>
          <w:rFonts w:ascii="Arial" w:hAnsi="Calibri" w:eastAsia="宋体" w:cs="Times New Roman"/>
          <w:szCs w:val="24"/>
        </w:rPr>
      </w:pPr>
    </w:p>
    <w:p w14:paraId="28EAD67A">
      <w:pPr>
        <w:spacing w:line="243" w:lineRule="auto"/>
        <w:rPr>
          <w:rFonts w:ascii="Arial" w:hAnsi="Calibri" w:eastAsia="宋体" w:cs="Times New Roman"/>
          <w:szCs w:val="24"/>
        </w:rPr>
      </w:pPr>
    </w:p>
    <w:p w14:paraId="176644E5">
      <w:pPr>
        <w:spacing w:line="243" w:lineRule="auto"/>
        <w:rPr>
          <w:rFonts w:ascii="Arial" w:hAnsi="Calibri" w:eastAsia="宋体" w:cs="Times New Roman"/>
          <w:szCs w:val="24"/>
        </w:rPr>
      </w:pPr>
    </w:p>
    <w:p w14:paraId="131FD690">
      <w:pPr>
        <w:spacing w:line="243" w:lineRule="auto"/>
        <w:rPr>
          <w:rFonts w:ascii="Arial" w:hAnsi="Calibri" w:eastAsia="宋体" w:cs="Times New Roman"/>
          <w:szCs w:val="24"/>
        </w:rPr>
      </w:pPr>
    </w:p>
    <w:p w14:paraId="6C7C838A">
      <w:pPr>
        <w:spacing w:line="243" w:lineRule="auto"/>
        <w:rPr>
          <w:rFonts w:ascii="Arial" w:hAnsi="Calibri" w:eastAsia="宋体" w:cs="Times New Roman"/>
          <w:szCs w:val="24"/>
        </w:rPr>
      </w:pPr>
    </w:p>
    <w:p w14:paraId="340B2F4A">
      <w:pPr>
        <w:spacing w:line="243" w:lineRule="auto"/>
        <w:rPr>
          <w:rFonts w:ascii="Arial" w:hAnsi="Calibri" w:eastAsia="宋体" w:cs="Times New Roman"/>
          <w:szCs w:val="24"/>
        </w:rPr>
      </w:pPr>
    </w:p>
    <w:p w14:paraId="21998DFB">
      <w:pPr>
        <w:spacing w:line="243" w:lineRule="auto"/>
        <w:rPr>
          <w:rFonts w:ascii="Arial" w:hAnsi="Calibri" w:eastAsia="宋体" w:cs="Times New Roman"/>
          <w:szCs w:val="24"/>
        </w:rPr>
      </w:pPr>
    </w:p>
    <w:p w14:paraId="4B0544CF">
      <w:pPr>
        <w:spacing w:line="244" w:lineRule="auto"/>
        <w:rPr>
          <w:rFonts w:ascii="Arial" w:hAnsi="Calibri" w:eastAsia="宋体" w:cs="Times New Roman"/>
          <w:szCs w:val="24"/>
        </w:rPr>
      </w:pPr>
    </w:p>
    <w:p w14:paraId="463C8252">
      <w:pPr>
        <w:spacing w:before="100" w:line="221" w:lineRule="auto"/>
        <w:ind w:left="1902"/>
        <w:rPr>
          <w:rFonts w:ascii="仿宋" w:hAnsi="仿宋" w:eastAsia="仿宋" w:cs="仿宋"/>
          <w:sz w:val="35"/>
          <w:szCs w:val="35"/>
        </w:rPr>
      </w:pPr>
      <w:r>
        <w:rPr>
          <w:rFonts w:ascii="仿宋" w:hAnsi="仿宋" w:eastAsia="仿宋" w:cs="仿宋"/>
          <w:spacing w:val="-10"/>
          <w:sz w:val="35"/>
          <w:szCs w:val="35"/>
        </w:rPr>
        <w:t>部门（单位）名称</w:t>
      </w:r>
      <w:r>
        <w:rPr>
          <w:rFonts w:ascii="仿宋" w:hAnsi="仿宋" w:eastAsia="仿宋" w:cs="仿宋"/>
          <w:spacing w:val="4"/>
          <w:sz w:val="35"/>
          <w:szCs w:val="35"/>
        </w:rPr>
        <w:t>：</w:t>
      </w:r>
      <w:r>
        <w:rPr>
          <w:rFonts w:ascii="仿宋" w:hAnsi="仿宋" w:eastAsia="仿宋" w:cs="仿宋"/>
          <w:spacing w:val="4"/>
          <w:sz w:val="35"/>
          <w:szCs w:val="35"/>
          <w:u w:val="single"/>
        </w:rPr>
        <w:t>（</w:t>
      </w:r>
      <w:r>
        <w:rPr>
          <w:rFonts w:ascii="仿宋" w:hAnsi="仿宋" w:eastAsia="仿宋" w:cs="仿宋"/>
          <w:spacing w:val="-10"/>
          <w:sz w:val="35"/>
          <w:szCs w:val="35"/>
          <w:u w:val="single"/>
        </w:rPr>
        <w:t>盖章）</w:t>
      </w:r>
    </w:p>
    <w:p w14:paraId="7687B052">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rPr>
        <w:t>2024</w:t>
      </w:r>
      <w:r>
        <w:rPr>
          <w:rFonts w:ascii="楷体" w:hAnsi="楷体" w:eastAsia="楷体" w:cs="楷体"/>
          <w:spacing w:val="-8"/>
          <w:sz w:val="31"/>
          <w:szCs w:val="31"/>
        </w:rPr>
        <w:t>年</w:t>
      </w:r>
      <w:r>
        <w:rPr>
          <w:rFonts w:hint="eastAsia" w:ascii="楷体" w:hAnsi="楷体" w:eastAsia="楷体" w:cs="楷体"/>
          <w:spacing w:val="21"/>
          <w:sz w:val="31"/>
          <w:szCs w:val="31"/>
        </w:rPr>
        <w:t>7</w:t>
      </w:r>
      <w:r>
        <w:rPr>
          <w:rFonts w:ascii="楷体" w:hAnsi="楷体" w:eastAsia="楷体" w:cs="楷体"/>
          <w:spacing w:val="-8"/>
          <w:sz w:val="31"/>
          <w:szCs w:val="31"/>
        </w:rPr>
        <w:t>月</w:t>
      </w:r>
      <w:r>
        <w:rPr>
          <w:rFonts w:hint="eastAsia" w:ascii="楷体" w:hAnsi="楷体" w:eastAsia="楷体" w:cs="楷体"/>
          <w:spacing w:val="43"/>
          <w:sz w:val="31"/>
          <w:szCs w:val="31"/>
        </w:rPr>
        <w:t>10</w:t>
      </w:r>
      <w:r>
        <w:rPr>
          <w:rFonts w:ascii="楷体" w:hAnsi="楷体" w:eastAsia="楷体" w:cs="楷体"/>
          <w:spacing w:val="-8"/>
          <w:sz w:val="31"/>
          <w:szCs w:val="31"/>
        </w:rPr>
        <w:t>日</w:t>
      </w:r>
    </w:p>
    <w:p w14:paraId="792DFD37">
      <w:pPr>
        <w:spacing w:line="335" w:lineRule="auto"/>
        <w:rPr>
          <w:rFonts w:ascii="Arial" w:hAnsi="Calibri" w:eastAsia="宋体" w:cs="Times New Roman"/>
          <w:szCs w:val="24"/>
        </w:rPr>
      </w:pPr>
    </w:p>
    <w:p w14:paraId="00F4A68A">
      <w:pPr>
        <w:spacing w:line="224" w:lineRule="auto"/>
        <w:rPr>
          <w:rFonts w:ascii="Calibri" w:hAnsi="Calibri" w:eastAsia="宋体" w:cs="Times New Roman"/>
          <w:szCs w:val="24"/>
        </w:rPr>
        <w:sectPr>
          <w:footerReference r:id="rId3" w:type="default"/>
          <w:pgSz w:w="11900" w:h="16833"/>
          <w:pgMar w:top="1401" w:right="1583" w:bottom="1445" w:left="1618" w:header="0" w:footer="1170" w:gutter="0"/>
          <w:cols w:space="720" w:num="1"/>
        </w:sectPr>
      </w:pPr>
    </w:p>
    <w:p w14:paraId="3375373D">
      <w:pPr>
        <w:spacing w:line="700" w:lineRule="exac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2024年度岳阳楼区民政局整体支出</w:t>
      </w:r>
    </w:p>
    <w:p w14:paraId="4671711A">
      <w:pPr>
        <w:spacing w:line="700" w:lineRule="exac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绩效自评报告</w:t>
      </w:r>
    </w:p>
    <w:p w14:paraId="0359D2FA">
      <w:pPr>
        <w:spacing w:line="283" w:lineRule="auto"/>
        <w:rPr>
          <w:rFonts w:ascii="Arial" w:hAnsi="Calibri" w:eastAsia="宋体" w:cs="Times New Roman"/>
          <w:szCs w:val="24"/>
        </w:rPr>
      </w:pPr>
    </w:p>
    <w:p w14:paraId="214F0A9E">
      <w:pPr>
        <w:ind w:firstLine="640" w:firstLineChars="200"/>
        <w:rPr>
          <w:rFonts w:ascii="黑体" w:hAnsi="黑体" w:eastAsia="黑体" w:cs="黑体"/>
          <w:spacing w:val="5"/>
          <w:sz w:val="31"/>
          <w:szCs w:val="31"/>
        </w:rPr>
      </w:pPr>
      <w:r>
        <w:rPr>
          <w:rFonts w:hint="eastAsia" w:ascii="黑体" w:hAnsi="黑体" w:eastAsia="黑体" w:cs="黑体"/>
          <w:spacing w:val="5"/>
          <w:sz w:val="31"/>
          <w:szCs w:val="31"/>
        </w:rPr>
        <w:t>一、单位</w:t>
      </w:r>
      <w:r>
        <w:rPr>
          <w:rFonts w:ascii="黑体" w:hAnsi="黑体" w:eastAsia="黑体" w:cs="黑体"/>
          <w:spacing w:val="5"/>
          <w:sz w:val="31"/>
          <w:szCs w:val="31"/>
        </w:rPr>
        <w:t>基本情况</w:t>
      </w:r>
    </w:p>
    <w:p w14:paraId="2AD13C5B">
      <w:pPr>
        <w:widowControl/>
        <w:spacing w:line="33" w:lineRule="atLeast"/>
        <w:ind w:firstLine="321" w:firstLineChars="100"/>
        <w:textAlignment w:val="center"/>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（一）部门职责</w:t>
      </w:r>
    </w:p>
    <w:p w14:paraId="68E96FDA">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1、负责全区民政工作，拟订全区民政事业年度计划和中、长期发展规划，研究拟订全区民政工作有关政策、规章的实施细则与办法，并负责组织实施和监督检查。</w:t>
      </w:r>
      <w:r>
        <w:rPr>
          <w:rFonts w:hint="eastAsia" w:ascii="宋体" w:hAnsi="宋体" w:eastAsia="宋体" w:cs="宋体"/>
          <w:color w:val="000000"/>
          <w:sz w:val="32"/>
          <w:szCs w:val="32"/>
        </w:rPr>
        <w:t> </w:t>
      </w:r>
    </w:p>
    <w:p w14:paraId="0329FC37">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2、创新社会组织管理体制，培育和发展全区社会组织。承担依法对全区社会团体的登记管理和监督责任;查处社团组织的违法违规行为和未经登记而以社团名义开展活动的非法组织;负责社团基金会的审批和监督;负责全区民办非企业单位的登记管理和监督工作，查处民办非企业单位的违法行为和未经登记的民办非企业单位。</w:t>
      </w:r>
      <w:r>
        <w:rPr>
          <w:rFonts w:hint="eastAsia" w:ascii="宋体" w:hAnsi="宋体" w:eastAsia="宋体" w:cs="宋体"/>
          <w:color w:val="000000"/>
          <w:sz w:val="32"/>
          <w:szCs w:val="32"/>
        </w:rPr>
        <w:t> </w:t>
      </w:r>
    </w:p>
    <w:p w14:paraId="5BFFBEFE">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贯彻落实《社会救助暂行办法》，依法建立和实施城乡居民最低生活保障制度、特困人员供养制度、临时救助制度、救急难制度;管理、申报、发放社会救助资金;牵头相关职能部门建立健全社会救助体系，组织召集社会救助联席会议，协调区本级相关单位和报请市级开展城乡居民家庭经济状况信息比对;拟定全区社会救助工作规划，有计划地组织安排社会救助工作培训;监督检查街道(乡)社会救助的申请受理、调查审核责任主体落实情况。</w:t>
      </w:r>
      <w:r>
        <w:rPr>
          <w:rFonts w:hint="eastAsia" w:ascii="宋体" w:hAnsi="宋体" w:eastAsia="宋体" w:cs="宋体"/>
          <w:color w:val="000000"/>
          <w:sz w:val="32"/>
          <w:szCs w:val="32"/>
        </w:rPr>
        <w:t> </w:t>
      </w:r>
    </w:p>
    <w:p w14:paraId="2515A0A2">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4、研究提出加强和改进基层政权建设的意见;指导村(居)民委员会民主选举、民主决策、民主管理和民主监督工作，推动村(居)民自治和基层民主政治建设;指导城乡社区开展服务管理创新;负责全区社区管理工作领导小组办公室日常工作。</w:t>
      </w:r>
      <w:r>
        <w:rPr>
          <w:rFonts w:hint="eastAsia" w:ascii="宋体" w:hAnsi="宋体" w:eastAsia="宋体" w:cs="宋体"/>
          <w:color w:val="000000"/>
          <w:sz w:val="32"/>
          <w:szCs w:val="32"/>
        </w:rPr>
        <w:t> </w:t>
      </w:r>
    </w:p>
    <w:p w14:paraId="4CB3512E">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5、指导婚姻管理工作，倡导婚姻习俗改革，拟订并监督实施婚姻服务机枃管理办法;按照《中华人民共和国婚姻法》和《婚姻登记条例》，为符合婚姻登记条件的当事人办理结婚登记、离婚登记。建立保管婚姻档案，对结婚证、离婚证遗失或者损毁的，依法补发证件。</w:t>
      </w:r>
      <w:r>
        <w:rPr>
          <w:rFonts w:hint="eastAsia" w:ascii="宋体" w:hAnsi="宋体" w:eastAsia="宋体" w:cs="宋体"/>
          <w:color w:val="000000"/>
          <w:sz w:val="32"/>
          <w:szCs w:val="32"/>
        </w:rPr>
        <w:t> </w:t>
      </w:r>
    </w:p>
    <w:p w14:paraId="4D475E58">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6、主管行政区划工作，负责街道(乡)的设立、撤销、更名和界线变更的审核报批工作;研究和拟订全区行政区划的总体规划，办理报批手续，并组织实施;承办与邻区(县)边界的勘定和边界纠纷的调处工作;指导各街道(乡)行政区划工作和边界争议的调处工作;承办本辖区地名的命名、更名变更和政府驻地迁移审核工作;规范全区地名标志的设置和管理;组织建立和管理地名资料档案;完成国家其他地名工作任务。</w:t>
      </w:r>
      <w:r>
        <w:rPr>
          <w:rFonts w:hint="eastAsia" w:ascii="宋体" w:hAnsi="宋体" w:eastAsia="宋体" w:cs="宋体"/>
          <w:color w:val="000000"/>
          <w:sz w:val="32"/>
          <w:szCs w:val="32"/>
        </w:rPr>
        <w:t> </w:t>
      </w:r>
    </w:p>
    <w:p w14:paraId="65DC3EED">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7、拟订全区社会福利事业发展规划;指导社会福利事业单位建设管理工作;拟订全区福利设施的标准，承担区级福利机构的审核报批工作，承担老年人、孤残儿童等特殊困难群体权益保护的行政管理工作;拟订全区儿童福利、孤弃儿童保障、儿童收养、儿童救助保护政策、标准，健全农村留守儿童关爱服务体系和困境儿童保障制度;拟订社会福利生产的扶持保护政策;负责社会福利企业的认定审批;主管社会福利有奖募捐工作，研究提出福利彩票发行规划、发行额度和管理办法组织指导发行福利彩票，管理本级福利资金，指导、监督全区福利资金的管理使用。</w:t>
      </w:r>
      <w:r>
        <w:rPr>
          <w:rFonts w:hint="eastAsia" w:ascii="宋体" w:hAnsi="宋体" w:eastAsia="宋体" w:cs="宋体"/>
          <w:color w:val="000000"/>
          <w:sz w:val="32"/>
          <w:szCs w:val="32"/>
        </w:rPr>
        <w:t> </w:t>
      </w:r>
    </w:p>
    <w:p w14:paraId="1437A0EC">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8、负责筹募善款，组织开展各种慈善项目和活动，扶助弱群体和个人，积极参与政府的扶贫工程和社会救济工作，协助政府开展救灾赈济工作。资助和举办安老、助孤、济困的各种社会福利机构、推动社会福利社会化，为弱势群体提供物质帮助和精神抚慰;负责对外合作与交流，加强与省、市内各公益慈善机构的联系与协作，指导促进区慈善事业的发展。</w:t>
      </w:r>
      <w:r>
        <w:rPr>
          <w:rFonts w:hint="eastAsia" w:ascii="宋体" w:hAnsi="宋体" w:eastAsia="宋体" w:cs="宋体"/>
          <w:color w:val="000000"/>
          <w:sz w:val="32"/>
          <w:szCs w:val="32"/>
        </w:rPr>
        <w:t> </w:t>
      </w:r>
    </w:p>
    <w:p w14:paraId="3AE6B205">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9、负责全区殡葬管理工作，推进殡葬改革;负责全区经营性公墓建设的规划、审核报批和管理工作;指导全区公益性公墓建设。</w:t>
      </w:r>
      <w:r>
        <w:rPr>
          <w:rFonts w:hint="eastAsia" w:ascii="宋体" w:hAnsi="宋体" w:eastAsia="宋体" w:cs="宋体"/>
          <w:color w:val="000000"/>
          <w:sz w:val="32"/>
          <w:szCs w:val="32"/>
        </w:rPr>
        <w:t> </w:t>
      </w:r>
    </w:p>
    <w:p w14:paraId="3FF56A1E">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10、保障城市生活无着落的流浪乞讨人员的基本生活权益;负责实施收养方面的法律、法规，指导社会收养管理工作，协助涉外收养登记管理等有关工作;协助收容遣送工作。</w:t>
      </w:r>
      <w:r>
        <w:rPr>
          <w:rFonts w:hint="eastAsia" w:ascii="宋体" w:hAnsi="宋体" w:eastAsia="宋体" w:cs="宋体"/>
          <w:color w:val="000000"/>
          <w:sz w:val="32"/>
          <w:szCs w:val="32"/>
        </w:rPr>
        <w:t> </w:t>
      </w:r>
    </w:p>
    <w:p w14:paraId="3C781382">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11、负责全区民政事业经费、国有资产管理和监督，负责民政统计工作。</w:t>
      </w:r>
      <w:r>
        <w:rPr>
          <w:rFonts w:hint="eastAsia" w:ascii="宋体" w:hAnsi="宋体" w:eastAsia="宋体" w:cs="宋体"/>
          <w:color w:val="000000"/>
          <w:sz w:val="32"/>
          <w:szCs w:val="32"/>
        </w:rPr>
        <w:t> </w:t>
      </w:r>
    </w:p>
    <w:p w14:paraId="557EA774">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12、会同有关部门按规定拟定全区社会工作规范性文件草案和发展规划、职业规划，推进社会工作人才队伍建设和相关志愿者队伍建设;指导全区基层民政干部职工队伍建设;推进民政科技和民政行业标准化工作。</w:t>
      </w:r>
      <w:r>
        <w:rPr>
          <w:rFonts w:hint="eastAsia" w:ascii="宋体" w:hAnsi="宋体" w:eastAsia="宋体" w:cs="宋体"/>
          <w:color w:val="000000"/>
          <w:sz w:val="32"/>
          <w:szCs w:val="32"/>
        </w:rPr>
        <w:t> </w:t>
      </w:r>
    </w:p>
    <w:p w14:paraId="0DF30583">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13、负责本单位、本系统的信访维稳和安全生产工作;完成区委、区人民政府交办的其他任务。</w:t>
      </w:r>
      <w:r>
        <w:rPr>
          <w:rFonts w:hint="eastAsia" w:ascii="宋体" w:hAnsi="宋体" w:eastAsia="宋体" w:cs="宋体"/>
          <w:color w:val="000000"/>
          <w:sz w:val="32"/>
          <w:szCs w:val="32"/>
        </w:rPr>
        <w:t> </w:t>
      </w:r>
    </w:p>
    <w:p w14:paraId="50159EE9">
      <w:pPr>
        <w:widowControl/>
        <w:spacing w:line="33" w:lineRule="atLeas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14、与区卫生健康局的有关职责分工。区民政局负责统筹推进、督促指导、监督管理养老服务工作、指导全区贯彻养老服务体系建设规划、法规、政策、标准并组织实施，承担老年人福利和特殊困难老年人救助工作。区卫生健康局负责拟订应对人口老龄化、医养结合政策措施，综合协调、督促指导、组织推进老龄事业发展，承担老年疾病防治、老年人医疗照护、老年人心理健康与关怀服务等老年健康工作。</w:t>
      </w:r>
      <w:r>
        <w:rPr>
          <w:rFonts w:hint="eastAsia" w:ascii="宋体" w:hAnsi="宋体" w:eastAsia="宋体" w:cs="宋体"/>
          <w:color w:val="000000"/>
          <w:sz w:val="32"/>
          <w:szCs w:val="32"/>
        </w:rPr>
        <w:t> </w:t>
      </w:r>
    </w:p>
    <w:p w14:paraId="3992557B">
      <w:pPr>
        <w:widowControl/>
        <w:spacing w:line="33" w:lineRule="atLeast"/>
        <w:ind w:firstLine="643" w:firstLineChars="200"/>
        <w:textAlignment w:val="center"/>
        <w:rPr>
          <w:rFonts w:ascii="微软雅黑" w:hAnsi="微软雅黑" w:eastAsia="微软雅黑" w:cs="微软雅黑"/>
          <w:color w:val="333333"/>
          <w:kern w:val="0"/>
          <w:sz w:val="24"/>
          <w:szCs w:val="24"/>
        </w:rPr>
      </w:pPr>
      <w:r>
        <w:rPr>
          <w:rFonts w:hint="eastAsia" w:ascii="楷体_GB2312" w:hAnsi="楷体_GB2312" w:eastAsia="楷体_GB2312" w:cs="楷体_GB2312"/>
          <w:b/>
          <w:bCs/>
          <w:color w:val="000000"/>
          <w:sz w:val="32"/>
          <w:szCs w:val="32"/>
        </w:rPr>
        <w:t>（二）机构设置及单位构成</w:t>
      </w:r>
    </w:p>
    <w:p w14:paraId="797C20E1">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1.内设机构设置。岳阳楼区民政局内设10个股室，分别是</w:t>
      </w:r>
      <w:r>
        <w:rPr>
          <w:rFonts w:hint="eastAsia" w:ascii="仿宋" w:hAnsi="仿宋" w:eastAsia="仿宋" w:cs="Times New Roman"/>
          <w:bCs/>
          <w:kern w:val="0"/>
          <w:sz w:val="32"/>
          <w:szCs w:val="32"/>
        </w:rPr>
        <w:t>：</w:t>
      </w:r>
      <w:r>
        <w:rPr>
          <w:rFonts w:hint="eastAsia" w:ascii="仿宋" w:hAnsi="仿宋" w:eastAsia="仿宋" w:cs="仿宋_GB2312"/>
          <w:kern w:val="0"/>
          <w:sz w:val="32"/>
          <w:szCs w:val="32"/>
        </w:rPr>
        <w:t>办公室（信访股）、政工人事股（社会工作股）、规划财务股、政策法制股（行政审批股）、社会组织管理股、社会救助股、基层政权建设股、社会事务股、社会福利股、</w:t>
      </w:r>
      <w:r>
        <w:rPr>
          <w:rFonts w:hint="eastAsia" w:ascii="仿宋" w:hAnsi="仿宋" w:eastAsia="仿宋" w:cs="仿宋_GB2312"/>
          <w:color w:val="000000"/>
          <w:kern w:val="0"/>
          <w:sz w:val="32"/>
          <w:szCs w:val="32"/>
        </w:rPr>
        <w:t>老龄工作股</w:t>
      </w:r>
      <w:r>
        <w:rPr>
          <w:rFonts w:hint="eastAsia" w:ascii="仿宋" w:hAnsi="仿宋" w:eastAsia="仿宋" w:cs="仿宋_GB2312"/>
          <w:kern w:val="0"/>
          <w:sz w:val="32"/>
          <w:szCs w:val="32"/>
        </w:rPr>
        <w:t>。</w:t>
      </w:r>
    </w:p>
    <w:p w14:paraId="7E348015">
      <w:pPr>
        <w:ind w:firstLine="640" w:firstLineChars="200"/>
        <w:jc w:val="left"/>
        <w:rPr>
          <w:rFonts w:ascii="黑体" w:hAnsi="黑体" w:eastAsia="黑体" w:cs="黑体"/>
          <w:spacing w:val="5"/>
          <w:sz w:val="31"/>
          <w:szCs w:val="31"/>
        </w:rPr>
      </w:pPr>
      <w:r>
        <w:rPr>
          <w:rFonts w:hint="eastAsia" w:ascii="仿宋_GB2312" w:hAnsi="仿宋_GB2312" w:eastAsia="仿宋_GB2312" w:cs="仿宋_GB2312"/>
          <w:color w:val="000000"/>
          <w:sz w:val="32"/>
          <w:szCs w:val="32"/>
        </w:rPr>
        <w:t>2.单位构成。岳阳楼区民政局2024年整体支出绩效自评单位构成包括：本单位本级和下属7个事业单位，分别是</w:t>
      </w:r>
      <w:r>
        <w:rPr>
          <w:rFonts w:hint="eastAsia" w:ascii="仿宋" w:hAnsi="仿宋" w:eastAsia="仿宋" w:cs="仿宋_GB2312"/>
          <w:kern w:val="0"/>
          <w:sz w:val="32"/>
          <w:szCs w:val="32"/>
        </w:rPr>
        <w:t>岳阳市岳阳楼区社会救助服务中心、岳阳市岳阳楼区婚姻登记中心、岳阳市岳阳楼区社会组织服务中心、岳阳市岳阳楼区殡葬服务中心、岳阳市岳阳楼区慈善救助服务中心、岳阳市岳阳楼区福利彩票发行中心、岳阳市岳阳楼区城乡居民家庭经济状况核对中心</w:t>
      </w:r>
      <w:r>
        <w:rPr>
          <w:rFonts w:hint="eastAsia" w:ascii="仿宋_GB2312" w:hAnsi="仿宋_GB2312" w:eastAsia="仿宋_GB2312" w:cs="仿宋_GB2312"/>
          <w:color w:val="000000"/>
          <w:sz w:val="32"/>
          <w:szCs w:val="32"/>
        </w:rPr>
        <w:t>。</w:t>
      </w:r>
    </w:p>
    <w:p w14:paraId="78544528">
      <w:pPr>
        <w:ind w:firstLine="612" w:firstLineChars="200"/>
        <w:rPr>
          <w:rFonts w:ascii="黑体" w:hAnsi="黑体" w:eastAsia="黑体" w:cs="黑体"/>
          <w:sz w:val="31"/>
          <w:szCs w:val="31"/>
        </w:rPr>
      </w:pPr>
      <w:r>
        <w:rPr>
          <w:rFonts w:ascii="黑体" w:hAnsi="黑体" w:eastAsia="黑体" w:cs="黑体"/>
          <w:spacing w:val="-2"/>
          <w:sz w:val="31"/>
          <w:szCs w:val="31"/>
        </w:rPr>
        <w:t>二、一般公共预算支出情况</w:t>
      </w:r>
    </w:p>
    <w:p w14:paraId="4B50DBCC">
      <w:pPr>
        <w:ind w:firstLine="656" w:firstLineChars="200"/>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F631129">
      <w:pPr>
        <w:widowControl/>
        <w:spacing w:line="48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2024年基本支出</w:t>
      </w:r>
      <w:r>
        <w:rPr>
          <w:rFonts w:hint="eastAsia" w:ascii="仿宋" w:hAnsi="仿宋" w:eastAsia="仿宋" w:cs="仿宋"/>
          <w:kern w:val="0"/>
          <w:sz w:val="32"/>
          <w:szCs w:val="32"/>
        </w:rPr>
        <w:t>1124.35</w:t>
      </w:r>
      <w:r>
        <w:rPr>
          <w:rFonts w:hint="eastAsia" w:ascii="仿宋_GB2312" w:hAnsi="仿宋_GB2312" w:eastAsia="仿宋_GB2312" w:cs="仿宋_GB2312"/>
          <w:color w:val="000000"/>
          <w:sz w:val="32"/>
          <w:szCs w:val="32"/>
        </w:rPr>
        <w:t>万元，其中：人员经费支出964.59万元，主要包括：</w:t>
      </w:r>
      <w:r>
        <w:rPr>
          <w:rFonts w:hint="eastAsia" w:ascii="仿宋" w:hAnsi="仿宋" w:eastAsia="仿宋" w:cs="仿宋"/>
          <w:kern w:val="0"/>
          <w:sz w:val="32"/>
          <w:szCs w:val="32"/>
        </w:rPr>
        <w:t>基本工资、津贴补贴、奖金、伙食补助费、绩效工资、机关事业单位基本养老保险缴费、职工基本医疗保险缴费、其他社会保障缴费、住房公积金、退休费</w:t>
      </w:r>
      <w:r>
        <w:rPr>
          <w:rFonts w:hint="eastAsia" w:ascii="仿宋_GB2312" w:hAnsi="仿宋_GB2312" w:eastAsia="仿宋_GB2312" w:cs="仿宋_GB2312"/>
          <w:color w:val="000000"/>
          <w:sz w:val="32"/>
          <w:szCs w:val="32"/>
        </w:rPr>
        <w:t>；公用经费支出</w:t>
      </w:r>
      <w:r>
        <w:rPr>
          <w:rFonts w:hint="eastAsia" w:ascii="仿宋" w:hAnsi="仿宋" w:eastAsia="仿宋" w:cs="仿宋"/>
          <w:kern w:val="0"/>
          <w:sz w:val="32"/>
          <w:szCs w:val="32"/>
        </w:rPr>
        <w:t>159.76</w:t>
      </w:r>
      <w:r>
        <w:rPr>
          <w:rFonts w:hint="eastAsia" w:ascii="仿宋_GB2312" w:hAnsi="仿宋_GB2312" w:eastAsia="仿宋_GB2312" w:cs="仿宋_GB2312"/>
          <w:color w:val="000000"/>
          <w:sz w:val="32"/>
          <w:szCs w:val="32"/>
        </w:rPr>
        <w:t>万元，主要包括：</w:t>
      </w:r>
      <w:r>
        <w:rPr>
          <w:rFonts w:hint="eastAsia" w:ascii="仿宋" w:hAnsi="仿宋" w:eastAsia="仿宋" w:cs="仿宋"/>
          <w:kern w:val="0"/>
          <w:sz w:val="32"/>
          <w:szCs w:val="32"/>
        </w:rPr>
        <w:t>办公费、印刷费、水费、电费、物业管理费、差旅费、维修（护）费、公务接待费、劳务费、工会经费、其他交通费用、其他商品和服务支出</w:t>
      </w:r>
      <w:r>
        <w:rPr>
          <w:rFonts w:hint="eastAsia" w:ascii="仿宋_GB2312" w:hAnsi="仿宋_GB2312" w:eastAsia="仿宋_GB2312" w:cs="仿宋_GB2312"/>
          <w:color w:val="000000"/>
          <w:sz w:val="32"/>
          <w:szCs w:val="32"/>
        </w:rPr>
        <w:t>。</w:t>
      </w:r>
    </w:p>
    <w:p w14:paraId="15FCAB76">
      <w:pPr>
        <w:ind w:firstLine="656" w:firstLineChars="200"/>
        <w:rPr>
          <w:rFonts w:ascii="楷体" w:hAnsi="楷体" w:eastAsia="楷体" w:cs="楷体"/>
          <w:spacing w:val="9"/>
          <w:sz w:val="31"/>
          <w:szCs w:val="31"/>
        </w:rPr>
      </w:pPr>
      <w:r>
        <w:rPr>
          <w:rFonts w:hint="eastAsia" w:ascii="楷体" w:hAnsi="楷体" w:eastAsia="楷体" w:cs="楷体"/>
          <w:spacing w:val="9"/>
          <w:sz w:val="31"/>
          <w:szCs w:val="31"/>
        </w:rPr>
        <w:t>（二）</w:t>
      </w:r>
      <w:r>
        <w:rPr>
          <w:rFonts w:ascii="楷体" w:hAnsi="楷体" w:eastAsia="楷体" w:cs="楷体"/>
          <w:spacing w:val="9"/>
          <w:sz w:val="31"/>
          <w:szCs w:val="31"/>
        </w:rPr>
        <w:t>项目支出情况</w:t>
      </w:r>
    </w:p>
    <w:p w14:paraId="2E82E7F8">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项目支出10017.81万元，其中：业务工作经费等130.01万元、运行维护经费2.24万元、铁山罐区伤残民工及死亡民工家属生活医药补助补助11.64万元、困难残疾人生活补贴和重度残疾人护理补贴836.34万元、城乡低保6990.32万元、社会工作者工资325.17万元、精简退职4.72万元、事实无人抚养儿童及孤儿基本生活费213.22万元、独身子女父母奖励2.82万元、遗属补助0.83万元、孤儿助学1.5万元、殡葬服务101.98万元、三八家属连补助13.23万元、特困人员救助供养727.26万元、特困供养对象和部分特殊困难人员开展自理能力评估费用8.2万元、社工购买服务42.81万元、老工伤伤残保健金6.25万元、临时救助54.61万元、儿童福利和收养评估费用5.7万元、百岁老人长寿金及高龄老人生活补贴170.72万元、春节慰问24.6万元、养老机构床位建设及运营补贴141.39万元、区级个人先进奖励2.25万元、白鹤陵园骨灰楼建设项目200万元。</w:t>
      </w:r>
    </w:p>
    <w:p w14:paraId="0BF02CBC">
      <w:pPr>
        <w:ind w:firstLine="652" w:firstLineChars="200"/>
        <w:jc w:val="left"/>
        <w:rPr>
          <w:rFonts w:ascii="黑体" w:hAnsi="黑体" w:eastAsia="黑体" w:cs="黑体"/>
          <w:spacing w:val="8"/>
          <w:sz w:val="31"/>
          <w:szCs w:val="31"/>
        </w:rPr>
      </w:pPr>
      <w:r>
        <w:rPr>
          <w:rFonts w:hint="eastAsia" w:ascii="黑体" w:hAnsi="黑体" w:eastAsia="黑体" w:cs="黑体"/>
          <w:spacing w:val="8"/>
          <w:sz w:val="31"/>
          <w:szCs w:val="31"/>
        </w:rPr>
        <w:t>三、</w:t>
      </w:r>
      <w:r>
        <w:rPr>
          <w:rFonts w:ascii="黑体" w:hAnsi="黑体" w:eastAsia="黑体" w:cs="黑体"/>
          <w:spacing w:val="8"/>
          <w:sz w:val="31"/>
          <w:szCs w:val="31"/>
        </w:rPr>
        <w:t>政府性基金预算支出情况</w:t>
      </w:r>
    </w:p>
    <w:p w14:paraId="2C923F48">
      <w:pPr>
        <w:ind w:firstLine="640" w:firstLineChars="200"/>
        <w:rPr>
          <w:rFonts w:ascii="黑体" w:hAnsi="黑体" w:eastAsia="黑体" w:cs="黑体"/>
          <w:spacing w:val="8"/>
          <w:sz w:val="31"/>
          <w:szCs w:val="31"/>
        </w:rPr>
      </w:pPr>
      <w:r>
        <w:rPr>
          <w:rFonts w:hint="eastAsia" w:ascii="仿宋_GB2312" w:hAnsi="仿宋_GB2312" w:eastAsia="仿宋_GB2312" w:cs="仿宋_GB2312"/>
          <w:color w:val="000000"/>
          <w:sz w:val="32"/>
          <w:szCs w:val="32"/>
        </w:rPr>
        <w:t>2024年政府性基金预算支出37.61万元，其中孤儿圆梦助学金6.25万元、适老化改造31.36万元。</w:t>
      </w:r>
    </w:p>
    <w:p w14:paraId="4EB0DFCC">
      <w:pPr>
        <w:ind w:firstLine="486" w:firstLineChars="150"/>
        <w:rPr>
          <w:rFonts w:ascii="黑体" w:hAnsi="黑体" w:eastAsia="黑体" w:cs="黑体"/>
          <w:spacing w:val="7"/>
          <w:position w:val="21"/>
          <w:sz w:val="31"/>
          <w:szCs w:val="31"/>
        </w:rPr>
      </w:pPr>
      <w:r>
        <w:rPr>
          <w:rFonts w:hint="eastAsia" w:ascii="黑体" w:hAnsi="黑体" w:eastAsia="黑体" w:cs="黑体"/>
          <w:spacing w:val="7"/>
          <w:position w:val="21"/>
          <w:sz w:val="31"/>
          <w:szCs w:val="31"/>
        </w:rPr>
        <w:t>四、</w:t>
      </w:r>
      <w:r>
        <w:rPr>
          <w:rFonts w:ascii="黑体" w:hAnsi="黑体" w:eastAsia="黑体" w:cs="黑体"/>
          <w:spacing w:val="7"/>
          <w:position w:val="21"/>
          <w:sz w:val="31"/>
          <w:szCs w:val="31"/>
        </w:rPr>
        <w:t>国有资本经营预算支出情况</w:t>
      </w:r>
    </w:p>
    <w:p w14:paraId="713C9599">
      <w:pPr>
        <w:ind w:firstLine="640" w:firstLineChars="200"/>
        <w:jc w:val="left"/>
        <w:rPr>
          <w:rFonts w:ascii="黑体" w:hAnsi="黑体" w:eastAsia="黑体" w:cs="黑体"/>
          <w:spacing w:val="7"/>
          <w:position w:val="21"/>
          <w:sz w:val="31"/>
          <w:szCs w:val="31"/>
        </w:rPr>
      </w:pPr>
      <w:r>
        <w:rPr>
          <w:rFonts w:hint="eastAsia" w:ascii="仿宋_GB2312" w:hAnsi="仿宋_GB2312" w:eastAsia="仿宋_GB2312" w:cs="仿宋_GB2312"/>
          <w:color w:val="000000"/>
          <w:sz w:val="32"/>
          <w:szCs w:val="32"/>
        </w:rPr>
        <w:t>2024年度本单位无国有资本经营安排的支出。</w:t>
      </w:r>
    </w:p>
    <w:p w14:paraId="12FAA36F">
      <w:pPr>
        <w:ind w:firstLine="489" w:firstLineChars="150"/>
        <w:rPr>
          <w:rFonts w:ascii="黑体" w:hAnsi="黑体" w:eastAsia="黑体" w:cs="黑体"/>
          <w:spacing w:val="8"/>
          <w:sz w:val="31"/>
          <w:szCs w:val="31"/>
        </w:rPr>
      </w:pPr>
      <w:r>
        <w:rPr>
          <w:rFonts w:hint="eastAsia" w:ascii="黑体" w:hAnsi="黑体" w:eastAsia="黑体" w:cs="黑体"/>
          <w:spacing w:val="8"/>
          <w:sz w:val="31"/>
          <w:szCs w:val="31"/>
        </w:rPr>
        <w:t>五、</w:t>
      </w:r>
      <w:r>
        <w:rPr>
          <w:rFonts w:ascii="黑体" w:hAnsi="黑体" w:eastAsia="黑体" w:cs="黑体"/>
          <w:spacing w:val="8"/>
          <w:sz w:val="31"/>
          <w:szCs w:val="31"/>
        </w:rPr>
        <w:t>社会保险基金预算支出情况</w:t>
      </w:r>
    </w:p>
    <w:p w14:paraId="7EE3F07F">
      <w:pPr>
        <w:ind w:firstLine="640" w:firstLineChars="200"/>
        <w:jc w:val="left"/>
        <w:rPr>
          <w:rFonts w:ascii="黑体" w:hAnsi="黑体" w:eastAsia="黑体" w:cs="黑体"/>
          <w:spacing w:val="8"/>
          <w:sz w:val="31"/>
          <w:szCs w:val="31"/>
        </w:rPr>
      </w:pPr>
      <w:r>
        <w:rPr>
          <w:rFonts w:hint="eastAsia" w:ascii="仿宋_GB2312" w:hAnsi="仿宋_GB2312" w:eastAsia="仿宋_GB2312" w:cs="仿宋_GB2312"/>
          <w:color w:val="000000"/>
          <w:sz w:val="32"/>
          <w:szCs w:val="32"/>
        </w:rPr>
        <w:t>2024年度机关事业单位基本养老保险缴费支出111.81万元、其他社会保险缴费7.21万元、职工基本医疗保险缴费支出40.47万元。</w:t>
      </w:r>
    </w:p>
    <w:p w14:paraId="36C58D87">
      <w:pPr>
        <w:ind w:firstLine="489" w:firstLineChars="150"/>
        <w:jc w:val="left"/>
        <w:rPr>
          <w:rFonts w:ascii="黑体" w:hAnsi="黑体" w:eastAsia="黑体" w:cs="黑体"/>
          <w:spacing w:val="8"/>
          <w:sz w:val="31"/>
          <w:szCs w:val="31"/>
        </w:rPr>
      </w:pPr>
      <w:r>
        <w:rPr>
          <w:rFonts w:hint="eastAsia" w:ascii="黑体" w:hAnsi="黑体" w:eastAsia="黑体" w:cs="黑体"/>
          <w:spacing w:val="8"/>
          <w:sz w:val="31"/>
          <w:szCs w:val="31"/>
        </w:rPr>
        <w:t>六、单位</w:t>
      </w:r>
      <w:r>
        <w:rPr>
          <w:rFonts w:ascii="黑体" w:hAnsi="黑体" w:eastAsia="黑体" w:cs="黑体"/>
          <w:spacing w:val="8"/>
          <w:sz w:val="31"/>
          <w:szCs w:val="31"/>
        </w:rPr>
        <w:t>整体支出绩效情况</w:t>
      </w:r>
    </w:p>
    <w:p w14:paraId="5F89DF37">
      <w:pPr>
        <w:ind w:firstLine="640" w:firstLineChars="200"/>
        <w:jc w:val="left"/>
        <w:rPr>
          <w:rFonts w:ascii="黑体" w:hAnsi="黑体" w:eastAsia="黑体" w:cs="黑体"/>
          <w:spacing w:val="8"/>
          <w:sz w:val="31"/>
          <w:szCs w:val="31"/>
        </w:rPr>
      </w:pPr>
      <w:r>
        <w:rPr>
          <w:rFonts w:hint="eastAsia" w:ascii="仿宋_GB2312" w:hAnsi="仿宋_GB2312" w:eastAsia="仿宋_GB2312" w:cs="仿宋_GB2312"/>
          <w:color w:val="000000"/>
          <w:sz w:val="32"/>
          <w:szCs w:val="32"/>
        </w:rPr>
        <w:t>从整体上看，我单位资金管理规范、有效地发挥了财政资金的使用效率，确保民政各项工作正常运转。人员经费支出、公共支出严格执行上级各项制度。项目经费的使用上，在保证各项任务顺利完成的同时，严格落实厉行节约的原则，做好了困难群众资金、残疾人两项补贴、老年人福利、儿童福利、养老服务、福利彩票公益金等项目工作，充分发挥了民政爱民、民政为民的影响作用,社会反响良好。</w:t>
      </w:r>
    </w:p>
    <w:p w14:paraId="7EFF9A4B">
      <w:pPr>
        <w:ind w:firstLine="492" w:firstLineChars="150"/>
        <w:rPr>
          <w:rFonts w:ascii="黑体" w:hAnsi="黑体" w:eastAsia="黑体" w:cs="黑体"/>
          <w:spacing w:val="9"/>
          <w:position w:val="21"/>
          <w:sz w:val="31"/>
          <w:szCs w:val="31"/>
        </w:rPr>
      </w:pPr>
      <w:r>
        <w:rPr>
          <w:rFonts w:hint="eastAsia" w:ascii="黑体" w:hAnsi="黑体" w:eastAsia="黑体" w:cs="黑体"/>
          <w:spacing w:val="9"/>
          <w:position w:val="21"/>
          <w:sz w:val="31"/>
          <w:szCs w:val="31"/>
        </w:rPr>
        <w:t>七、</w:t>
      </w:r>
      <w:r>
        <w:rPr>
          <w:rFonts w:ascii="黑体" w:hAnsi="黑体" w:eastAsia="黑体" w:cs="黑体"/>
          <w:spacing w:val="9"/>
          <w:position w:val="21"/>
          <w:sz w:val="31"/>
          <w:szCs w:val="31"/>
        </w:rPr>
        <w:t>存在的问题及原因分析</w:t>
      </w:r>
    </w:p>
    <w:p w14:paraId="7B28C196">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一是因部门整体支出的预算资金安排和使用上仍有不可预见性，导致预算数与决算数存在差距，还需加强预算管理，科学编制预算。</w:t>
      </w:r>
    </w:p>
    <w:p w14:paraId="74B66140">
      <w:pPr>
        <w:ind w:firstLine="640" w:firstLineChars="200"/>
        <w:jc w:val="left"/>
        <w:rPr>
          <w:rFonts w:ascii="黑体" w:hAnsi="黑体" w:eastAsia="黑体" w:cs="黑体"/>
          <w:spacing w:val="8"/>
          <w:sz w:val="31"/>
          <w:szCs w:val="31"/>
        </w:rPr>
      </w:pPr>
      <w:r>
        <w:rPr>
          <w:rFonts w:hint="eastAsia" w:ascii="仿宋_GB2312" w:hAnsi="仿宋_GB2312" w:eastAsia="仿宋_GB2312" w:cs="仿宋_GB2312"/>
          <w:color w:val="000000"/>
          <w:sz w:val="32"/>
          <w:szCs w:val="32"/>
        </w:rPr>
        <w:t>二是因工作量的加大、质量提高，导致工作开展开支加大，还需加大对各项专项资金的投入。</w:t>
      </w:r>
    </w:p>
    <w:p w14:paraId="03242B41">
      <w:pPr>
        <w:ind w:firstLine="489" w:firstLineChars="150"/>
        <w:rPr>
          <w:rFonts w:ascii="黑体" w:hAnsi="黑体" w:eastAsia="黑体" w:cs="黑体"/>
          <w:spacing w:val="8"/>
          <w:sz w:val="31"/>
          <w:szCs w:val="31"/>
        </w:rPr>
      </w:pPr>
      <w:r>
        <w:rPr>
          <w:rFonts w:hint="eastAsia" w:ascii="黑体" w:hAnsi="黑体" w:eastAsia="黑体" w:cs="黑体"/>
          <w:spacing w:val="8"/>
          <w:sz w:val="31"/>
          <w:szCs w:val="31"/>
        </w:rPr>
        <w:t>八、</w:t>
      </w:r>
      <w:r>
        <w:rPr>
          <w:rFonts w:ascii="黑体" w:hAnsi="黑体" w:eastAsia="黑体" w:cs="黑体"/>
          <w:spacing w:val="8"/>
          <w:sz w:val="31"/>
          <w:szCs w:val="31"/>
        </w:rPr>
        <w:t>下一步改进措施</w:t>
      </w:r>
    </w:p>
    <w:p w14:paraId="6E1B481C">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一是加强与财政部门联系，提升财务专业知识，整合各项资源，优化资源配置，对年度收入支出做出精准预算安排。</w:t>
      </w:r>
    </w:p>
    <w:p w14:paraId="42CF2AD0">
      <w:pPr>
        <w:ind w:firstLine="640" w:firstLineChars="200"/>
        <w:jc w:val="left"/>
        <w:rPr>
          <w:rFonts w:ascii="黑体" w:hAnsi="黑体" w:eastAsia="黑体" w:cs="黑体"/>
          <w:spacing w:val="8"/>
          <w:sz w:val="31"/>
          <w:szCs w:val="31"/>
        </w:rPr>
      </w:pPr>
      <w:r>
        <w:rPr>
          <w:rFonts w:hint="eastAsia" w:ascii="仿宋_GB2312" w:hAnsi="仿宋_GB2312" w:eastAsia="仿宋_GB2312" w:cs="仿宋_GB2312"/>
          <w:color w:val="000000"/>
          <w:sz w:val="32"/>
          <w:szCs w:val="32"/>
        </w:rPr>
        <w:t>二是加强单位内部队伍建设和业务培训，培养项目和部门的绩效管理专业人才，逐步建立绩效评价的长期机制。</w:t>
      </w:r>
    </w:p>
    <w:p w14:paraId="7A90168A">
      <w:pPr>
        <w:ind w:firstLine="492" w:firstLineChars="150"/>
        <w:rPr>
          <w:rFonts w:ascii="黑体" w:hAnsi="黑体" w:eastAsia="黑体" w:cs="黑体"/>
          <w:spacing w:val="8"/>
          <w:position w:val="21"/>
          <w:sz w:val="31"/>
          <w:szCs w:val="31"/>
        </w:rPr>
      </w:pPr>
      <w:r>
        <w:rPr>
          <w:rFonts w:hint="eastAsia" w:ascii="黑体" w:hAnsi="黑体" w:eastAsia="黑体" w:cs="黑体"/>
          <w:spacing w:val="9"/>
          <w:position w:val="21"/>
          <w:sz w:val="31"/>
          <w:szCs w:val="31"/>
        </w:rPr>
        <w:t>九、单位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CE12B35">
      <w:pPr>
        <w:ind w:firstLine="640" w:firstLineChars="200"/>
        <w:rPr>
          <w:rFonts w:ascii="仿宋" w:hAnsi="仿宋" w:eastAsia="仿宋" w:cs="仿宋"/>
          <w:sz w:val="32"/>
          <w:szCs w:val="32"/>
        </w:rPr>
      </w:pPr>
      <w:r>
        <w:rPr>
          <w:rFonts w:hint="eastAsia" w:ascii="仿宋" w:hAnsi="仿宋" w:eastAsia="仿宋" w:cs="仿宋"/>
          <w:sz w:val="32"/>
          <w:szCs w:val="32"/>
        </w:rPr>
        <w:t>通过绩效评估，发现工作过程中的各环节中存在的问题，从而作为过程控制的依据，便于为之后的管理工作提出借鉴，作为提升管理水平的依据。</w:t>
      </w:r>
    </w:p>
    <w:p w14:paraId="352D407B">
      <w:pPr>
        <w:ind w:firstLine="640" w:firstLineChars="200"/>
        <w:rPr>
          <w:rFonts w:ascii="仿宋_GB2312" w:hAnsi="仿宋_GB2312" w:eastAsia="仿宋_GB2312" w:cs="仿宋_GB2312"/>
          <w:sz w:val="32"/>
          <w:szCs w:val="32"/>
        </w:rPr>
      </w:pPr>
      <w:r>
        <w:rPr>
          <w:rFonts w:hint="eastAsia" w:ascii="仿宋" w:hAnsi="仿宋" w:eastAsia="仿宋" w:cs="仿宋"/>
          <w:sz w:val="32"/>
          <w:szCs w:val="32"/>
        </w:rPr>
        <w:t>我局严格按照年初预算计划执行，控制各项支出，很好地完成了绩效目标，自评分为9</w:t>
      </w:r>
      <w:r>
        <w:rPr>
          <w:rFonts w:hint="eastAsia" w:ascii="仿宋" w:hAnsi="仿宋" w:eastAsia="仿宋" w:cs="仿宋"/>
          <w:sz w:val="32"/>
          <w:szCs w:val="32"/>
          <w:lang w:val="en-US" w:eastAsia="zh-CN"/>
        </w:rPr>
        <w:t>9</w:t>
      </w:r>
      <w:bookmarkStart w:id="0" w:name="_GoBack"/>
      <w:bookmarkEnd w:id="0"/>
      <w:r>
        <w:rPr>
          <w:rFonts w:hint="eastAsia" w:ascii="仿宋" w:hAnsi="仿宋" w:eastAsia="仿宋" w:cs="仿宋"/>
          <w:sz w:val="32"/>
          <w:szCs w:val="32"/>
        </w:rPr>
        <w:t>分。</w:t>
      </w:r>
    </w:p>
    <w:p w14:paraId="78BA55B1">
      <w:pPr>
        <w:ind w:firstLine="608" w:firstLineChars="200"/>
        <w:rPr>
          <w:rFonts w:ascii="黑体" w:hAnsi="黑体" w:eastAsia="黑体" w:cs="黑体"/>
          <w:sz w:val="31"/>
          <w:szCs w:val="31"/>
        </w:rPr>
      </w:pPr>
      <w:r>
        <w:rPr>
          <w:rFonts w:ascii="黑体" w:hAnsi="黑体" w:eastAsia="黑体" w:cs="黑体"/>
          <w:spacing w:val="-3"/>
          <w:sz w:val="31"/>
          <w:szCs w:val="31"/>
        </w:rPr>
        <w:t>十、其他需要说明的情况</w:t>
      </w:r>
    </w:p>
    <w:p w14:paraId="5D5B2C03">
      <w:pPr>
        <w:rPr>
          <w:rFonts w:ascii="Arial" w:hAnsi="Calibri" w:eastAsia="宋体" w:cs="Times New Roman"/>
          <w:szCs w:val="24"/>
        </w:rPr>
      </w:pPr>
    </w:p>
    <w:p w14:paraId="7CAD813D">
      <w:pPr>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076669A4">
      <w:pPr>
        <w:ind w:firstLine="656" w:firstLineChars="200"/>
        <w:jc w:val="left"/>
        <w:rPr>
          <w:rFonts w:ascii="楷体" w:hAnsi="楷体" w:eastAsia="楷体" w:cs="楷体"/>
          <w:spacing w:val="9"/>
          <w:position w:val="21"/>
          <w:sz w:val="31"/>
          <w:szCs w:val="31"/>
        </w:rPr>
      </w:pPr>
    </w:p>
    <w:p w14:paraId="3398D553"/>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5DEBA">
    <w:pPr>
      <w:pStyle w:val="2"/>
      <w:spacing w:before="1" w:line="174" w:lineRule="auto"/>
      <w:jc w:val="right"/>
      <w:rPr>
        <w:sz w:val="28"/>
        <w:szCs w:val="28"/>
      </w:rPr>
    </w:pPr>
    <w:r>
      <w:rPr>
        <w:sz w:val="28"/>
        <w:szCs w:val="35"/>
        <w:lang w:eastAsia="en-US"/>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366DA35A">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3BF1"/>
    <w:rsid w:val="000249F6"/>
    <w:rsid w:val="00487365"/>
    <w:rsid w:val="00506ED6"/>
    <w:rsid w:val="005E7C60"/>
    <w:rsid w:val="0061010B"/>
    <w:rsid w:val="00752387"/>
    <w:rsid w:val="007F3A7C"/>
    <w:rsid w:val="00867404"/>
    <w:rsid w:val="008B7734"/>
    <w:rsid w:val="00A375C8"/>
    <w:rsid w:val="00B46DB1"/>
    <w:rsid w:val="00C705B3"/>
    <w:rsid w:val="00D26309"/>
    <w:rsid w:val="00DA3BF1"/>
    <w:rsid w:val="00E2732D"/>
    <w:rsid w:val="00F85AB9"/>
    <w:rsid w:val="F63FB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semiHidden/>
    <w:qFormat/>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539</Words>
  <Characters>3075</Characters>
  <Lines>25</Lines>
  <Paragraphs>7</Paragraphs>
  <TotalTime>27</TotalTime>
  <ScaleCrop>false</ScaleCrop>
  <LinksUpToDate>false</LinksUpToDate>
  <CharactersWithSpaces>3607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2025-07-10T16:28:00Z</dcterms:created>
  <dc:creator>webUser</dc:creator>
  <cp:lastModifiedBy>kylin</cp:lastModifiedBy>
  <dcterms:modified xsi:type="dcterms:W3CDTF">2025-11-06T10:35:15Z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D81634415AB6752063090C696C038AFD_42</vt:lpwstr>
  </property>
</Properties>
</file>