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CF24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B207BAC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770F5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45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6A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94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4D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583B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A99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7D8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E4B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53A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93.41%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345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FF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A6E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83126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6C6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5A233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5B8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767D25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2A169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5095D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0.00</w:t>
            </w:r>
          </w:p>
        </w:tc>
      </w:tr>
      <w:tr w14:paraId="01A95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831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9577C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AB4C4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909B7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0A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F58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294601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36AC8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51900A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756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634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55FC7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D87BD3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85B09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CB6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68D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EE1CE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2142D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CB5190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14B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D47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440AC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5A695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A96B3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EDA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2B4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99EEA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292.17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CE35F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301.51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09274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594.26</w:t>
            </w:r>
          </w:p>
        </w:tc>
      </w:tr>
      <w:tr w14:paraId="25DC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2E3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96DCE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292.17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A27E15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301.51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5EC8C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594.26</w:t>
            </w:r>
          </w:p>
        </w:tc>
      </w:tr>
      <w:tr w14:paraId="24E2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EE4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BC697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058E7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0A036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CD4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B72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F103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302A0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8B2DB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351A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9CC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B1801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219.69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338F33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165.60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4F13C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158.95</w:t>
            </w:r>
          </w:p>
        </w:tc>
      </w:tr>
      <w:tr w14:paraId="1A19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8F6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4FEA8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100.58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39CB7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142.00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25669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130.25</w:t>
            </w:r>
          </w:p>
        </w:tc>
      </w:tr>
      <w:tr w14:paraId="4A3F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F14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DE0ED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13.95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5A847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C5CA1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</w:p>
        </w:tc>
      </w:tr>
      <w:tr w14:paraId="51AB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203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EE45F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2.55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3E6CD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23DE6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2.51</w:t>
            </w:r>
          </w:p>
        </w:tc>
      </w:tr>
      <w:tr w14:paraId="42A7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228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637D6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350.00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06F3A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450.00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279B7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450.00</w:t>
            </w:r>
          </w:p>
        </w:tc>
      </w:tr>
      <w:tr w14:paraId="2EB7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6BB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467A1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D4558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-236.99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B9296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578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1B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D2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43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1E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8D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F2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96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18C0F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B98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2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A23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AF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A3E5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131F5036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65DD7641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4BB5F6A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3B04E41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6040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C4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1D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岳阳市金鹗公园管理中心</w:t>
            </w:r>
          </w:p>
        </w:tc>
      </w:tr>
      <w:tr w14:paraId="3428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5F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1EBDE0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3B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CF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0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A5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949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86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B4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5DB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8B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06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560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2095.94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3FD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2151.71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B6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2151.71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43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FF6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885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C8E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49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94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36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3513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03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4B0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2150.82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ABA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1557.45</w:t>
            </w:r>
          </w:p>
        </w:tc>
      </w:tr>
      <w:tr w14:paraId="5000A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067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877A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88AE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594.26</w:t>
            </w:r>
          </w:p>
        </w:tc>
      </w:tr>
      <w:tr w14:paraId="647C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C8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8D0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37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5D7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F81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F846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0.89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37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F4B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E10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70E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A5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2CD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56F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07879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　绿化养护科学精细，公共秩序大力优化，园内保持整洁卫生，隐患排查，防患火灾。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AE0E1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1.提高环境卫生质量。开展常态化清扫保洁，针对环卫设施陈旧、路面沙尘、落叶清运、关键区域排水不良及水面垃圾等突出问题进行集中整治，强化公共场所卫生监督，协助小区进行环境卫生改善。</w:t>
            </w:r>
          </w:p>
          <w:p w14:paraId="4E9C6348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2.提高园林绿化品质。做好日常养护工作，包括除草、防病虫、修剪，补种耐阴植物与乔灌木，提升公园绿化等。更新季节花卉，引入多年生植物，增强花卉景观多样性与美观度。</w:t>
            </w:r>
          </w:p>
          <w:p w14:paraId="76F3BE63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3.加强基础设施建设。加强公共设施维护，保障路灯、厕所、健身设备及建筑安全。建成800平米的清廉文化园，提升东门广场1400平米，维修历史建筑，创建3700平米的垃圾分类教育园，倡导环保新潮流。</w:t>
            </w:r>
          </w:p>
          <w:p w14:paraId="05D83C88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维护公共安全秩序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、消除公共安全隐患。</w:t>
            </w:r>
          </w:p>
        </w:tc>
      </w:tr>
      <w:tr w14:paraId="6C32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DD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2BAEE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733DA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81221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40573C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02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D0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34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1FE9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F2B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BC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86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05E1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408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145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C4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02F44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E4A6C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7D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1B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景点建筑物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维护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0A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6153平方米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3FB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A7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5A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E10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80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19F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E74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C5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5E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广场、游路及山体绿地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维护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12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53720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8F9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2C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2C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AB7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799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F1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42F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19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04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消防设施维护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62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4502米、具、个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101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FC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A4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E3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FD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A2C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C13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31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FB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路灯及公厕等公共设施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维护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10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409盏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AD3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7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4A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50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EBF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C13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177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0B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DA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消防设备维护率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46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18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57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22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F5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04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D86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A0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44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E4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公共设施维护率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CE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5A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B3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9B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FB8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53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080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C1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F2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C0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负责公园全天候安全保卫工作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97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99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F4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8F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92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F1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B11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D11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3B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F5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综治管理及时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ab/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D2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3C7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BD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80C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E3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6AC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955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5D3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B0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2D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控制成本在预算内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99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2151.71万元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EA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2151.71万元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86E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937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11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D1E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C56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40B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1C1BB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49AC8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FF263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65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48689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BD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创造了宜业、宜居、宜游的环境，带动了旅游经济发展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28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96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A3F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4DC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74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E7B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9AE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F9D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9F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46607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54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改善市民居住休闲环境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0D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9E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79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82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F9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434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35B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317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3F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A6BA6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91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生态环境改善情况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AF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有所改善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B1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F44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F41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B6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D84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82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88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AA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5B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val="en-US" w:eastAsia="zh-CN"/>
              </w:rPr>
              <w:t>园区适应未来一定时期的需求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E6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适应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1A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适应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04A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DD3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39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16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E2C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61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492BB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4564C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A2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F3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1B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85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BA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42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39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84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8A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F4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C59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3C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76F8AD8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0C2C290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4BAA8CC"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527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A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业务工作经费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66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0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楼区人民政府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82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岳阳市金鹗公园管理中心</w:t>
            </w:r>
          </w:p>
        </w:tc>
      </w:tr>
      <w:tr w14:paraId="2E1C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8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D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EB8D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9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E5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2145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E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A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03F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E6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7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E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594.26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6E1D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2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D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8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4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8C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38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9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2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E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A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F8D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6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8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4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B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70E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4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B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61B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9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1、提供休闲场所，丰富人民群众文化生活。</w:t>
            </w:r>
          </w:p>
          <w:p w14:paraId="636D8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2、休闲场所提供、公园设施维护与管理、公园绿地管理、公园游览与娱乐项目组织管理、动物繁育与饲养、相关社会服务。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1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</w:p>
        </w:tc>
      </w:tr>
      <w:tr w14:paraId="58D7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387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29D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A9F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1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4908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1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B06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E98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6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2E3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2A2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6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景点建筑物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6153平方米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B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5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C07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3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广场、游路及山体绿地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D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53720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平方米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E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0E6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E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E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消防设施维护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E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4502米、具、个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3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7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4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558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9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路灯及公厕等公共设施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409盏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8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DB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6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5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F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D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景点建筑物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覆盖率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F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F8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8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2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F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广场、游路及山体绿地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覆盖率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A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5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F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2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419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C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D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消防设施维护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覆盖率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7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9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63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0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8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路灯及公厕等公共设施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覆盖率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738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C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7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基础设施维护维修完成时间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D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1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E6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0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9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总成本控制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7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594.27万元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6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E3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8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CA3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B3A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370F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1453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D6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创造了宜业、宜居、宜游的环境，带动了旅游经济发展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01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91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B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C2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6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880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维护公共秩序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效果显著提升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效果显著提升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4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3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1A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8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3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6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4B8B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绿地绿化程度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较大提升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较大提升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AD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7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E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5E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212529"/>
                <w:sz w:val="20"/>
                <w:szCs w:val="20"/>
                <w:lang w:val="en-US" w:eastAsia="zh-CN"/>
              </w:rPr>
              <w:t>园区适应未来一定时期的需求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49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适应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09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适应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D5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3A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F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D47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0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4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35C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1B6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受益对象满意度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C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9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70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B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1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5A879D6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57ECA7BF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6AD6270E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3A4B52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年度岳阳市金鹗公园管理中心</w:t>
      </w:r>
    </w:p>
    <w:p w14:paraId="2B7F21C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2F5395BA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6B5D8865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C182D7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7E976B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A35F52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250B43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0D8766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591CA8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E0B0C48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0A6438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82EE85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E8F6EF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8E5E0AB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部门（单位）名称：岳阳市金鹗公园管理中心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（盖章）</w:t>
      </w:r>
    </w:p>
    <w:p w14:paraId="11F4B195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2A108E7E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6A7C00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年度岳阳楼区金鹗公园管理中心</w:t>
      </w:r>
    </w:p>
    <w:p w14:paraId="3246AF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7D8D4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572E9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4B3A1EDC">
      <w:pPr>
        <w:ind w:left="560" w:left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提供休闲场所，丰富人民群众文化生活。休闲场所提供、公园设施维护与管理、公园绿地管理、公园游览与娱乐项目组织管理、动物繁育与饲养、相关社会服务。在职在编人数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85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人。机构设置5个职能股室：办公室、政工股、安全消防股、旅游服务股、园林建设股。</w:t>
      </w:r>
    </w:p>
    <w:p w14:paraId="4B5B45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一般公共预算支出情况</w:t>
      </w:r>
    </w:p>
    <w:p w14:paraId="6D556EF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10DB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年基本支出年初预算数为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1794.43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万元，实际支出数为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1556.56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万元。其中：人员经费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1397.59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万元，主要包括：基本工资、津贴补贴、奖金、伙食补助费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绩效工资、机关事业单位基本养老保险缴费、职工基本医疗保险缴费、其他社会保障缴费、住房公积金、退休费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、其他对个人和家庭的补助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；公用经费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158.96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万元，主要包括：办公费、印刷费、咨询费、电费、邮电费、差旅费、维修（护）费、培训费、工会经费、福利费、其他交通费用、其他商品和服务支出。</w:t>
      </w:r>
    </w:p>
    <w:p w14:paraId="35A8FA41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22887C89">
      <w:pPr>
        <w:ind w:firstLine="640" w:firstLineChars="200"/>
        <w:jc w:val="left"/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年项目支出年初预算数为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301.51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万元，实际支出数为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594.26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</w:rPr>
        <w:t>除草除杂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宋体" w:hAnsi="宋体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病虫害防治、花灌木和草坪修剪等日常养护工作，绿地补植工作，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提升公园鲜花美化效果，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 w:bidi="ar-SA"/>
        </w:rPr>
        <w:t>加大公共设施排查和检修力度，确保路灯、公厕、健身器材、建筑物等设施的安全运行，完成论语林、东来亭、思贤亭、恩嘉亭及文昌阁南北厢房的整体维修等工作</w:t>
      </w:r>
    </w:p>
    <w:p w14:paraId="561C27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535BE11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年度无政府性基金预算支出。</w:t>
      </w:r>
    </w:p>
    <w:p w14:paraId="23134C1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7CB69E0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年度无国有资本经营预算支出。</w:t>
      </w:r>
    </w:p>
    <w:p w14:paraId="2B86707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3465A06F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会保险基金预算支出。</w:t>
      </w:r>
    </w:p>
    <w:p w14:paraId="61AC5EC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3E4D3F60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我中心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各项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，“四本预算”支出的绩效目标基本完成情况。</w:t>
      </w:r>
    </w:p>
    <w:p w14:paraId="10FD75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存在的问题及原因分析</w:t>
      </w:r>
    </w:p>
    <w:p w14:paraId="03D102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公园建立较早，前期无总体规划，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部分配套设施不完善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基础设施陈旧落后，存在一定安全隐患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CE10A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3DC49A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完成金鹗公园整体规划编制工作，完成金鹗公园消防设施完善项目建设；争取儿童友好示范城市专项资金，将动物园旧址改建成儿童友好示范园；争取新开发银行贷款岳阳水环境改善专项资金，逐年完成仿古建筑整体维修、公厕改造、路灯和导游系统更新、栈道和护栏整体维修、小广场和游园改造、新增监控系统等工作，完善公园基础设施，完成公园更新工作。</w:t>
      </w:r>
    </w:p>
    <w:p w14:paraId="4FF12B6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3364ACE3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我中心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 w14:paraId="1987B4B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7989C38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无。</w:t>
      </w:r>
    </w:p>
    <w:p w14:paraId="301AA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D68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EDD27E-8B38-4F2C-B245-94AD6C429D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3B21D8-214C-442E-A1F0-45796778BEB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4C325FA-1EBB-4C8F-ACCF-B34C8612CF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82CA036-5E3A-493C-9DDB-8EF7DBD0D559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006A3902-90E9-46BE-9BCD-F5B2978FC1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B4B3321-11C0-4A8F-8007-EE6A8FA74C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6964B"/>
    <w:multiLevelType w:val="singleLevel"/>
    <w:tmpl w:val="9E2696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0F22F9D"/>
    <w:rsid w:val="010351AA"/>
    <w:rsid w:val="01350C9C"/>
    <w:rsid w:val="015123B9"/>
    <w:rsid w:val="015974C0"/>
    <w:rsid w:val="01706D91"/>
    <w:rsid w:val="02B811DD"/>
    <w:rsid w:val="02E01C47"/>
    <w:rsid w:val="030A2F9E"/>
    <w:rsid w:val="042F62B6"/>
    <w:rsid w:val="04E05DCB"/>
    <w:rsid w:val="070B300A"/>
    <w:rsid w:val="07AB20F7"/>
    <w:rsid w:val="08D4468A"/>
    <w:rsid w:val="0AA277E2"/>
    <w:rsid w:val="0BC83278"/>
    <w:rsid w:val="0D3D1A44"/>
    <w:rsid w:val="0D676AC1"/>
    <w:rsid w:val="0E2624D8"/>
    <w:rsid w:val="0EEC1973"/>
    <w:rsid w:val="0F1113DA"/>
    <w:rsid w:val="108654B0"/>
    <w:rsid w:val="10B1077E"/>
    <w:rsid w:val="10F1501F"/>
    <w:rsid w:val="10FC5772"/>
    <w:rsid w:val="11477335"/>
    <w:rsid w:val="11A76A18"/>
    <w:rsid w:val="12300CE6"/>
    <w:rsid w:val="13691CCD"/>
    <w:rsid w:val="13CC1D73"/>
    <w:rsid w:val="152F25BA"/>
    <w:rsid w:val="16565924"/>
    <w:rsid w:val="16893F4C"/>
    <w:rsid w:val="16900E36"/>
    <w:rsid w:val="170B2BB3"/>
    <w:rsid w:val="176C18A3"/>
    <w:rsid w:val="17A42169"/>
    <w:rsid w:val="18047D2E"/>
    <w:rsid w:val="18153CE9"/>
    <w:rsid w:val="18273A1C"/>
    <w:rsid w:val="188861E0"/>
    <w:rsid w:val="1A2521DD"/>
    <w:rsid w:val="1AC90DBB"/>
    <w:rsid w:val="1B6E6B2A"/>
    <w:rsid w:val="1B866CAC"/>
    <w:rsid w:val="1C9F02DF"/>
    <w:rsid w:val="1CFC11B5"/>
    <w:rsid w:val="1E8E65A3"/>
    <w:rsid w:val="1ECF44C6"/>
    <w:rsid w:val="1F525966"/>
    <w:rsid w:val="1F9F20EA"/>
    <w:rsid w:val="22966913"/>
    <w:rsid w:val="22B03359"/>
    <w:rsid w:val="22DA1DB7"/>
    <w:rsid w:val="22EA7B20"/>
    <w:rsid w:val="234436D4"/>
    <w:rsid w:val="23641680"/>
    <w:rsid w:val="238910E7"/>
    <w:rsid w:val="24253506"/>
    <w:rsid w:val="24831FDA"/>
    <w:rsid w:val="24D34D10"/>
    <w:rsid w:val="24FA6740"/>
    <w:rsid w:val="25D435F5"/>
    <w:rsid w:val="26103D41"/>
    <w:rsid w:val="26964247"/>
    <w:rsid w:val="26DD00C8"/>
    <w:rsid w:val="27EF6F69"/>
    <w:rsid w:val="286345FC"/>
    <w:rsid w:val="289847C9"/>
    <w:rsid w:val="28991DCC"/>
    <w:rsid w:val="29451F54"/>
    <w:rsid w:val="29B73240"/>
    <w:rsid w:val="2A816AF6"/>
    <w:rsid w:val="2BF10171"/>
    <w:rsid w:val="2C074670"/>
    <w:rsid w:val="2C8D7E9A"/>
    <w:rsid w:val="2CA23219"/>
    <w:rsid w:val="2EDC0415"/>
    <w:rsid w:val="2EF835C5"/>
    <w:rsid w:val="2FC260AC"/>
    <w:rsid w:val="2FD951A4"/>
    <w:rsid w:val="30AD0B0B"/>
    <w:rsid w:val="323112C7"/>
    <w:rsid w:val="323C7542"/>
    <w:rsid w:val="32B85545"/>
    <w:rsid w:val="3350577D"/>
    <w:rsid w:val="34565015"/>
    <w:rsid w:val="34E914C1"/>
    <w:rsid w:val="350C1B78"/>
    <w:rsid w:val="35D45C99"/>
    <w:rsid w:val="35DA6748"/>
    <w:rsid w:val="35EF3A10"/>
    <w:rsid w:val="35F20D6E"/>
    <w:rsid w:val="360F461D"/>
    <w:rsid w:val="36343134"/>
    <w:rsid w:val="36C26992"/>
    <w:rsid w:val="38517C98"/>
    <w:rsid w:val="385950D4"/>
    <w:rsid w:val="38A65E3F"/>
    <w:rsid w:val="38B22A36"/>
    <w:rsid w:val="38F1355F"/>
    <w:rsid w:val="3A6F5083"/>
    <w:rsid w:val="3A7B57D6"/>
    <w:rsid w:val="3B170F7B"/>
    <w:rsid w:val="3B25113E"/>
    <w:rsid w:val="3B5129DA"/>
    <w:rsid w:val="3C0161AE"/>
    <w:rsid w:val="3C680F15"/>
    <w:rsid w:val="3C7F0E81"/>
    <w:rsid w:val="3C81109D"/>
    <w:rsid w:val="3DB46FC5"/>
    <w:rsid w:val="3DDA6CB7"/>
    <w:rsid w:val="3FB83028"/>
    <w:rsid w:val="3FDC2362"/>
    <w:rsid w:val="401047AA"/>
    <w:rsid w:val="40302BBE"/>
    <w:rsid w:val="404B7DB0"/>
    <w:rsid w:val="412070D7"/>
    <w:rsid w:val="415C7ADD"/>
    <w:rsid w:val="41B94E35"/>
    <w:rsid w:val="42BE6BA7"/>
    <w:rsid w:val="434500D6"/>
    <w:rsid w:val="4550160D"/>
    <w:rsid w:val="471C20EE"/>
    <w:rsid w:val="477261B2"/>
    <w:rsid w:val="48531B40"/>
    <w:rsid w:val="488066AD"/>
    <w:rsid w:val="488501FF"/>
    <w:rsid w:val="49C56A6D"/>
    <w:rsid w:val="4A2C089A"/>
    <w:rsid w:val="4B3E493E"/>
    <w:rsid w:val="4B9A64FB"/>
    <w:rsid w:val="4C147838"/>
    <w:rsid w:val="4C434755"/>
    <w:rsid w:val="4D710D8B"/>
    <w:rsid w:val="4E612ADD"/>
    <w:rsid w:val="4FC7696F"/>
    <w:rsid w:val="5019541D"/>
    <w:rsid w:val="505F4DFA"/>
    <w:rsid w:val="51477D68"/>
    <w:rsid w:val="520E5D83"/>
    <w:rsid w:val="523F4EE3"/>
    <w:rsid w:val="52817CEB"/>
    <w:rsid w:val="52EA4E4F"/>
    <w:rsid w:val="53AD7BDA"/>
    <w:rsid w:val="5415414D"/>
    <w:rsid w:val="5435659E"/>
    <w:rsid w:val="56A678AF"/>
    <w:rsid w:val="56E83DA1"/>
    <w:rsid w:val="577E200A"/>
    <w:rsid w:val="583152CE"/>
    <w:rsid w:val="583A74BC"/>
    <w:rsid w:val="583D1D79"/>
    <w:rsid w:val="58CF5213"/>
    <w:rsid w:val="59886344"/>
    <w:rsid w:val="5AAE0E58"/>
    <w:rsid w:val="5AD563E4"/>
    <w:rsid w:val="5B863B83"/>
    <w:rsid w:val="5C533A65"/>
    <w:rsid w:val="5C7C618F"/>
    <w:rsid w:val="5CEB4A45"/>
    <w:rsid w:val="5D7A7962"/>
    <w:rsid w:val="5E3649E5"/>
    <w:rsid w:val="5F1F0576"/>
    <w:rsid w:val="5F5054DB"/>
    <w:rsid w:val="6192502F"/>
    <w:rsid w:val="626F619A"/>
    <w:rsid w:val="62894684"/>
    <w:rsid w:val="63FB79D0"/>
    <w:rsid w:val="663743F7"/>
    <w:rsid w:val="681A04AD"/>
    <w:rsid w:val="685A568A"/>
    <w:rsid w:val="68837B39"/>
    <w:rsid w:val="6902539D"/>
    <w:rsid w:val="696038C5"/>
    <w:rsid w:val="697A2F79"/>
    <w:rsid w:val="69A022B3"/>
    <w:rsid w:val="6A8B4D12"/>
    <w:rsid w:val="6A947A25"/>
    <w:rsid w:val="6AF24D91"/>
    <w:rsid w:val="6C5C0714"/>
    <w:rsid w:val="6C865790"/>
    <w:rsid w:val="6D1C57AD"/>
    <w:rsid w:val="6EAB5982"/>
    <w:rsid w:val="6F4162E7"/>
    <w:rsid w:val="704D7FE5"/>
    <w:rsid w:val="70AB1C6A"/>
    <w:rsid w:val="70C64CF5"/>
    <w:rsid w:val="717D79A1"/>
    <w:rsid w:val="71BB5EDC"/>
    <w:rsid w:val="71D858A6"/>
    <w:rsid w:val="724E74BA"/>
    <w:rsid w:val="73D72D76"/>
    <w:rsid w:val="73D83EF4"/>
    <w:rsid w:val="74884070"/>
    <w:rsid w:val="74951A61"/>
    <w:rsid w:val="74CA3F6B"/>
    <w:rsid w:val="75660855"/>
    <w:rsid w:val="76592168"/>
    <w:rsid w:val="76595CC4"/>
    <w:rsid w:val="771029DD"/>
    <w:rsid w:val="771434BB"/>
    <w:rsid w:val="78686E6C"/>
    <w:rsid w:val="78A84CE1"/>
    <w:rsid w:val="7A2E3365"/>
    <w:rsid w:val="7B362A78"/>
    <w:rsid w:val="7C02295A"/>
    <w:rsid w:val="7C9A0DE4"/>
    <w:rsid w:val="7C9B7036"/>
    <w:rsid w:val="7CFB5381"/>
    <w:rsid w:val="7CFB5D27"/>
    <w:rsid w:val="7D033C70"/>
    <w:rsid w:val="7DD15C5F"/>
    <w:rsid w:val="7EC107E4"/>
    <w:rsid w:val="7EEF6318"/>
    <w:rsid w:val="7F460DAF"/>
    <w:rsid w:val="7FF56A5D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next w:val="1"/>
    <w:autoRedefine/>
    <w:qFormat/>
    <w:uiPriority w:val="99"/>
    <w:pPr>
      <w:widowControl w:val="0"/>
      <w:ind w:left="1680" w:leftChars="80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4164</Words>
  <Characters>4647</Characters>
  <Lines>0</Lines>
  <Paragraphs>0</Paragraphs>
  <TotalTime>10</TotalTime>
  <ScaleCrop>false</ScaleCrop>
  <LinksUpToDate>false</LinksUpToDate>
  <CharactersWithSpaces>4889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阿朵</cp:lastModifiedBy>
  <dcterms:modified xsi:type="dcterms:W3CDTF">2025-06-20T11:46:50Z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E6FAEB0550764ADCB6AD68FE44AB2321_13</vt:lpwstr>
  </property>
  <property fmtid="{D5CDD505-2E9C-101B-9397-08002B2CF9AE}" pid="4" name="KSOTemplateDocerSaveRecord">
    <vt:lpwstr>eyJoZGlkIjoiZjFmZWIzNDg2MmIzZjExOTIzMmViNTBmYTMwYTk0ZWYiLCJ1c2VySWQiOiI2MDE2NTg1ODEifQ==</vt:lpwstr>
  </property>
</Properties>
</file>