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整体支出绩效评价基础数据表</w:t>
      </w:r>
    </w:p>
    <w:p>
      <w:pPr>
        <w:spacing w:line="115" w:lineRule="exact"/>
        <w:rPr>
          <w:color w:val="000000"/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  <w:t>中共岳阳市岳阳楼区委员会组织部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1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9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9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-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5.21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5.21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294.08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467.72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294.08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292.35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老干活动中心项目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175.37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级专项资金(一个专项一行)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  <w:lang w:val="en-US" w:eastAsia="zh-CN"/>
              </w:rPr>
              <w:t>4、上级移支付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(一个专项一行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85.68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85.80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5.89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34.40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0.30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372.30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102.90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242.48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-9.32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4"/>
                <w:szCs w:val="24"/>
              </w:rPr>
              <w:t>楼堂馆所控制情况</w:t>
            </w:r>
          </w:p>
          <w:p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(202</w:t>
            </w:r>
            <w:r>
              <w:rPr>
                <w:rFonts w:hint="eastAsia" w:ascii="宋体" w:hAnsi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批复规模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预算投资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算控制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86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8"/>
          <w:szCs w:val="28"/>
        </w:rPr>
        <w:sectPr>
          <w:footerReference r:id="rId3" w:type="default"/>
          <w:pgSz w:w="11900" w:h="16833"/>
          <w:pgMar w:top="1429" w:right="1106" w:bottom="1253" w:left="1111" w:header="0" w:footer="964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填报日期：</w:t>
      </w:r>
    </w:p>
    <w:p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年度预算单位整体支出绩效自评表</w:t>
      </w:r>
    </w:p>
    <w:p>
      <w:pPr>
        <w:spacing w:line="132" w:lineRule="exact"/>
      </w:pPr>
    </w:p>
    <w:tbl>
      <w:tblPr>
        <w:tblStyle w:val="8"/>
        <w:tblW w:w="100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34"/>
        <w:gridCol w:w="1269"/>
        <w:gridCol w:w="1310"/>
        <w:gridCol w:w="1268"/>
        <w:gridCol w:w="716"/>
        <w:gridCol w:w="873"/>
        <w:gridCol w:w="14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7" w:type="dxa"/>
            <w:gridSpan w:val="3"/>
            <w:noWrap w:val="0"/>
            <w:vAlign w:val="top"/>
          </w:tcPr>
          <w:p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预算单位名称</w:t>
            </w:r>
          </w:p>
        </w:tc>
        <w:tc>
          <w:tcPr>
            <w:tcW w:w="6886" w:type="dxa"/>
            <w:gridSpan w:val="6"/>
            <w:noWrap w:val="0"/>
            <w:vAlign w:val="top"/>
          </w:tcPr>
          <w:p>
            <w:pPr>
              <w:pStyle w:val="9"/>
              <w:spacing w:line="239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中共岳阳市岳阳楼区委员会组织部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pacing w:val="41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年度预</w:t>
            </w:r>
            <w:r>
              <w:rPr>
                <w:rFonts w:hint="eastAsia" w:ascii="宋体" w:hAnsi="宋体" w:eastAsia="宋体" w:cs="宋体"/>
                <w:spacing w:val="41"/>
                <w:sz w:val="19"/>
                <w:szCs w:val="19"/>
              </w:rPr>
              <w:t>算申请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（万元）</w:t>
            </w:r>
          </w:p>
        </w:tc>
        <w:tc>
          <w:tcPr>
            <w:tcW w:w="2113" w:type="dxa"/>
            <w:gridSpan w:val="2"/>
            <w:noWrap w:val="0"/>
            <w:vAlign w:val="top"/>
          </w:tcPr>
          <w:p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310" w:type="dxa"/>
            <w:noWrap w:val="0"/>
            <w:vAlign w:val="top"/>
          </w:tcPr>
          <w:p>
            <w:pPr>
              <w:spacing w:before="20" w:line="208" w:lineRule="auto"/>
              <w:ind w:left="1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68" w:type="dxa"/>
            <w:noWrap w:val="0"/>
            <w:vAlign w:val="top"/>
          </w:tcPr>
          <w:p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spacing w:before="20" w:line="208" w:lineRule="auto"/>
              <w:ind w:left="3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113" w:type="dxa"/>
            <w:gridSpan w:val="2"/>
            <w:noWrap w:val="0"/>
            <w:vAlign w:val="top"/>
          </w:tcPr>
          <w:p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69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1263.37</w:t>
            </w:r>
          </w:p>
        </w:tc>
        <w:tc>
          <w:tcPr>
            <w:tcW w:w="131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1161.77</w:t>
            </w:r>
          </w:p>
        </w:tc>
        <w:tc>
          <w:tcPr>
            <w:tcW w:w="1268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1161.77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19"/>
                <w:szCs w:val="19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100%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>
            <w:pPr>
              <w:spacing w:before="22" w:line="206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按收入性质分：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>
            <w:pPr>
              <w:spacing w:before="22" w:line="206" w:lineRule="auto"/>
              <w:ind w:left="1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按支出性质分：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>
            <w:pPr>
              <w:spacing w:before="21" w:line="207" w:lineRule="auto"/>
              <w:ind w:left="312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其中：</w:t>
            </w:r>
            <w:r>
              <w:rPr>
                <w:rFonts w:hint="eastAsia" w:ascii="宋体" w:hAnsi="宋体" w:eastAsia="宋体" w:cs="宋体"/>
                <w:spacing w:val="24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一般公共预算：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  <w:lang w:val="en-US" w:eastAsia="zh-CN"/>
              </w:rPr>
              <w:t>1161.77</w:t>
            </w:r>
          </w:p>
        </w:tc>
        <w:tc>
          <w:tcPr>
            <w:tcW w:w="4307" w:type="dxa"/>
            <w:gridSpan w:val="4"/>
            <w:noWrap w:val="0"/>
            <w:vAlign w:val="top"/>
          </w:tcPr>
          <w:p>
            <w:pPr>
              <w:spacing w:before="21" w:line="207" w:lineRule="auto"/>
              <w:ind w:left="115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其中：基本支出：</w:t>
            </w: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  <w:t>694.05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>
            <w:pPr>
              <w:spacing w:before="21" w:line="207" w:lineRule="auto"/>
              <w:ind w:left="9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政府性基金拨款：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>
            <w:pPr>
              <w:spacing w:before="21" w:line="207" w:lineRule="auto"/>
              <w:ind w:left="717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</w:rPr>
              <w:t>项目支出：</w:t>
            </w: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:lang w:val="en-US" w:eastAsia="zh-CN"/>
              </w:rPr>
              <w:t>467.72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>
            <w:pPr>
              <w:spacing w:before="20" w:line="208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纳入专户管理的非税收入拨款：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>
            <w:pPr>
              <w:spacing w:before="20" w:line="208" w:lineRule="auto"/>
              <w:ind w:left="151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其他资金：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692" w:type="dxa"/>
            <w:gridSpan w:val="4"/>
            <w:noWrap w:val="0"/>
            <w:vAlign w:val="top"/>
          </w:tcPr>
          <w:p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307" w:type="dxa"/>
            <w:gridSpan w:val="4"/>
            <w:noWrap w:val="0"/>
            <w:vAlign w:val="top"/>
          </w:tcPr>
          <w:p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目标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1：</w:t>
            </w:r>
            <w:r>
              <w:rPr>
                <w:rFonts w:hint="eastAsia" w:ascii="宋体" w:hAnsi="宋体" w:eastAsia="宋体" w:cs="宋体"/>
              </w:rPr>
              <w:t>制订加强党的组织建设的规定和措施；</w:t>
            </w:r>
          </w:p>
          <w:p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目标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2：</w:t>
            </w:r>
            <w:r>
              <w:rPr>
                <w:rFonts w:hint="eastAsia" w:ascii="宋体" w:hAnsi="宋体" w:eastAsia="宋体" w:cs="宋体"/>
              </w:rPr>
              <w:t>制定和参与制定组织、干部、人事工作的规章、制度，并对重要经验进行总结推介；</w:t>
            </w:r>
          </w:p>
          <w:p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目标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3：</w:t>
            </w:r>
            <w:r>
              <w:rPr>
                <w:rFonts w:hint="eastAsia" w:ascii="宋体" w:hAnsi="宋体" w:eastAsia="宋体" w:cs="宋体"/>
              </w:rPr>
              <w:t>组织全区组织系统信息网络建设；</w:t>
            </w:r>
          </w:p>
          <w:p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目标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4：</w:t>
            </w:r>
            <w:r>
              <w:rPr>
                <w:rFonts w:hint="eastAsia" w:ascii="宋体" w:hAnsi="宋体" w:eastAsia="宋体" w:cs="宋体"/>
              </w:rPr>
              <w:t xml:space="preserve">负责干部监督工作。 </w:t>
            </w:r>
          </w:p>
        </w:tc>
        <w:tc>
          <w:tcPr>
            <w:tcW w:w="4307" w:type="dxa"/>
            <w:gridSpan w:val="4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1.</w:t>
            </w:r>
            <w:r>
              <w:rPr>
                <w:rFonts w:hint="eastAsia" w:ascii="宋体" w:hAnsi="宋体" w:eastAsia="宋体" w:cs="宋体"/>
                <w:lang w:eastAsia="zh-CN"/>
              </w:rPr>
              <w:t>深化主题教育，提质教育质量，提升培训实效，深化政治建设。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2.</w:t>
            </w:r>
            <w:r>
              <w:rPr>
                <w:rFonts w:hint="eastAsia" w:ascii="宋体" w:hAnsi="宋体" w:eastAsia="宋体" w:cs="宋体"/>
                <w:lang w:eastAsia="zh-CN"/>
              </w:rPr>
              <w:t>调整干部批次，提拔人才，助推行政编制消超工作顺利完成，大力推进薪火工程，</w:t>
            </w:r>
            <w:r>
              <w:rPr>
                <w:rFonts w:hint="eastAsia" w:ascii="宋体" w:hAnsi="宋体" w:eastAsia="宋体" w:cs="宋体"/>
              </w:rPr>
              <w:t>加强队伍建设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3.</w:t>
            </w:r>
            <w:r>
              <w:rPr>
                <w:rFonts w:hint="eastAsia" w:ascii="宋体" w:hAnsi="宋体" w:eastAsia="宋体" w:cs="宋体"/>
              </w:rPr>
              <w:t>提升一批党建阵地，依托现有的“党建+网格化微治理”工作体系</w:t>
            </w:r>
            <w:r>
              <w:rPr>
                <w:rFonts w:hint="eastAsia" w:ascii="宋体" w:hAnsi="宋体" w:eastAsia="宋体" w:cs="宋体"/>
                <w:lang w:eastAsia="zh-CN"/>
              </w:rPr>
              <w:t>，推选小区居民代表、组建小区党组织并让覆盖率达100%、成立业委会党组织，</w:t>
            </w:r>
            <w:r>
              <w:rPr>
                <w:rFonts w:hint="eastAsia" w:ascii="宋体" w:hAnsi="宋体" w:eastAsia="宋体" w:cs="宋体"/>
              </w:rPr>
              <w:t>完善一批基层组织，解决民生保障、优化营商环境等方面问题2083个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>办成了一批民生实事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>落实党建引领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4.</w:t>
            </w:r>
            <w:r>
              <w:rPr>
                <w:rFonts w:hint="eastAsia" w:ascii="宋体" w:hAnsi="宋体" w:eastAsia="宋体" w:cs="宋体"/>
              </w:rPr>
              <w:t>创新引才聚智</w:t>
            </w:r>
            <w:r>
              <w:rPr>
                <w:rFonts w:hint="eastAsia" w:ascii="宋体" w:hAnsi="宋体" w:eastAsia="宋体" w:cs="宋体"/>
                <w:lang w:eastAsia="zh-CN"/>
              </w:rPr>
              <w:t>，开展教育系统“四海揽才”专项行动，基础评分环节创造性增加了组织部、人社局“双复核”程序，全力推进高校人才留岳工作，以教育、卫健部门为试点单位，出台系列人才工作方案，探索人才培育机制。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5.</w:t>
            </w:r>
            <w:r>
              <w:rPr>
                <w:rFonts w:hint="eastAsia" w:ascii="宋体" w:hAnsi="宋体" w:eastAsia="宋体" w:cs="宋体"/>
              </w:rPr>
              <w:t>实施精准考核</w:t>
            </w:r>
            <w:r>
              <w:rPr>
                <w:rFonts w:hint="eastAsia" w:ascii="宋体" w:hAnsi="宋体" w:eastAsia="宋体" w:cs="宋体"/>
                <w:lang w:eastAsia="zh-CN"/>
              </w:rPr>
              <w:t>，推动考核指标系统化，差异化制定街道（乡）和区直两个细则，将全区101家单位分为8个系列考核。将首善之区建设的中长期规划和《政府工作报告》明确的任务，逐项细化到责任单位。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pStyle w:val="9"/>
              <w:spacing w:line="364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9"/>
                <w:sz w:val="19"/>
                <w:szCs w:val="19"/>
              </w:rPr>
              <w:t>绩效指标</w:t>
            </w:r>
          </w:p>
        </w:tc>
        <w:tc>
          <w:tcPr>
            <w:tcW w:w="107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103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69" w:type="dxa"/>
            <w:noWrap w:val="0"/>
            <w:vAlign w:val="top"/>
          </w:tcPr>
          <w:p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310" w:type="dxa"/>
            <w:noWrap w:val="0"/>
            <w:vAlign w:val="top"/>
          </w:tcPr>
          <w:p>
            <w:pPr>
              <w:spacing w:before="141" w:line="226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年度指标值</w:t>
            </w:r>
          </w:p>
        </w:tc>
        <w:tc>
          <w:tcPr>
            <w:tcW w:w="1268" w:type="dxa"/>
            <w:noWrap w:val="0"/>
            <w:vAlign w:val="top"/>
          </w:tcPr>
          <w:p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实际完成值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spacing w:before="141" w:line="227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spacing w:before="174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9"/>
                <w:sz w:val="16"/>
                <w:szCs w:val="16"/>
              </w:rPr>
              <w:t>自评得分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偏差原因</w:t>
            </w:r>
            <w:r>
              <w:rPr>
                <w:rFonts w:hint="eastAsia" w:ascii="宋体" w:hAnsi="宋体" w:cs="宋体"/>
                <w:spacing w:val="13"/>
                <w:sz w:val="19"/>
                <w:szCs w:val="19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及改进措施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before="62" w:line="450" w:lineRule="exact"/>
              <w:ind w:left="144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19"/>
                <w:sz w:val="19"/>
                <w:szCs w:val="19"/>
              </w:rPr>
              <w:t>产出指标</w:t>
            </w:r>
          </w:p>
          <w:p>
            <w:pPr>
              <w:spacing w:line="261" w:lineRule="exact"/>
              <w:ind w:left="252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提升全区公务员队伍1800多人综合素质，提高执政能力。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共194名干部参加了培训，举办为期3天的封闭式专题培训班，13名区委常委会组成成员轮流为全区党员干部授课，受训人员覆盖到社区（村）共计1300余人，领导干部覆盖率达100%。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提升党建阵地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高标准完成了长鑫社区、奇家社区等3个平台建设，完成了学院路社区等4个平台改扩建，打造小区党群服务站97个。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开展教育系统“四海揽才”专项行动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≥60%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招聘的37名青年人才中，“双一流”本科14人，硕士研究生14人，占比75.7%。全力推进高校人才留岳工作，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解决民生保障、优化营商环境等方面问题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2083个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2083个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党组织覆盖率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100%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解决问题及时率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围绕守护好一江碧水、垃圾分类、防溺水等重点工作，累计收集问题信息1000余条，解决问题980余件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，问题解决效率达98%。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基层基础建设完成率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开展培训率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项目完成率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项目完成时间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2023年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2023年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基层建设时效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2023年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2023年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专业培训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2023年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2023年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控制支出在预算内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62" w:line="480" w:lineRule="exact"/>
              <w:ind w:left="115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>
            <w:pPr>
              <w:spacing w:line="227" w:lineRule="auto"/>
              <w:ind w:left="107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提高资金使用率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使资金发挥最大效用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使资金发挥最大效用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反向促进经济提升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有提升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有提升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干部队伍和人才队伍管理率达100%，为富民强区提供坚实基础；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党员干部思想理论武装得到加强；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党员干部思想理论武装得到加强；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保障党员、群众、老干部的基本权益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有效保障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有效保障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党的影响力、覆盖率达100%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实现可持续发展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实现可持续发展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提高人才队伍幸福感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有提高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有提高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084" w:type="dxa"/>
            <w:vMerge w:val="continue"/>
            <w:tcBorders>
              <w:top w:val="nil"/>
              <w:bottom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110" w:line="226" w:lineRule="auto"/>
              <w:ind w:left="251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>
            <w:pPr>
              <w:spacing w:before="7" w:line="226" w:lineRule="auto"/>
              <w:ind w:left="345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>
            <w:pPr>
              <w:spacing w:before="7" w:line="227" w:lineRule="auto"/>
              <w:ind w:left="114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10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6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党员干部和群众满意度</w:t>
            </w:r>
          </w:p>
        </w:tc>
        <w:tc>
          <w:tcPr>
            <w:tcW w:w="13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12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98%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="宋体"/>
          <w:sz w:val="28"/>
          <w:szCs w:val="28"/>
          <w:lang w:eastAsia="zh-CN"/>
        </w:rPr>
        <w:sectPr>
          <w:footerReference r:id="rId4" w:type="default"/>
          <w:pgSz w:w="11900" w:h="16833"/>
          <w:pgMar w:top="1429" w:right="1106" w:bottom="1310" w:left="1111" w:header="0" w:footer="1020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8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业务工作经费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中共岳阳市岳阳楼区委员会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中共岳阳市岳阳楼区委员会组织部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560.00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292.35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292.35</w:t>
            </w:r>
          </w:p>
        </w:tc>
        <w:tc>
          <w:tcPr>
            <w:tcW w:w="673" w:type="dxa"/>
            <w:noWrap w:val="0"/>
            <w:vAlign w:val="top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100%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560.00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292.35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292.35</w:t>
            </w:r>
          </w:p>
        </w:tc>
        <w:tc>
          <w:tcPr>
            <w:tcW w:w="673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>
            <w:pPr>
              <w:pStyle w:val="9"/>
              <w:rPr>
                <w:rFonts w:hint="eastAsia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目标</w:t>
            </w:r>
            <w:r>
              <w:rPr>
                <w:rFonts w:hint="eastAsia" w:ascii="宋体" w:hAnsi="宋体" w:eastAsia="宋体" w:cs="宋体"/>
              </w:rPr>
              <w:t>1.</w:t>
            </w: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干部教育管理</w:t>
            </w:r>
            <w:r>
              <w:rPr>
                <w:rFonts w:hint="eastAsia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9"/>
              <w:rPr>
                <w:rFonts w:hint="eastAsia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eastAsia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进一步加强公务员队伍管理、基层组织建设</w:t>
            </w:r>
            <w:r>
              <w:rPr>
                <w:rFonts w:hint="eastAsia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4249" w:type="dxa"/>
            <w:gridSpan w:val="4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预期目标已完成。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pStyle w:val="9"/>
              <w:spacing w:line="366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9"/>
              <w:spacing w:line="257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175" w:hanging="19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提升全区公务员队伍1800多人综合素质，提高执政能力。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提升党建阵地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开展教育系统“四海揽才”专项行动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≥60%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75.7%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解决民生保障、优化营商环境等方面问题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2083个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2083个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175" w:hanging="196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党组织覆盖率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100%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解决问题及时率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98%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开展培训率</w:t>
            </w:r>
          </w:p>
        </w:tc>
        <w:tc>
          <w:tcPr>
            <w:tcW w:w="124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2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175" w:hanging="178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项目完成时间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2023年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2023年</w:t>
            </w:r>
          </w:p>
        </w:tc>
        <w:tc>
          <w:tcPr>
            <w:tcW w:w="67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24" w:lineRule="exact"/>
              <w:jc w:val="center"/>
              <w:rPr>
                <w:rFonts w:hint="eastAsia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9"/>
              <w:spacing w:line="224" w:lineRule="exact"/>
              <w:jc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175" w:hanging="19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控制支出在预算内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7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10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175" w:hanging="6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提高资金使用率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使资金发挥最大效用</w:t>
            </w:r>
          </w:p>
        </w:tc>
        <w:tc>
          <w:tcPr>
            <w:tcW w:w="128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使资金发挥最大效用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反向促进经济提升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有提升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有提升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干部队伍和人才队伍管理率达100%，为富民强区提供坚实基础；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党员干部思想理论武装得到加强；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党员干部思想理论武装得到加强；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加强基层组织建设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有提高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  <w:lang w:val="en-US" w:eastAsia="zh-CN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党的影响力、覆盖率达100%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实现可持续发展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实现可持续发展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0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提升公务员队伍管理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有提高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党员干部和群众满意度</w:t>
            </w:r>
          </w:p>
        </w:tc>
        <w:tc>
          <w:tcPr>
            <w:tcW w:w="124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12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10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69" w:hRule="atLeast"/>
        </w:trPr>
        <w:tc>
          <w:tcPr>
            <w:tcW w:w="68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100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</w:tbl>
    <w:p>
      <w:pPr>
        <w:pStyle w:val="2"/>
        <w:spacing w:before="232" w:line="228" w:lineRule="auto"/>
        <w:ind w:left="575"/>
        <w:rPr>
          <w:sz w:val="17"/>
          <w:szCs w:val="17"/>
        </w:rPr>
      </w:pPr>
      <w:r>
        <w:rPr>
          <w:rFonts w:hint="eastAsia" w:ascii="宋体" w:hAnsi="宋体" w:eastAsia="宋体" w:cs="宋体"/>
          <w:spacing w:val="3"/>
          <w:sz w:val="17"/>
          <w:szCs w:val="17"/>
        </w:rPr>
        <w:t>备注： 每个一级项目支出一张表。 如， 业务工作经</w:t>
      </w:r>
      <w:r>
        <w:rPr>
          <w:rFonts w:hint="eastAsia" w:ascii="宋体" w:hAnsi="宋体" w:eastAsia="宋体" w:cs="宋体"/>
          <w:spacing w:val="2"/>
          <w:sz w:val="17"/>
          <w:szCs w:val="17"/>
        </w:rPr>
        <w:t>费，运行维护经费，其他事业发展类资金</w:t>
      </w:r>
      <w:r>
        <w:rPr>
          <w:rFonts w:hint="eastAsia" w:ascii="宋体" w:hAnsi="宋体" w:eastAsia="宋体" w:cs="宋体"/>
          <w:spacing w:val="-52"/>
          <w:sz w:val="17"/>
          <w:szCs w:val="17"/>
        </w:rPr>
        <w:t xml:space="preserve"> </w:t>
      </w:r>
      <w:r>
        <w:rPr>
          <w:rFonts w:hint="eastAsia" w:ascii="宋体" w:hAnsi="宋体" w:eastAsia="宋体" w:cs="宋体"/>
          <w:spacing w:val="2"/>
          <w:sz w:val="17"/>
          <w:szCs w:val="17"/>
        </w:rPr>
        <w:t>…各一张表。</w:t>
      </w:r>
    </w:p>
    <w:p>
      <w:pPr>
        <w:spacing w:line="217" w:lineRule="auto"/>
        <w:rPr>
          <w:sz w:val="22"/>
          <w:szCs w:val="22"/>
        </w:rPr>
      </w:pPr>
    </w:p>
    <w:p>
      <w:pPr>
        <w:spacing w:before="191" w:line="230" w:lineRule="auto"/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>
      <w:pP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</w:pP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br w:type="page"/>
      </w:r>
    </w:p>
    <w:p>
      <w:pPr>
        <w:spacing w:before="191" w:line="230" w:lineRule="auto"/>
        <w:rPr>
          <w:rFonts w:hint="eastAsia"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8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老干活动中心项目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中共岳阳市岳阳楼区委员会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中共岳阳市岳阳楼区委员会组织部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560.00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175.37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175.37</w:t>
            </w:r>
          </w:p>
        </w:tc>
        <w:tc>
          <w:tcPr>
            <w:tcW w:w="673" w:type="dxa"/>
            <w:noWrap w:val="0"/>
            <w:vAlign w:val="top"/>
          </w:tcPr>
          <w:p>
            <w:pPr>
              <w:spacing w:before="64" w:line="195" w:lineRule="auto"/>
              <w:ind w:left="33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8"/>
                <w:sz w:val="19"/>
                <w:szCs w:val="19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pStyle w:val="9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100%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9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560.00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175.37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175.37</w:t>
            </w:r>
          </w:p>
        </w:tc>
        <w:tc>
          <w:tcPr>
            <w:tcW w:w="673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>
            <w:pPr>
              <w:pStyle w:val="9"/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eastAsia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丰富全区党员业务文化生活。</w:t>
            </w:r>
          </w:p>
          <w:p>
            <w:pPr>
              <w:pStyle w:val="9"/>
              <w:rPr>
                <w:rFonts w:hint="eastAsia" w:ascii="Aria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eastAsia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完善老干部活动、老年保健知识宣传、老干部待遇的落实。</w:t>
            </w:r>
          </w:p>
        </w:tc>
        <w:tc>
          <w:tcPr>
            <w:tcW w:w="4249" w:type="dxa"/>
            <w:gridSpan w:val="4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预期目标已完成。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pStyle w:val="9"/>
              <w:spacing w:line="366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慰问次数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≧1次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接待党支部学习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≧1次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开展有益老同志身心健康的各类活动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≧1次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慰问率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项目完成率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项目完成时间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2023年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2023年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控制支出在预算内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提高资金使用率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使资金发挥最大效用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使资金发挥最大效用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丰富全区党员业余文化生活，增强生活幸福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增强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增强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保障党员、群众、老干部的基本权益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有效保障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有效保障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党群关系密切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密切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关系密切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生态效益指标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党的影响力、覆盖率达100%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实现可持续发展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实现可持续发展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提高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党员干部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幸福感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有提高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有提高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党员干部和群众满意度</w:t>
            </w:r>
          </w:p>
        </w:tc>
        <w:tc>
          <w:tcPr>
            <w:tcW w:w="124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≧90%</w:t>
            </w:r>
          </w:p>
        </w:tc>
        <w:tc>
          <w:tcPr>
            <w:tcW w:w="12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9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%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</w:tbl>
    <w:p>
      <w:pPr>
        <w:pStyle w:val="2"/>
        <w:spacing w:before="232" w:line="228" w:lineRule="auto"/>
        <w:ind w:left="575"/>
        <w:rPr>
          <w:sz w:val="17"/>
          <w:szCs w:val="17"/>
        </w:rPr>
      </w:pPr>
      <w:r>
        <w:rPr>
          <w:rFonts w:hint="eastAsia" w:ascii="宋体" w:hAnsi="宋体" w:eastAsia="宋体" w:cs="宋体"/>
          <w:spacing w:val="3"/>
          <w:sz w:val="17"/>
          <w:szCs w:val="17"/>
        </w:rPr>
        <w:t>备注： 每个一级项目支出一张表。 如， 业务工作经</w:t>
      </w:r>
      <w:r>
        <w:rPr>
          <w:rFonts w:hint="eastAsia" w:ascii="宋体" w:hAnsi="宋体" w:eastAsia="宋体" w:cs="宋体"/>
          <w:spacing w:val="2"/>
          <w:sz w:val="17"/>
          <w:szCs w:val="17"/>
        </w:rPr>
        <w:t>费，运行维护经费，其他事业发展类资金</w:t>
      </w:r>
      <w:r>
        <w:rPr>
          <w:rFonts w:hint="eastAsia" w:ascii="宋体" w:hAnsi="宋体" w:eastAsia="宋体" w:cs="宋体"/>
          <w:spacing w:val="-52"/>
          <w:sz w:val="17"/>
          <w:szCs w:val="17"/>
        </w:rPr>
        <w:t xml:space="preserve"> </w:t>
      </w:r>
      <w:r>
        <w:rPr>
          <w:rFonts w:hint="eastAsia" w:ascii="宋体" w:hAnsi="宋体" w:eastAsia="宋体" w:cs="宋体"/>
          <w:spacing w:val="2"/>
          <w:sz w:val="17"/>
          <w:szCs w:val="17"/>
        </w:rPr>
        <w:t>…各一张表。</w:t>
      </w:r>
    </w:p>
    <w:p>
      <w:pPr>
        <w:spacing w:line="217" w:lineRule="auto"/>
        <w:rPr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2"/>
          <w:szCs w:val="22"/>
        </w:rPr>
        <w:sectPr>
          <w:footerReference r:id="rId5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>
      <w:pPr>
        <w:spacing w:before="64" w:line="230" w:lineRule="auto"/>
        <w:rPr>
          <w:rFonts w:ascii="黑体" w:hAnsi="黑体" w:eastAsia="黑体" w:cs="黑体"/>
          <w:spacing w:val="-4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 5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2"/>
          <w:sz w:val="42"/>
          <w:szCs w:val="42"/>
          <w:lang w:eastAsia="zh-CN"/>
        </w:rPr>
        <w:t>中共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岳阳市岳阳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2"/>
          <w:sz w:val="42"/>
          <w:szCs w:val="42"/>
          <w:lang w:eastAsia="zh-CN"/>
        </w:rPr>
        <w:t>楼区委员会组织部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整体支出绩效自评报告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2"/>
        <w:spacing w:before="100" w:line="221" w:lineRule="auto"/>
        <w:ind w:left="1902"/>
      </w:pPr>
      <w:r>
        <w:rPr>
          <w:spacing w:val="-10"/>
        </w:rPr>
        <w:t>部门（单位）名称</w:t>
      </w:r>
      <w:r>
        <w:rPr>
          <w:spacing w:val="4"/>
        </w:rPr>
        <w:t>：</w:t>
      </w:r>
      <w:r>
        <w:rPr>
          <w:spacing w:val="-118"/>
        </w:rPr>
        <w:t xml:space="preserve"> </w:t>
      </w:r>
      <w:r>
        <w:rPr>
          <w:spacing w:val="-75"/>
          <w:u w:val="single" w:color="auto"/>
        </w:rPr>
        <w:t xml:space="preserve"> </w:t>
      </w:r>
      <w:r>
        <w:rPr>
          <w:spacing w:val="4"/>
          <w:u w:val="single" w:color="auto"/>
        </w:rPr>
        <w:t>（</w:t>
      </w:r>
      <w:r>
        <w:rPr>
          <w:spacing w:val="-10"/>
          <w:u w:val="single" w:color="auto"/>
        </w:rPr>
        <w:t>盖章）</w:t>
      </w:r>
      <w:r>
        <w:rPr>
          <w:u w:val="single" w:color="auto"/>
        </w:rPr>
        <w:t xml:space="preserve">         </w:t>
      </w:r>
    </w:p>
    <w:p>
      <w:pPr>
        <w:spacing w:before="228" w:line="222" w:lineRule="auto"/>
        <w:ind w:left="317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8"/>
          <w:sz w:val="31"/>
          <w:szCs w:val="31"/>
        </w:rPr>
        <w:t>年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-8"/>
          <w:sz w:val="31"/>
          <w:szCs w:val="31"/>
        </w:rPr>
        <w:t>月</w:t>
      </w:r>
      <w:r>
        <w:rPr>
          <w:rFonts w:ascii="楷体" w:hAnsi="楷体" w:eastAsia="楷体" w:cs="楷体"/>
          <w:spacing w:val="43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-8"/>
          <w:sz w:val="31"/>
          <w:szCs w:val="31"/>
        </w:rPr>
        <w:t>日</w:t>
      </w:r>
    </w:p>
    <w:p>
      <w:pPr>
        <w:spacing w:line="335" w:lineRule="auto"/>
        <w:rPr>
          <w:rFonts w:ascii="Arial"/>
          <w:sz w:val="21"/>
        </w:rPr>
      </w:pPr>
    </w:p>
    <w:p>
      <w:pPr>
        <w:pStyle w:val="2"/>
        <w:spacing w:before="102" w:line="224" w:lineRule="auto"/>
        <w:ind w:left="3216"/>
      </w:pPr>
      <w:r>
        <w:rPr>
          <w:spacing w:val="8"/>
        </w:rPr>
        <w:t>（此页为封面）</w:t>
      </w:r>
    </w:p>
    <w:p>
      <w:pPr>
        <w:spacing w:line="224" w:lineRule="auto"/>
        <w:sectPr>
          <w:footerReference r:id="rId6" w:type="default"/>
          <w:pgSz w:w="11900" w:h="16833"/>
          <w:pgMar w:top="1401" w:right="1583" w:bottom="1445" w:left="1618" w:header="0" w:footer="1170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6"/>
          <w:sz w:val="44"/>
          <w:szCs w:val="44"/>
        </w:rPr>
        <w:t>中共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岳阳市岳阳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6"/>
          <w:sz w:val="44"/>
          <w:szCs w:val="44"/>
        </w:rPr>
        <w:t>楼区委员会组织部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整体支出绩效自评报告</w:t>
      </w:r>
    </w:p>
    <w:p>
      <w:pPr>
        <w:spacing w:line="28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一、</w:t>
      </w:r>
      <w:r>
        <w:rPr>
          <w:rFonts w:hint="eastAsia" w:ascii="黑体" w:hAnsi="黑体" w:eastAsia="黑体" w:cs="黑体"/>
          <w:spacing w:val="5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5"/>
          <w:sz w:val="31"/>
          <w:szCs w:val="31"/>
        </w:rPr>
        <w:t>基本情况</w:t>
      </w:r>
    </w:p>
    <w:p>
      <w:pPr>
        <w:ind w:firstLine="656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组织部主要负责全区干部、公务员队伍建设和管理，基层党组织和党员队伍建设管理，人才队伍建设和管理及组工干部队伍自身建设。编制人数32人，实有人数32人。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二、</w:t>
      </w:r>
      <w:r>
        <w:rPr>
          <w:rFonts w:ascii="黑体" w:hAnsi="黑体" w:eastAsia="黑体" w:cs="黑体"/>
          <w:spacing w:val="-3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一般公共预算支出情况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9"/>
          <w:position w:val="21"/>
          <w:sz w:val="31"/>
          <w:szCs w:val="31"/>
        </w:rPr>
        <w:t>（一）基本支出情况</w:t>
      </w:r>
    </w:p>
    <w:p>
      <w:pPr>
        <w:ind w:firstLine="656" w:firstLineChars="200"/>
        <w:jc w:val="left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基本支出694.05万元，其中人员经费629.89万元，主要用于基本工资、津补贴、社会保障缴费等支出。公用经费64.16万元，主要用于日常办公开支。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b/>
          <w:bCs/>
          <w:spacing w:val="9"/>
          <w:position w:val="21"/>
          <w:sz w:val="31"/>
          <w:szCs w:val="31"/>
        </w:rPr>
      </w:pPr>
      <w:r>
        <w:rPr>
          <w:rFonts w:ascii="楷体" w:hAnsi="楷体" w:eastAsia="楷体" w:cs="楷体"/>
          <w:b/>
          <w:bCs/>
          <w:spacing w:val="9"/>
          <w:position w:val="21"/>
          <w:sz w:val="31"/>
          <w:szCs w:val="31"/>
        </w:rPr>
        <w:t>（二）项目支出情况</w:t>
      </w:r>
    </w:p>
    <w:p>
      <w:pPr>
        <w:ind w:firstLine="656" w:firstLineChars="200"/>
        <w:jc w:val="left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专项资金共投入467.72万元，主要用于党内关怀、干部教育管理、干部培训、干部考察、基层党建、基层组织建设、党员教育管理、人才奖励、选调生到村任职中央、省、市补贴、老年组织教育管理等工作。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  <w:t>三、政府性基金预算支出情况</w:t>
      </w:r>
    </w:p>
    <w:p>
      <w:pPr>
        <w:spacing w:before="0" w:beforeAutospacing="0" w:after="1" w:afterAutospacing="0"/>
        <w:ind w:left="0" w:firstLine="628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2023年度本单位无政府性基金预算支出。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  <w:t>四、国有资本经营预算支出情况</w:t>
      </w:r>
    </w:p>
    <w:p>
      <w:pPr>
        <w:spacing w:before="0" w:beforeAutospacing="0" w:after="1" w:afterAutospacing="0"/>
        <w:ind w:left="0" w:firstLine="628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2023年度本单位无国有资本经营预算支出。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  <w:t>五、社会保险基金预算支出情况</w:t>
      </w:r>
    </w:p>
    <w:p>
      <w:pPr>
        <w:spacing w:before="0" w:beforeAutospacing="0" w:after="1" w:afterAutospacing="0"/>
        <w:ind w:left="0" w:firstLine="628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2023年度本单位无社会保险基金预算支出。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  <w:t>六、单位整体支出绩效情况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56" w:firstLineChars="200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对全区基层党组织建设，党员教育管理，增强党组织的战斗力和凝聚力得到了进一步发挥，党群干群关系更加密切，取得了良好的社会效益，服务对象满意率达96%。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56" w:firstLineChars="200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本单位各项项目资金其主要用途是确保单位的正常运转，促进各项工作任务顺利完成。在人员经费支出、公共支出严格执行区委区政府的各项制度；在项目经费的使用上，在保证各项任务顺利完成的同时，严格落实厉行节约的原则；三公经费的使用严格控制在预算申报的范围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56" w:firstLineChars="200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服务对象满意度有进一步提升的空间，培训有进一步改进的空间。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  <w:t>八、下一步改进措施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56" w:firstLineChars="200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一是是加大对公务卡的使用力度。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56" w:firstLineChars="200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二是进一步控制项目经费支出，在确保各项任务完成的同时，力争把成本降底。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56" w:firstLineChars="200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三是改进、加强业务培训，提高评价水平。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  <w:t>九、单位整体支出绩效自评结果拟应用和公开情况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56" w:firstLineChars="200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根据年初设定的整体绩效目标，整体绩效自评得分为100分。全年预算数为1263.37万元，执行数为1161.77万元，完成预算的100.00%。主要包括：保持单位的正常运转，促进各项工作任务顺利完成；进一步加强公务员队伍管理、基层组织建设；丰富全区党员业务文化生活；完善老干部活动、老年保健知识宣传、老干部待遇的落实。详情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56" w:firstLineChars="200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本单位高度重视此项绩效自评工作，积极落实主体责任，切实加强组织领导，按照绩效评价相关制度规定，明确具体责任人，认真开展自评，撰写了此份绩效评价报告，确保绩效自评工作顺利实施，并将按照要求进行信息公开，对存在的问题积极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  <w:t>十、 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20" w:firstLineChars="200"/>
        <w:jc w:val="left"/>
        <w:textAlignment w:val="auto"/>
        <w:rPr>
          <w:rFonts w:hint="eastAsia" w:ascii="楷体" w:hAnsi="楷体" w:eastAsia="楷体" w:cs="楷体"/>
          <w:color w:val="000000" w:themeColor="text1"/>
          <w:spacing w:val="0"/>
          <w:position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pacing w:val="0"/>
          <w:position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楷体" w:hAnsi="楷体" w:eastAsia="楷体" w:cs="楷体"/>
          <w:sz w:val="31"/>
          <w:szCs w:val="3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30" w:firstLineChars="300"/>
        <w:jc w:val="left"/>
        <w:textAlignment w:val="auto"/>
        <w:rPr>
          <w:rFonts w:hint="eastAsia" w:ascii="楷体" w:hAnsi="楷体" w:eastAsia="楷体" w:cs="楷体"/>
          <w:sz w:val="31"/>
          <w:szCs w:val="31"/>
        </w:rPr>
      </w:pPr>
      <w:bookmarkStart w:id="0" w:name="_GoBack"/>
      <w:bookmarkEnd w:id="0"/>
    </w:p>
    <w:sectPr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xM2I1Y2E5MTg1NzJhN2FkNjlmNDg5OTI5OGY3ZTQifQ=="/>
  </w:docVars>
  <w:rsids>
    <w:rsidRoot w:val="76284CE1"/>
    <w:rsid w:val="000A3765"/>
    <w:rsid w:val="001D7282"/>
    <w:rsid w:val="0039081D"/>
    <w:rsid w:val="0049022E"/>
    <w:rsid w:val="005E6ECB"/>
    <w:rsid w:val="00665E2F"/>
    <w:rsid w:val="006B3EBE"/>
    <w:rsid w:val="006B5224"/>
    <w:rsid w:val="00744EA1"/>
    <w:rsid w:val="009419CA"/>
    <w:rsid w:val="00955854"/>
    <w:rsid w:val="009C7330"/>
    <w:rsid w:val="00A00FBB"/>
    <w:rsid w:val="00A04D3F"/>
    <w:rsid w:val="00B40552"/>
    <w:rsid w:val="00BF0721"/>
    <w:rsid w:val="00C03795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1D766C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911277"/>
    <w:rsid w:val="039A540B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77FFE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17508"/>
    <w:rsid w:val="054E7FFF"/>
    <w:rsid w:val="055F3A4C"/>
    <w:rsid w:val="05621117"/>
    <w:rsid w:val="056D275D"/>
    <w:rsid w:val="057747FA"/>
    <w:rsid w:val="05783352"/>
    <w:rsid w:val="057B382F"/>
    <w:rsid w:val="058C5045"/>
    <w:rsid w:val="058D598A"/>
    <w:rsid w:val="059C7C89"/>
    <w:rsid w:val="05A50C70"/>
    <w:rsid w:val="05B525CA"/>
    <w:rsid w:val="05BD57AA"/>
    <w:rsid w:val="05C4448F"/>
    <w:rsid w:val="05C861BC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90C1F60"/>
    <w:rsid w:val="092D1C9E"/>
    <w:rsid w:val="093005CC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AF10769"/>
    <w:rsid w:val="0B163034"/>
    <w:rsid w:val="0B1D5B5D"/>
    <w:rsid w:val="0B1F5B6D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F1E28"/>
    <w:rsid w:val="0D5F7C0C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F1954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74F0"/>
    <w:rsid w:val="102E6601"/>
    <w:rsid w:val="10303875"/>
    <w:rsid w:val="103B0079"/>
    <w:rsid w:val="103D5CB0"/>
    <w:rsid w:val="1043497A"/>
    <w:rsid w:val="104B6B58"/>
    <w:rsid w:val="10640EFB"/>
    <w:rsid w:val="10733B4F"/>
    <w:rsid w:val="107C029A"/>
    <w:rsid w:val="108449FF"/>
    <w:rsid w:val="108A0CDB"/>
    <w:rsid w:val="108B34B0"/>
    <w:rsid w:val="108F1E83"/>
    <w:rsid w:val="10914E8E"/>
    <w:rsid w:val="109E2943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A012C"/>
    <w:rsid w:val="11BC2DF3"/>
    <w:rsid w:val="11C43676"/>
    <w:rsid w:val="11E57B67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9E1F80"/>
    <w:rsid w:val="12AD6FA8"/>
    <w:rsid w:val="12B310FA"/>
    <w:rsid w:val="12B7582D"/>
    <w:rsid w:val="12C621E8"/>
    <w:rsid w:val="12C80001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B43FE"/>
    <w:rsid w:val="13DF25B8"/>
    <w:rsid w:val="13E2403C"/>
    <w:rsid w:val="14047D3B"/>
    <w:rsid w:val="140C7BCE"/>
    <w:rsid w:val="141A00EA"/>
    <w:rsid w:val="14394A85"/>
    <w:rsid w:val="143A1FCF"/>
    <w:rsid w:val="1441725F"/>
    <w:rsid w:val="14425B91"/>
    <w:rsid w:val="14430D66"/>
    <w:rsid w:val="14470936"/>
    <w:rsid w:val="14477E65"/>
    <w:rsid w:val="14522FE3"/>
    <w:rsid w:val="14710CBF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B62B0"/>
    <w:rsid w:val="152E4EB1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31764"/>
    <w:rsid w:val="15A42FA4"/>
    <w:rsid w:val="15A6418F"/>
    <w:rsid w:val="15AA091B"/>
    <w:rsid w:val="15BC6BD3"/>
    <w:rsid w:val="15C454F7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25CEF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8D50A9"/>
    <w:rsid w:val="178F0FE3"/>
    <w:rsid w:val="17AD14F4"/>
    <w:rsid w:val="17B85018"/>
    <w:rsid w:val="17E339CC"/>
    <w:rsid w:val="17F33C57"/>
    <w:rsid w:val="181222ED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5464"/>
    <w:rsid w:val="18910B5C"/>
    <w:rsid w:val="18987644"/>
    <w:rsid w:val="18A62960"/>
    <w:rsid w:val="18B037F0"/>
    <w:rsid w:val="18BD3DC4"/>
    <w:rsid w:val="18C149F3"/>
    <w:rsid w:val="18C30CAC"/>
    <w:rsid w:val="18C4126B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1650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7445C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27C89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AB0A8F"/>
    <w:rsid w:val="1FB46444"/>
    <w:rsid w:val="1FC752CE"/>
    <w:rsid w:val="1FDE0273"/>
    <w:rsid w:val="1FDE31D9"/>
    <w:rsid w:val="1FE90789"/>
    <w:rsid w:val="1FEF73C9"/>
    <w:rsid w:val="1FF26468"/>
    <w:rsid w:val="20020491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B02799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B2C80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1527D7"/>
    <w:rsid w:val="23185AD8"/>
    <w:rsid w:val="231F71F7"/>
    <w:rsid w:val="23336451"/>
    <w:rsid w:val="23474320"/>
    <w:rsid w:val="23492735"/>
    <w:rsid w:val="235B5F37"/>
    <w:rsid w:val="235C3EA6"/>
    <w:rsid w:val="23604810"/>
    <w:rsid w:val="23830488"/>
    <w:rsid w:val="23932D4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6F478D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BB1EFF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2A5F01"/>
    <w:rsid w:val="273612F4"/>
    <w:rsid w:val="27445146"/>
    <w:rsid w:val="274E2EE0"/>
    <w:rsid w:val="276022E1"/>
    <w:rsid w:val="27673AA1"/>
    <w:rsid w:val="27722B9A"/>
    <w:rsid w:val="27742391"/>
    <w:rsid w:val="277602F5"/>
    <w:rsid w:val="278038C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1B76B8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96244"/>
    <w:rsid w:val="28F010D9"/>
    <w:rsid w:val="28F05C88"/>
    <w:rsid w:val="29082E70"/>
    <w:rsid w:val="291343EF"/>
    <w:rsid w:val="29166F16"/>
    <w:rsid w:val="292E77DA"/>
    <w:rsid w:val="29310DB2"/>
    <w:rsid w:val="29394AFC"/>
    <w:rsid w:val="294D5371"/>
    <w:rsid w:val="29581C87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22692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7348C"/>
    <w:rsid w:val="2C686702"/>
    <w:rsid w:val="2C6E3526"/>
    <w:rsid w:val="2C6F1E54"/>
    <w:rsid w:val="2C763257"/>
    <w:rsid w:val="2C802F50"/>
    <w:rsid w:val="2C993631"/>
    <w:rsid w:val="2C9B7E11"/>
    <w:rsid w:val="2CA174A1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BC50B8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A6DBB"/>
    <w:rsid w:val="2F4D295B"/>
    <w:rsid w:val="2F5034C7"/>
    <w:rsid w:val="2F583C3E"/>
    <w:rsid w:val="2F5E4FF7"/>
    <w:rsid w:val="2F625574"/>
    <w:rsid w:val="2F743362"/>
    <w:rsid w:val="2F783818"/>
    <w:rsid w:val="2FA3249D"/>
    <w:rsid w:val="2FA44A0B"/>
    <w:rsid w:val="2FAF57D0"/>
    <w:rsid w:val="2FC05B92"/>
    <w:rsid w:val="2FC70776"/>
    <w:rsid w:val="2FD90A44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46C2"/>
    <w:rsid w:val="31346C1B"/>
    <w:rsid w:val="3135421E"/>
    <w:rsid w:val="313806BA"/>
    <w:rsid w:val="313A6116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B141E0"/>
    <w:rsid w:val="32B27592"/>
    <w:rsid w:val="32B44D2D"/>
    <w:rsid w:val="32BC5879"/>
    <w:rsid w:val="32BD0DAD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04C8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8762B"/>
    <w:rsid w:val="35195F01"/>
    <w:rsid w:val="35313A72"/>
    <w:rsid w:val="353A66E5"/>
    <w:rsid w:val="35493C91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441BF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A47BC1"/>
    <w:rsid w:val="36D21A02"/>
    <w:rsid w:val="36E85056"/>
    <w:rsid w:val="3708411D"/>
    <w:rsid w:val="370E0FEC"/>
    <w:rsid w:val="37104DEB"/>
    <w:rsid w:val="37140F96"/>
    <w:rsid w:val="37166BDC"/>
    <w:rsid w:val="372C24A3"/>
    <w:rsid w:val="372D0977"/>
    <w:rsid w:val="372F66F4"/>
    <w:rsid w:val="37337382"/>
    <w:rsid w:val="37407074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12D00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3338B"/>
    <w:rsid w:val="39553940"/>
    <w:rsid w:val="396B7002"/>
    <w:rsid w:val="396C2A15"/>
    <w:rsid w:val="39707C30"/>
    <w:rsid w:val="39793DDC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080B60"/>
    <w:rsid w:val="3A1513BA"/>
    <w:rsid w:val="3A2E618D"/>
    <w:rsid w:val="3A3E52E7"/>
    <w:rsid w:val="3A4109A1"/>
    <w:rsid w:val="3A424466"/>
    <w:rsid w:val="3A4D0C68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1A101E"/>
    <w:rsid w:val="3C2F32D0"/>
    <w:rsid w:val="3C360DE6"/>
    <w:rsid w:val="3C402FAC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765A9"/>
    <w:rsid w:val="3CBA4326"/>
    <w:rsid w:val="3CBC0BE3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A60CA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DC4142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4D34B9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C45A80"/>
    <w:rsid w:val="3FDE03B7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6B1C3F"/>
    <w:rsid w:val="406D5BC2"/>
    <w:rsid w:val="40733CBA"/>
    <w:rsid w:val="407A4DF7"/>
    <w:rsid w:val="40894B59"/>
    <w:rsid w:val="408B2442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87C4F"/>
    <w:rsid w:val="40EF738A"/>
    <w:rsid w:val="41064063"/>
    <w:rsid w:val="411470C5"/>
    <w:rsid w:val="413C11C7"/>
    <w:rsid w:val="413C7EC8"/>
    <w:rsid w:val="414172BF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529C0"/>
    <w:rsid w:val="42382F41"/>
    <w:rsid w:val="423C6CFA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390E25"/>
    <w:rsid w:val="443F6D81"/>
    <w:rsid w:val="44405E6B"/>
    <w:rsid w:val="44433468"/>
    <w:rsid w:val="44437F9F"/>
    <w:rsid w:val="44493A52"/>
    <w:rsid w:val="444F5C68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0A66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81659"/>
    <w:rsid w:val="47123940"/>
    <w:rsid w:val="47146CF3"/>
    <w:rsid w:val="4726595C"/>
    <w:rsid w:val="47292AEA"/>
    <w:rsid w:val="472A74E5"/>
    <w:rsid w:val="4734181A"/>
    <w:rsid w:val="473860EE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A53E92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B415EE"/>
    <w:rsid w:val="49B4726A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32B87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065D9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A2604"/>
    <w:rsid w:val="4CCD33EA"/>
    <w:rsid w:val="4CCF426B"/>
    <w:rsid w:val="4CD061C1"/>
    <w:rsid w:val="4CE06178"/>
    <w:rsid w:val="4CE62DD9"/>
    <w:rsid w:val="4CFD1C7A"/>
    <w:rsid w:val="4D033F9C"/>
    <w:rsid w:val="4D055E23"/>
    <w:rsid w:val="4D1740EA"/>
    <w:rsid w:val="4D222C22"/>
    <w:rsid w:val="4D2249C0"/>
    <w:rsid w:val="4D2433AC"/>
    <w:rsid w:val="4D355CB8"/>
    <w:rsid w:val="4D4070B0"/>
    <w:rsid w:val="4D4A4A28"/>
    <w:rsid w:val="4D4F2FCB"/>
    <w:rsid w:val="4D570A24"/>
    <w:rsid w:val="4D5D7D7F"/>
    <w:rsid w:val="4D615067"/>
    <w:rsid w:val="4D6214C3"/>
    <w:rsid w:val="4D625C01"/>
    <w:rsid w:val="4D653795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0D453F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139E3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7629FF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71719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890449"/>
    <w:rsid w:val="518E3CF1"/>
    <w:rsid w:val="519B65FE"/>
    <w:rsid w:val="51A30823"/>
    <w:rsid w:val="51A45867"/>
    <w:rsid w:val="51AD7250"/>
    <w:rsid w:val="51B24883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3385E"/>
    <w:rsid w:val="527B1073"/>
    <w:rsid w:val="5281374D"/>
    <w:rsid w:val="52915993"/>
    <w:rsid w:val="5297132B"/>
    <w:rsid w:val="529F28D8"/>
    <w:rsid w:val="529F6FBB"/>
    <w:rsid w:val="52B13290"/>
    <w:rsid w:val="52B90DC7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91438"/>
    <w:rsid w:val="542247A4"/>
    <w:rsid w:val="5427381E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A656E0"/>
    <w:rsid w:val="54AC5134"/>
    <w:rsid w:val="54DC5F38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C33131"/>
    <w:rsid w:val="55CD41AB"/>
    <w:rsid w:val="55CD7903"/>
    <w:rsid w:val="55E172A0"/>
    <w:rsid w:val="55E24605"/>
    <w:rsid w:val="55F81C60"/>
    <w:rsid w:val="55FA0F14"/>
    <w:rsid w:val="5602440F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17AE8"/>
    <w:rsid w:val="56B1636C"/>
    <w:rsid w:val="56C62996"/>
    <w:rsid w:val="56C9634D"/>
    <w:rsid w:val="56D41BE8"/>
    <w:rsid w:val="56D54BC7"/>
    <w:rsid w:val="56E41BA7"/>
    <w:rsid w:val="56E768DE"/>
    <w:rsid w:val="56EC7A5D"/>
    <w:rsid w:val="56F424FF"/>
    <w:rsid w:val="56F4599D"/>
    <w:rsid w:val="56F57C47"/>
    <w:rsid w:val="570D0322"/>
    <w:rsid w:val="571526B6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4511BD"/>
    <w:rsid w:val="57540996"/>
    <w:rsid w:val="57802A35"/>
    <w:rsid w:val="57815555"/>
    <w:rsid w:val="57882730"/>
    <w:rsid w:val="578C3658"/>
    <w:rsid w:val="57A71560"/>
    <w:rsid w:val="57AD7E3A"/>
    <w:rsid w:val="57B66918"/>
    <w:rsid w:val="57B67E42"/>
    <w:rsid w:val="57BA5F2B"/>
    <w:rsid w:val="57BB3665"/>
    <w:rsid w:val="57BC796D"/>
    <w:rsid w:val="57BD6FCE"/>
    <w:rsid w:val="57CE5E8C"/>
    <w:rsid w:val="57D214D2"/>
    <w:rsid w:val="57DA1A42"/>
    <w:rsid w:val="57DD425E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440589"/>
    <w:rsid w:val="5A482568"/>
    <w:rsid w:val="5A5755C9"/>
    <w:rsid w:val="5A5A13C0"/>
    <w:rsid w:val="5A715E56"/>
    <w:rsid w:val="5A772EA3"/>
    <w:rsid w:val="5A7D29E6"/>
    <w:rsid w:val="5A7E3C77"/>
    <w:rsid w:val="5A821401"/>
    <w:rsid w:val="5A860D7B"/>
    <w:rsid w:val="5A8649B6"/>
    <w:rsid w:val="5A8A2B4B"/>
    <w:rsid w:val="5A9D6C4B"/>
    <w:rsid w:val="5A9F5080"/>
    <w:rsid w:val="5AA97311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721E85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AC1F7C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D9166"/>
    <w:rsid w:val="5D130D14"/>
    <w:rsid w:val="5D3F028D"/>
    <w:rsid w:val="5D464016"/>
    <w:rsid w:val="5D4B2344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5B6A7F"/>
    <w:rsid w:val="5E6B78B9"/>
    <w:rsid w:val="5E72530D"/>
    <w:rsid w:val="5E7B3471"/>
    <w:rsid w:val="5E811840"/>
    <w:rsid w:val="5EAC620C"/>
    <w:rsid w:val="5EAF12A6"/>
    <w:rsid w:val="5EB56E43"/>
    <w:rsid w:val="5EBA04A2"/>
    <w:rsid w:val="5EBF60CC"/>
    <w:rsid w:val="5EBF6AA7"/>
    <w:rsid w:val="5ED82627"/>
    <w:rsid w:val="5EDB6E5E"/>
    <w:rsid w:val="5F050603"/>
    <w:rsid w:val="5F073AC0"/>
    <w:rsid w:val="5F0F5BF5"/>
    <w:rsid w:val="5F1070E5"/>
    <w:rsid w:val="5F122BA9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407B5"/>
    <w:rsid w:val="60487E62"/>
    <w:rsid w:val="605A5C34"/>
    <w:rsid w:val="60630B92"/>
    <w:rsid w:val="606D5311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9287D"/>
    <w:rsid w:val="6132559A"/>
    <w:rsid w:val="614A57AA"/>
    <w:rsid w:val="61535DEE"/>
    <w:rsid w:val="615628BC"/>
    <w:rsid w:val="615E35D8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8388B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403C73"/>
    <w:rsid w:val="6351410B"/>
    <w:rsid w:val="635D4427"/>
    <w:rsid w:val="635F082F"/>
    <w:rsid w:val="63710CD7"/>
    <w:rsid w:val="637D427E"/>
    <w:rsid w:val="637F1B3E"/>
    <w:rsid w:val="639A0C81"/>
    <w:rsid w:val="639A36B2"/>
    <w:rsid w:val="639C0C65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2371"/>
    <w:rsid w:val="64003000"/>
    <w:rsid w:val="64020FD8"/>
    <w:rsid w:val="64021259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E6D13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CEF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2E36B9"/>
    <w:rsid w:val="67441F0C"/>
    <w:rsid w:val="674465E9"/>
    <w:rsid w:val="67456CEF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7638C4"/>
    <w:rsid w:val="698455B8"/>
    <w:rsid w:val="69997B9C"/>
    <w:rsid w:val="69A53B11"/>
    <w:rsid w:val="69A84304"/>
    <w:rsid w:val="69AC5DA1"/>
    <w:rsid w:val="69B52A42"/>
    <w:rsid w:val="69B67148"/>
    <w:rsid w:val="69BE4DB3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1620A2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BE50E7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10B8D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91BE5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05D06"/>
    <w:rsid w:val="6EB37B5B"/>
    <w:rsid w:val="6EBF1B48"/>
    <w:rsid w:val="6EC1762C"/>
    <w:rsid w:val="6ED50081"/>
    <w:rsid w:val="6ED70BA2"/>
    <w:rsid w:val="6EDB7671"/>
    <w:rsid w:val="6EF77260"/>
    <w:rsid w:val="6F0B4C6A"/>
    <w:rsid w:val="6F226923"/>
    <w:rsid w:val="6F2302E3"/>
    <w:rsid w:val="6F314C13"/>
    <w:rsid w:val="6F382FA6"/>
    <w:rsid w:val="6F391F60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AC6CE3"/>
    <w:rsid w:val="70B774F6"/>
    <w:rsid w:val="70BB13B4"/>
    <w:rsid w:val="70D80F32"/>
    <w:rsid w:val="70D97C76"/>
    <w:rsid w:val="70F12A55"/>
    <w:rsid w:val="70F76E40"/>
    <w:rsid w:val="710C1219"/>
    <w:rsid w:val="711337D0"/>
    <w:rsid w:val="711D7FAC"/>
    <w:rsid w:val="713173E8"/>
    <w:rsid w:val="71420658"/>
    <w:rsid w:val="7143472C"/>
    <w:rsid w:val="71440341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341FD3"/>
    <w:rsid w:val="72364FB6"/>
    <w:rsid w:val="723B04C8"/>
    <w:rsid w:val="724266AF"/>
    <w:rsid w:val="724E6817"/>
    <w:rsid w:val="725F40EB"/>
    <w:rsid w:val="72600D68"/>
    <w:rsid w:val="72604620"/>
    <w:rsid w:val="726B02C1"/>
    <w:rsid w:val="726D2C67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AB7552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475E44"/>
    <w:rsid w:val="77536779"/>
    <w:rsid w:val="77683E14"/>
    <w:rsid w:val="77734EA5"/>
    <w:rsid w:val="777E537D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9A590A"/>
    <w:rsid w:val="78AB6B00"/>
    <w:rsid w:val="78B515B5"/>
    <w:rsid w:val="78BC6FFF"/>
    <w:rsid w:val="78C107B1"/>
    <w:rsid w:val="78C21620"/>
    <w:rsid w:val="78C44E5F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B7E60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B3865"/>
    <w:rsid w:val="7A7041ED"/>
    <w:rsid w:val="7A832390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209F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517C20"/>
    <w:rsid w:val="7C6212C4"/>
    <w:rsid w:val="7C8464A1"/>
    <w:rsid w:val="7C9D2D7B"/>
    <w:rsid w:val="7CA26867"/>
    <w:rsid w:val="7CB43A8E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94E07"/>
    <w:rsid w:val="7DBE16CF"/>
    <w:rsid w:val="7DC37DE3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5341B1"/>
    <w:rsid w:val="7E613E8F"/>
    <w:rsid w:val="7E616C7B"/>
    <w:rsid w:val="7E733A70"/>
    <w:rsid w:val="7E7B6F02"/>
    <w:rsid w:val="7E7C322C"/>
    <w:rsid w:val="7E8A0780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E254D9"/>
    <w:rsid w:val="7FF56F47"/>
    <w:rsid w:val="7FFD2ACA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4246</Words>
  <Characters>4819</Characters>
  <Lines>0</Lines>
  <Paragraphs>0</Paragraphs>
  <TotalTime>0</TotalTime>
  <ScaleCrop>false</ScaleCrop>
  <LinksUpToDate>false</LinksUpToDate>
  <CharactersWithSpaces>5000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Freedom</cp:lastModifiedBy>
  <dcterms:modified xsi:type="dcterms:W3CDTF">2025-10-28T06:54:50Z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4B5FDDC259FB49A4A0EBEC5A4BB60567_11</vt:lpwstr>
  </property>
  <property fmtid="{D5CDD505-2E9C-101B-9397-08002B2CF9AE}" pid="4" name="KSOTemplateDocerSaveRecord">
    <vt:lpwstr>eyJoZGlkIjoiMjMxZmI5MWY5NDI5Y2UzYTVlMmQwZDRkZjQ5NWQwNjAiLCJ1c2VySWQiOiIxMTI5MDAzNTA2In0=</vt:lpwstr>
  </property>
</Properties>
</file>