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rPr>
        <w:t>附件</w:t>
      </w:r>
      <w:r>
        <w:rPr>
          <w:rFonts w:hint="eastAsia" w:ascii="黑体" w:hAnsi="黑体" w:eastAsia="黑体" w:cs="黑体"/>
          <w:color w:val="000000"/>
          <w:spacing w:val="10"/>
          <w:sz w:val="32"/>
          <w:szCs w:val="32"/>
          <w:lang w:val="en-US" w:eastAsia="zh-CN"/>
        </w:rPr>
        <w:t>1</w:t>
      </w:r>
    </w:p>
    <w:p>
      <w:pPr>
        <w:spacing w:line="700" w:lineRule="exact"/>
        <w:jc w:val="center"/>
        <w:rPr>
          <w:rFonts w:ascii="方正小标宋简体" w:hAnsi="方正小标宋简体" w:eastAsia="方正小标宋简体" w:cs="方正小标宋简体"/>
          <w:color w:val="000000"/>
          <w:spacing w:val="2"/>
          <w:sz w:val="44"/>
          <w:szCs w:val="44"/>
        </w:rPr>
      </w:pPr>
      <w:r>
        <w:rPr>
          <w:rFonts w:hint="eastAsia" w:ascii="方正小标宋简体" w:hAnsi="方正小标宋简体" w:eastAsia="方正小标宋简体" w:cs="方正小标宋简体"/>
          <w:color w:val="000000"/>
          <w:spacing w:val="2"/>
          <w:sz w:val="42"/>
          <w:szCs w:val="42"/>
        </w:rPr>
        <w:t>2023年度预算单位整体支出绩效评价基础数据表</w:t>
      </w:r>
    </w:p>
    <w:p>
      <w:pPr>
        <w:spacing w:line="115" w:lineRule="exact"/>
        <w:rPr>
          <w:color w:val="000000"/>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ign w:val="center"/>
          </w:tcPr>
          <w:p>
            <w:pPr>
              <w:spacing w:before="33" w:line="198" w:lineRule="auto"/>
              <w:ind w:right="118"/>
              <w:jc w:val="center"/>
              <w:rPr>
                <w:rFonts w:ascii="宋体" w:hAnsi="宋体" w:eastAsia="宋体" w:cs="宋体"/>
                <w:color w:val="000000"/>
                <w:spacing w:val="2"/>
                <w:sz w:val="24"/>
              </w:rPr>
            </w:pPr>
            <w:r>
              <w:rPr>
                <w:rFonts w:hint="eastAsia" w:ascii="宋体" w:hAnsi="宋体" w:eastAsia="宋体" w:cs="宋体"/>
                <w:color w:val="000000"/>
                <w:spacing w:val="2"/>
                <w:sz w:val="24"/>
              </w:rPr>
              <w:t>预算单位名称</w:t>
            </w:r>
          </w:p>
        </w:tc>
        <w:tc>
          <w:tcPr>
            <w:tcW w:w="5819" w:type="dxa"/>
            <w:gridSpan w:val="6"/>
            <w:noWrap/>
          </w:tcPr>
          <w:p>
            <w:pPr>
              <w:spacing w:before="103" w:line="219" w:lineRule="auto"/>
              <w:ind w:left="708"/>
              <w:rPr>
                <w:rFonts w:ascii="宋体" w:hAnsi="宋体" w:eastAsia="宋体" w:cs="宋体"/>
                <w:color w:val="000000"/>
                <w:spacing w:val="-2"/>
                <w:sz w:val="24"/>
              </w:rPr>
            </w:pPr>
            <w:r>
              <w:rPr>
                <w:rFonts w:hint="eastAsia" w:ascii="宋体" w:hAnsi="宋体" w:eastAsia="宋体" w:cs="宋体"/>
                <w:color w:val="000000"/>
                <w:spacing w:val="-2"/>
                <w:sz w:val="24"/>
              </w:rPr>
              <w:t>岳阳市岳阳楼区自然资源局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tcPr>
          <w:p>
            <w:pPr>
              <w:spacing w:before="262" w:line="219" w:lineRule="auto"/>
              <w:ind w:left="575"/>
              <w:jc w:val="left"/>
              <w:rPr>
                <w:rFonts w:ascii="宋体" w:hAnsi="宋体" w:eastAsia="宋体" w:cs="宋体"/>
                <w:color w:val="000000"/>
                <w:sz w:val="24"/>
              </w:rPr>
            </w:pPr>
            <w:r>
              <w:rPr>
                <w:rFonts w:hint="eastAsia" w:ascii="宋体" w:hAnsi="宋体" w:eastAsia="宋体" w:cs="宋体"/>
                <w:color w:val="000000"/>
                <w:spacing w:val="3"/>
                <w:sz w:val="24"/>
              </w:rPr>
              <w:t>财政供养人员情况(人)</w:t>
            </w:r>
          </w:p>
        </w:tc>
        <w:tc>
          <w:tcPr>
            <w:tcW w:w="1815" w:type="dxa"/>
            <w:gridSpan w:val="2"/>
            <w:noWrap/>
          </w:tcPr>
          <w:p>
            <w:pPr>
              <w:spacing w:before="103" w:line="219" w:lineRule="auto"/>
              <w:jc w:val="center"/>
              <w:rPr>
                <w:rFonts w:ascii="宋体" w:hAnsi="宋体" w:eastAsia="宋体" w:cs="宋体"/>
                <w:color w:val="000000"/>
                <w:sz w:val="24"/>
              </w:rPr>
            </w:pPr>
            <w:r>
              <w:rPr>
                <w:rFonts w:hint="eastAsia" w:ascii="宋体" w:hAnsi="宋体" w:eastAsia="宋体" w:cs="宋体"/>
                <w:color w:val="000000"/>
                <w:spacing w:val="-3"/>
                <w:sz w:val="24"/>
              </w:rPr>
              <w:t>编制数</w:t>
            </w:r>
          </w:p>
        </w:tc>
        <w:tc>
          <w:tcPr>
            <w:tcW w:w="2325" w:type="dxa"/>
            <w:gridSpan w:val="2"/>
            <w:noWrap/>
          </w:tcPr>
          <w:p>
            <w:pPr>
              <w:spacing w:before="83" w:line="219" w:lineRule="auto"/>
              <w:jc w:val="center"/>
              <w:rPr>
                <w:rFonts w:ascii="宋体" w:hAnsi="宋体" w:eastAsia="宋体" w:cs="宋体"/>
                <w:color w:val="000000"/>
                <w:sz w:val="24"/>
              </w:rPr>
            </w:pPr>
            <w:r>
              <w:rPr>
                <w:rFonts w:hint="eastAsia" w:ascii="宋体" w:hAnsi="宋体" w:eastAsia="宋体" w:cs="宋体"/>
                <w:color w:val="000000"/>
                <w:spacing w:val="-1"/>
                <w:sz w:val="24"/>
              </w:rPr>
              <w:t>202</w:t>
            </w:r>
            <w:r>
              <w:rPr>
                <w:rFonts w:hint="eastAsia" w:ascii="宋体" w:hAnsi="宋体" w:cs="宋体"/>
                <w:color w:val="000000"/>
                <w:spacing w:val="-1"/>
                <w:sz w:val="24"/>
              </w:rPr>
              <w:t>3</w:t>
            </w:r>
            <w:r>
              <w:rPr>
                <w:rFonts w:hint="eastAsia" w:ascii="宋体" w:hAnsi="宋体" w:eastAsia="宋体" w:cs="宋体"/>
                <w:color w:val="000000"/>
                <w:spacing w:val="-1"/>
                <w:sz w:val="24"/>
              </w:rPr>
              <w:t>年实际在职人数</w:t>
            </w:r>
          </w:p>
        </w:tc>
        <w:tc>
          <w:tcPr>
            <w:tcW w:w="1679" w:type="dxa"/>
            <w:gridSpan w:val="2"/>
            <w:noWrap/>
          </w:tcPr>
          <w:p>
            <w:pPr>
              <w:spacing w:before="103" w:line="219" w:lineRule="auto"/>
              <w:jc w:val="center"/>
              <w:rPr>
                <w:rFonts w:ascii="宋体" w:hAnsi="宋体" w:eastAsia="宋体" w:cs="宋体"/>
                <w:color w:val="000000"/>
                <w:sz w:val="24"/>
              </w:rPr>
            </w:pPr>
            <w:r>
              <w:rPr>
                <w:rFonts w:hint="eastAsia" w:ascii="宋体" w:hAnsi="宋体" w:eastAsia="宋体" w:cs="宋体"/>
                <w:color w:val="000000"/>
                <w:spacing w:val="-2"/>
                <w:sz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tcPr>
          <w:p>
            <w:pPr>
              <w:jc w:val="left"/>
              <w:rPr>
                <w:rFonts w:ascii="宋体" w:hAnsi="宋体" w:eastAsia="宋体" w:cs="宋体"/>
                <w:color w:val="000000"/>
                <w:sz w:val="24"/>
              </w:rPr>
            </w:pPr>
          </w:p>
        </w:tc>
        <w:tc>
          <w:tcPr>
            <w:tcW w:w="1815" w:type="dxa"/>
            <w:gridSpan w:val="2"/>
            <w:noWrap/>
            <w:vAlign w:val="center"/>
          </w:tcPr>
          <w:p>
            <w:pPr>
              <w:jc w:val="center"/>
              <w:rPr>
                <w:rFonts w:ascii="宋体" w:hAnsi="宋体" w:eastAsia="宋体" w:cs="宋体"/>
                <w:color w:val="000000"/>
                <w:sz w:val="24"/>
              </w:rPr>
            </w:pPr>
            <w:r>
              <w:rPr>
                <w:rFonts w:hint="eastAsia" w:ascii="宋体" w:hAnsi="宋体" w:eastAsia="宋体" w:cs="宋体"/>
                <w:color w:val="000000"/>
                <w:sz w:val="24"/>
              </w:rPr>
              <w:t>19</w:t>
            </w:r>
          </w:p>
        </w:tc>
        <w:tc>
          <w:tcPr>
            <w:tcW w:w="2325" w:type="dxa"/>
            <w:gridSpan w:val="2"/>
            <w:noWrap/>
            <w:vAlign w:val="center"/>
          </w:tcPr>
          <w:p>
            <w:pPr>
              <w:jc w:val="center"/>
              <w:rPr>
                <w:rFonts w:ascii="宋体" w:hAnsi="宋体" w:eastAsia="宋体" w:cs="宋体"/>
                <w:color w:val="000000"/>
                <w:sz w:val="24"/>
              </w:rPr>
            </w:pPr>
            <w:r>
              <w:rPr>
                <w:rFonts w:hint="eastAsia" w:ascii="宋体" w:hAnsi="宋体" w:eastAsia="宋体" w:cs="宋体"/>
                <w:color w:val="000000"/>
                <w:sz w:val="24"/>
              </w:rPr>
              <w:t>19</w:t>
            </w:r>
          </w:p>
        </w:tc>
        <w:tc>
          <w:tcPr>
            <w:tcW w:w="1679" w:type="dxa"/>
            <w:gridSpan w:val="2"/>
            <w:noWrap/>
            <w:vAlign w:val="center"/>
          </w:tcPr>
          <w:p>
            <w:pPr>
              <w:jc w:val="center"/>
              <w:rPr>
                <w:rFonts w:ascii="宋体" w:hAnsi="宋体" w:eastAsia="宋体" w:cs="宋体"/>
                <w:color w:val="000000"/>
                <w:sz w:val="24"/>
              </w:rPr>
            </w:pPr>
            <w:r>
              <w:rPr>
                <w:rFonts w:hint="eastAsia" w:ascii="宋体" w:hAnsi="宋体" w:eastAsia="宋体" w:cs="宋体"/>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tcPr>
          <w:p>
            <w:pPr>
              <w:spacing w:before="140" w:line="202" w:lineRule="auto"/>
              <w:ind w:left="684"/>
              <w:jc w:val="left"/>
              <w:rPr>
                <w:rFonts w:ascii="宋体" w:hAnsi="宋体" w:eastAsia="宋体" w:cs="宋体"/>
                <w:color w:val="000000"/>
                <w:sz w:val="24"/>
              </w:rPr>
            </w:pPr>
            <w:r>
              <w:rPr>
                <w:rFonts w:hint="eastAsia" w:ascii="宋体" w:hAnsi="宋体" w:eastAsia="宋体" w:cs="宋体"/>
                <w:color w:val="000000"/>
                <w:spacing w:val="4"/>
                <w:sz w:val="24"/>
              </w:rPr>
              <w:t>经费控制情况(万元)</w:t>
            </w:r>
          </w:p>
        </w:tc>
        <w:tc>
          <w:tcPr>
            <w:tcW w:w="1815" w:type="dxa"/>
            <w:gridSpan w:val="2"/>
            <w:noWrap/>
          </w:tcPr>
          <w:p>
            <w:pPr>
              <w:spacing w:before="119" w:line="219" w:lineRule="auto"/>
              <w:jc w:val="center"/>
              <w:rPr>
                <w:rFonts w:ascii="宋体" w:hAnsi="宋体" w:eastAsia="宋体" w:cs="宋体"/>
                <w:color w:val="000000"/>
                <w:sz w:val="24"/>
              </w:rPr>
            </w:pPr>
            <w:r>
              <w:rPr>
                <w:rFonts w:hint="eastAsia" w:ascii="宋体" w:hAnsi="宋体" w:eastAsia="宋体" w:cs="宋体"/>
                <w:color w:val="000000"/>
                <w:spacing w:val="-2"/>
                <w:sz w:val="24"/>
              </w:rPr>
              <w:t>202</w:t>
            </w:r>
            <w:r>
              <w:rPr>
                <w:rFonts w:hint="eastAsia" w:ascii="宋体" w:hAnsi="宋体" w:cs="宋体"/>
                <w:color w:val="000000"/>
                <w:spacing w:val="-2"/>
                <w:sz w:val="24"/>
              </w:rPr>
              <w:t>2</w:t>
            </w:r>
            <w:r>
              <w:rPr>
                <w:rFonts w:hint="eastAsia" w:ascii="宋体" w:hAnsi="宋体" w:eastAsia="宋体" w:cs="宋体"/>
                <w:color w:val="000000"/>
                <w:spacing w:val="-2"/>
                <w:sz w:val="24"/>
              </w:rPr>
              <w:t>年决算数</w:t>
            </w:r>
          </w:p>
        </w:tc>
        <w:tc>
          <w:tcPr>
            <w:tcW w:w="2325" w:type="dxa"/>
            <w:gridSpan w:val="2"/>
            <w:noWrap/>
          </w:tcPr>
          <w:p>
            <w:pPr>
              <w:spacing w:before="119" w:line="219" w:lineRule="auto"/>
              <w:jc w:val="center"/>
              <w:rPr>
                <w:rFonts w:ascii="宋体" w:hAnsi="宋体" w:eastAsia="宋体" w:cs="宋体"/>
                <w:color w:val="000000"/>
                <w:sz w:val="24"/>
              </w:rPr>
            </w:pPr>
            <w:r>
              <w:rPr>
                <w:rFonts w:hint="eastAsia" w:ascii="宋体" w:hAnsi="宋体" w:eastAsia="宋体" w:cs="宋体"/>
                <w:color w:val="000000"/>
                <w:spacing w:val="-2"/>
                <w:sz w:val="24"/>
              </w:rPr>
              <w:t>202</w:t>
            </w:r>
            <w:r>
              <w:rPr>
                <w:rFonts w:hint="eastAsia" w:ascii="宋体" w:hAnsi="宋体" w:cs="宋体"/>
                <w:color w:val="000000"/>
                <w:spacing w:val="-2"/>
                <w:sz w:val="24"/>
              </w:rPr>
              <w:t>3</w:t>
            </w:r>
            <w:r>
              <w:rPr>
                <w:rFonts w:hint="eastAsia" w:ascii="宋体" w:hAnsi="宋体" w:eastAsia="宋体" w:cs="宋体"/>
                <w:color w:val="000000"/>
                <w:spacing w:val="-2"/>
                <w:sz w:val="24"/>
              </w:rPr>
              <w:t>年预算数</w:t>
            </w:r>
          </w:p>
        </w:tc>
        <w:tc>
          <w:tcPr>
            <w:tcW w:w="1679" w:type="dxa"/>
            <w:gridSpan w:val="2"/>
            <w:noWrap/>
          </w:tcPr>
          <w:p>
            <w:pPr>
              <w:spacing w:before="76" w:line="219" w:lineRule="auto"/>
              <w:jc w:val="center"/>
              <w:rPr>
                <w:rFonts w:ascii="宋体" w:hAnsi="宋体" w:eastAsia="宋体" w:cs="宋体"/>
                <w:color w:val="000000"/>
                <w:sz w:val="24"/>
              </w:rPr>
            </w:pPr>
            <w:r>
              <w:rPr>
                <w:rFonts w:hint="eastAsia" w:ascii="宋体" w:hAnsi="宋体" w:eastAsia="宋体" w:cs="宋体"/>
                <w:color w:val="000000"/>
                <w:spacing w:val="-4"/>
                <w:sz w:val="24"/>
              </w:rPr>
              <w:t>202</w:t>
            </w:r>
            <w:r>
              <w:rPr>
                <w:rFonts w:hint="eastAsia" w:ascii="宋体" w:hAnsi="宋体" w:cs="宋体"/>
                <w:color w:val="000000"/>
                <w:spacing w:val="-4"/>
                <w:sz w:val="24"/>
              </w:rPr>
              <w:t>3</w:t>
            </w:r>
            <w:r>
              <w:rPr>
                <w:rFonts w:hint="eastAsia" w:ascii="宋体" w:hAnsi="宋体" w:eastAsia="宋体" w:cs="宋体"/>
                <w:color w:val="000000"/>
                <w:spacing w:val="-4"/>
                <w:sz w:val="24"/>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ign w:val="center"/>
          </w:tcPr>
          <w:p>
            <w:pPr>
              <w:spacing w:before="141" w:line="202" w:lineRule="auto"/>
              <w:ind w:left="114"/>
              <w:jc w:val="left"/>
              <w:rPr>
                <w:rFonts w:ascii="宋体" w:hAnsi="宋体" w:eastAsia="宋体" w:cs="宋体"/>
                <w:color w:val="000000"/>
                <w:sz w:val="24"/>
              </w:rPr>
            </w:pPr>
            <w:r>
              <w:rPr>
                <w:rFonts w:hint="eastAsia" w:ascii="宋体" w:hAnsi="宋体" w:eastAsia="宋体" w:cs="宋体"/>
                <w:color w:val="000000"/>
                <w:spacing w:val="3"/>
                <w:sz w:val="24"/>
              </w:rPr>
              <w:t>三公经费</w:t>
            </w:r>
          </w:p>
        </w:tc>
        <w:tc>
          <w:tcPr>
            <w:tcW w:w="1815" w:type="dxa"/>
            <w:gridSpan w:val="2"/>
            <w:noWrap/>
            <w:vAlign w:val="center"/>
          </w:tcPr>
          <w:p>
            <w:pPr>
              <w:jc w:val="center"/>
              <w:rPr>
                <w:rFonts w:ascii="宋体" w:hAnsi="宋体" w:eastAsia="宋体" w:cstheme="majorEastAsia"/>
                <w:color w:val="000000" w:themeColor="text1"/>
                <w:sz w:val="24"/>
              </w:rPr>
            </w:pPr>
            <w:r>
              <w:rPr>
                <w:rFonts w:hint="eastAsia" w:ascii="宋体" w:hAnsi="宋体" w:eastAsia="宋体" w:cstheme="majorEastAsia"/>
                <w:color w:val="000000" w:themeColor="text1"/>
                <w:sz w:val="24"/>
              </w:rPr>
              <w:t>3.68</w:t>
            </w:r>
          </w:p>
        </w:tc>
        <w:tc>
          <w:tcPr>
            <w:tcW w:w="2325" w:type="dxa"/>
            <w:gridSpan w:val="2"/>
            <w:noWrap/>
            <w:vAlign w:val="center"/>
          </w:tcPr>
          <w:p>
            <w:pPr>
              <w:jc w:val="center"/>
              <w:rPr>
                <w:rFonts w:ascii="宋体" w:hAnsi="宋体" w:eastAsia="宋体" w:cs="宋体"/>
                <w:color w:val="000000"/>
                <w:sz w:val="24"/>
              </w:rPr>
            </w:pPr>
            <w:r>
              <w:rPr>
                <w:rFonts w:hint="eastAsia" w:ascii="宋体" w:hAnsi="宋体" w:eastAsia="宋体" w:cs="宋体"/>
                <w:color w:val="000000"/>
                <w:sz w:val="24"/>
              </w:rPr>
              <w:t>3.5</w:t>
            </w:r>
          </w:p>
        </w:tc>
        <w:tc>
          <w:tcPr>
            <w:tcW w:w="1679" w:type="dxa"/>
            <w:gridSpan w:val="2"/>
            <w:noWrap/>
            <w:vAlign w:val="center"/>
          </w:tcPr>
          <w:p>
            <w:pPr>
              <w:jc w:val="center"/>
              <w:rPr>
                <w:rFonts w:ascii="宋体" w:hAnsi="宋体" w:eastAsia="宋体" w:cs="宋体"/>
                <w:color w:val="000000"/>
                <w:sz w:val="24"/>
              </w:rPr>
            </w:pPr>
            <w:r>
              <w:rPr>
                <w:rFonts w:hint="eastAsia" w:ascii="宋体" w:hAnsi="宋体" w:eastAsia="宋体" w:cs="宋体"/>
                <w:color w:val="000000"/>
                <w:sz w:val="24"/>
              </w:rPr>
              <w:t>3.07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ign w:val="center"/>
          </w:tcPr>
          <w:p>
            <w:pPr>
              <w:spacing w:before="149" w:line="193" w:lineRule="auto"/>
              <w:ind w:left="414"/>
              <w:jc w:val="left"/>
              <w:rPr>
                <w:rFonts w:ascii="宋体" w:hAnsi="宋体" w:eastAsia="宋体" w:cs="宋体"/>
                <w:color w:val="000000"/>
                <w:sz w:val="24"/>
              </w:rPr>
            </w:pPr>
            <w:r>
              <w:rPr>
                <w:rFonts w:hint="eastAsia" w:ascii="宋体" w:hAnsi="宋体" w:eastAsia="宋体" w:cs="宋体"/>
                <w:color w:val="000000"/>
                <w:sz w:val="24"/>
              </w:rPr>
              <w:t>1、公务用车购置和维护经费</w:t>
            </w:r>
          </w:p>
        </w:tc>
        <w:tc>
          <w:tcPr>
            <w:tcW w:w="1815" w:type="dxa"/>
            <w:gridSpan w:val="2"/>
            <w:noWrap/>
            <w:vAlign w:val="center"/>
          </w:tcPr>
          <w:p>
            <w:pPr>
              <w:jc w:val="center"/>
              <w:rPr>
                <w:rFonts w:ascii="宋体" w:hAnsi="宋体" w:eastAsia="宋体" w:cstheme="majorEastAsia"/>
                <w:color w:val="000000" w:themeColor="text1"/>
              </w:rPr>
            </w:pPr>
            <w:r>
              <w:rPr>
                <w:rFonts w:hint="eastAsia" w:ascii="宋体" w:hAnsi="宋体" w:eastAsia="宋体" w:cstheme="majorEastAsia"/>
                <w:color w:val="000000" w:themeColor="text1"/>
              </w:rPr>
              <w:t>3.68</w:t>
            </w:r>
          </w:p>
        </w:tc>
        <w:tc>
          <w:tcPr>
            <w:tcW w:w="2325"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3.5</w:t>
            </w:r>
          </w:p>
        </w:tc>
        <w:tc>
          <w:tcPr>
            <w:tcW w:w="1679"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3.07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81" w:line="219" w:lineRule="auto"/>
              <w:ind w:left="814"/>
              <w:jc w:val="left"/>
              <w:rPr>
                <w:rFonts w:ascii="宋体" w:hAnsi="宋体" w:eastAsia="宋体" w:cs="宋体"/>
                <w:color w:val="000000"/>
                <w:sz w:val="24"/>
              </w:rPr>
            </w:pPr>
            <w:r>
              <w:rPr>
                <w:rFonts w:hint="eastAsia" w:ascii="宋体" w:hAnsi="宋体" w:eastAsia="宋体" w:cs="宋体"/>
                <w:color w:val="000000"/>
                <w:spacing w:val="-2"/>
                <w:sz w:val="24"/>
              </w:rPr>
              <w:t>其中：公车购置</w:t>
            </w:r>
          </w:p>
        </w:tc>
        <w:tc>
          <w:tcPr>
            <w:tcW w:w="1815" w:type="dxa"/>
            <w:gridSpan w:val="2"/>
            <w:noWrap/>
            <w:vAlign w:val="center"/>
          </w:tcPr>
          <w:p>
            <w:pPr>
              <w:jc w:val="center"/>
              <w:rPr>
                <w:rFonts w:ascii="宋体" w:hAnsi="宋体" w:eastAsia="宋体" w:cstheme="majorEastAsia"/>
                <w:color w:val="000000" w:themeColor="text1"/>
              </w:rPr>
            </w:pPr>
          </w:p>
        </w:tc>
        <w:tc>
          <w:tcPr>
            <w:tcW w:w="2325" w:type="dxa"/>
            <w:gridSpan w:val="2"/>
            <w:noWrap/>
            <w:vAlign w:val="center"/>
          </w:tcPr>
          <w:p>
            <w:pPr>
              <w:jc w:val="center"/>
              <w:rPr>
                <w:rFonts w:ascii="宋体" w:hAnsi="宋体" w:eastAsia="宋体" w:cs="宋体"/>
                <w:color w:val="000000"/>
              </w:rPr>
            </w:pP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pPr>
              <w:spacing w:before="91" w:line="219" w:lineRule="auto"/>
              <w:ind w:left="1424"/>
              <w:jc w:val="left"/>
              <w:rPr>
                <w:rFonts w:ascii="宋体" w:hAnsi="宋体" w:eastAsia="宋体" w:cs="宋体"/>
                <w:color w:val="000000"/>
                <w:sz w:val="24"/>
              </w:rPr>
            </w:pPr>
            <w:r>
              <w:rPr>
                <w:rFonts w:hint="eastAsia" w:ascii="宋体" w:hAnsi="宋体" w:eastAsia="宋体" w:cs="宋体"/>
                <w:color w:val="000000"/>
                <w:spacing w:val="2"/>
                <w:sz w:val="24"/>
              </w:rPr>
              <w:t>公车运行维护</w:t>
            </w:r>
          </w:p>
        </w:tc>
        <w:tc>
          <w:tcPr>
            <w:tcW w:w="1815" w:type="dxa"/>
            <w:gridSpan w:val="2"/>
            <w:noWrap/>
            <w:vAlign w:val="center"/>
          </w:tcPr>
          <w:p>
            <w:pPr>
              <w:jc w:val="center"/>
              <w:rPr>
                <w:rFonts w:ascii="宋体" w:hAnsi="宋体" w:eastAsia="宋体" w:cstheme="majorEastAsia"/>
                <w:color w:val="000000" w:themeColor="text1"/>
              </w:rPr>
            </w:pPr>
            <w:r>
              <w:rPr>
                <w:rFonts w:hint="eastAsia" w:ascii="宋体" w:hAnsi="宋体" w:eastAsia="宋体" w:cstheme="majorEastAsia"/>
                <w:color w:val="000000" w:themeColor="text1"/>
              </w:rPr>
              <w:t>3.68</w:t>
            </w:r>
          </w:p>
        </w:tc>
        <w:tc>
          <w:tcPr>
            <w:tcW w:w="2325"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3.5</w:t>
            </w:r>
          </w:p>
        </w:tc>
        <w:tc>
          <w:tcPr>
            <w:tcW w:w="1679"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3.07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tcPr>
          <w:p>
            <w:pPr>
              <w:spacing w:before="81" w:line="220" w:lineRule="auto"/>
              <w:ind w:left="384"/>
              <w:jc w:val="left"/>
              <w:rPr>
                <w:rFonts w:ascii="宋体" w:hAnsi="宋体" w:eastAsia="宋体" w:cs="宋体"/>
                <w:color w:val="000000"/>
                <w:sz w:val="24"/>
              </w:rPr>
            </w:pPr>
            <w:r>
              <w:rPr>
                <w:rFonts w:hint="eastAsia" w:ascii="宋体" w:hAnsi="宋体" w:eastAsia="宋体" w:cs="宋体"/>
                <w:color w:val="000000"/>
                <w:spacing w:val="2"/>
                <w:sz w:val="24"/>
              </w:rPr>
              <w:t>2、出国经费</w:t>
            </w:r>
          </w:p>
        </w:tc>
        <w:tc>
          <w:tcPr>
            <w:tcW w:w="1815" w:type="dxa"/>
            <w:gridSpan w:val="2"/>
            <w:noWrap/>
            <w:vAlign w:val="center"/>
          </w:tcPr>
          <w:p>
            <w:pPr>
              <w:jc w:val="center"/>
              <w:rPr>
                <w:rFonts w:ascii="宋体" w:hAnsi="宋体" w:eastAsia="宋体" w:cstheme="majorEastAsia"/>
                <w:color w:val="000000" w:themeColor="text1"/>
              </w:rPr>
            </w:pPr>
          </w:p>
        </w:tc>
        <w:tc>
          <w:tcPr>
            <w:tcW w:w="2325" w:type="dxa"/>
            <w:gridSpan w:val="2"/>
            <w:noWrap/>
            <w:vAlign w:val="center"/>
          </w:tcPr>
          <w:p>
            <w:pPr>
              <w:jc w:val="center"/>
              <w:rPr>
                <w:rFonts w:ascii="宋体" w:hAnsi="宋体" w:eastAsia="宋体" w:cs="宋体"/>
                <w:color w:val="000000"/>
              </w:rPr>
            </w:pP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2" w:line="21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3、公务接待</w:t>
            </w:r>
          </w:p>
        </w:tc>
        <w:tc>
          <w:tcPr>
            <w:tcW w:w="1815" w:type="dxa"/>
            <w:gridSpan w:val="2"/>
            <w:noWrap/>
            <w:vAlign w:val="center"/>
          </w:tcPr>
          <w:p>
            <w:pPr>
              <w:jc w:val="center"/>
              <w:rPr>
                <w:rFonts w:ascii="宋体" w:hAnsi="宋体" w:eastAsia="宋体" w:cstheme="majorEastAsia"/>
                <w:color w:val="000000" w:themeColor="text1"/>
              </w:rPr>
            </w:pPr>
          </w:p>
        </w:tc>
        <w:tc>
          <w:tcPr>
            <w:tcW w:w="2325" w:type="dxa"/>
            <w:gridSpan w:val="2"/>
            <w:noWrap/>
            <w:vAlign w:val="center"/>
          </w:tcPr>
          <w:p>
            <w:pPr>
              <w:jc w:val="center"/>
              <w:rPr>
                <w:rFonts w:ascii="宋体" w:hAnsi="宋体" w:eastAsia="宋体" w:cs="宋体"/>
                <w:color w:val="000000"/>
              </w:rPr>
            </w:pP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143" w:line="200" w:lineRule="auto"/>
              <w:ind w:left="84"/>
              <w:jc w:val="left"/>
              <w:rPr>
                <w:rFonts w:ascii="宋体" w:hAnsi="宋体" w:eastAsia="宋体" w:cs="宋体"/>
                <w:color w:val="000000"/>
                <w:sz w:val="24"/>
              </w:rPr>
            </w:pPr>
            <w:r>
              <w:rPr>
                <w:rFonts w:hint="eastAsia" w:ascii="宋体" w:hAnsi="宋体" w:eastAsia="宋体" w:cs="宋体"/>
                <w:color w:val="000000"/>
                <w:spacing w:val="19"/>
                <w:sz w:val="24"/>
              </w:rPr>
              <w:t>项目支出：</w:t>
            </w:r>
          </w:p>
        </w:tc>
        <w:tc>
          <w:tcPr>
            <w:tcW w:w="1815" w:type="dxa"/>
            <w:gridSpan w:val="2"/>
            <w:noWrap/>
            <w:vAlign w:val="center"/>
          </w:tcPr>
          <w:p>
            <w:pPr>
              <w:jc w:val="center"/>
              <w:rPr>
                <w:rFonts w:ascii="宋体" w:hAnsi="宋体" w:eastAsia="宋体" w:cstheme="majorEastAsia"/>
                <w:color w:val="000000" w:themeColor="text1"/>
              </w:rPr>
            </w:pPr>
            <w:r>
              <w:rPr>
                <w:rFonts w:hint="eastAsia" w:ascii="宋体" w:hAnsi="宋体" w:eastAsia="宋体" w:cstheme="majorEastAsia"/>
                <w:color w:val="000000" w:themeColor="text1"/>
              </w:rPr>
              <w:t>346.81</w:t>
            </w:r>
          </w:p>
        </w:tc>
        <w:tc>
          <w:tcPr>
            <w:tcW w:w="2325"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460.83</w:t>
            </w:r>
          </w:p>
        </w:tc>
        <w:tc>
          <w:tcPr>
            <w:tcW w:w="1679"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357.52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spacing w:before="133" w:line="200" w:lineRule="auto"/>
              <w:ind w:left="384"/>
              <w:jc w:val="left"/>
              <w:rPr>
                <w:rFonts w:ascii="宋体" w:hAnsi="宋体" w:eastAsia="宋体" w:cs="宋体"/>
                <w:color w:val="000000"/>
                <w:sz w:val="24"/>
              </w:rPr>
            </w:pPr>
            <w:r>
              <w:rPr>
                <w:rFonts w:hint="eastAsia" w:ascii="宋体" w:hAnsi="宋体" w:eastAsia="宋体" w:cs="宋体"/>
                <w:color w:val="000000"/>
                <w:spacing w:val="1"/>
                <w:sz w:val="24"/>
              </w:rPr>
              <w:t>1、业务工作经费</w:t>
            </w:r>
          </w:p>
        </w:tc>
        <w:tc>
          <w:tcPr>
            <w:tcW w:w="1815" w:type="dxa"/>
            <w:gridSpan w:val="2"/>
            <w:noWrap/>
            <w:vAlign w:val="center"/>
          </w:tcPr>
          <w:p>
            <w:pPr>
              <w:jc w:val="center"/>
              <w:rPr>
                <w:rFonts w:ascii="宋体" w:hAnsi="宋体" w:eastAsia="宋体" w:cstheme="majorEastAsia"/>
                <w:color w:val="000000" w:themeColor="text1"/>
              </w:rPr>
            </w:pPr>
            <w:r>
              <w:rPr>
                <w:rFonts w:hint="eastAsia" w:ascii="宋体" w:hAnsi="宋体" w:eastAsia="宋体" w:cstheme="majorEastAsia"/>
              </w:rPr>
              <w:t>345.98</w:t>
            </w:r>
          </w:p>
        </w:tc>
        <w:tc>
          <w:tcPr>
            <w:tcW w:w="2325"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460</w:t>
            </w:r>
          </w:p>
        </w:tc>
        <w:tc>
          <w:tcPr>
            <w:tcW w:w="1679"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356.69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pPr>
              <w:spacing w:before="143" w:line="20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2、运行维护经费</w:t>
            </w:r>
          </w:p>
        </w:tc>
        <w:tc>
          <w:tcPr>
            <w:tcW w:w="1815" w:type="dxa"/>
            <w:gridSpan w:val="2"/>
            <w:noWrap/>
            <w:vAlign w:val="center"/>
          </w:tcPr>
          <w:p>
            <w:pPr>
              <w:jc w:val="center"/>
              <w:rPr>
                <w:rFonts w:ascii="宋体" w:hAnsi="宋体" w:eastAsia="宋体" w:cstheme="majorEastAsia"/>
              </w:rPr>
            </w:pPr>
          </w:p>
        </w:tc>
        <w:tc>
          <w:tcPr>
            <w:tcW w:w="2325" w:type="dxa"/>
            <w:gridSpan w:val="2"/>
            <w:noWrap/>
            <w:vAlign w:val="center"/>
          </w:tcPr>
          <w:p>
            <w:pPr>
              <w:jc w:val="center"/>
              <w:rPr>
                <w:rFonts w:ascii="宋体" w:hAnsi="宋体" w:eastAsia="宋体" w:cs="宋体"/>
                <w:color w:val="000000"/>
              </w:rPr>
            </w:pP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spacing w:before="143" w:line="209" w:lineRule="auto"/>
              <w:ind w:left="384"/>
              <w:jc w:val="left"/>
              <w:rPr>
                <w:rFonts w:ascii="宋体" w:hAnsi="宋体" w:eastAsia="宋体" w:cs="宋体"/>
                <w:color w:val="000000"/>
                <w:sz w:val="24"/>
              </w:rPr>
            </w:pPr>
            <w:r>
              <w:rPr>
                <w:rFonts w:hint="eastAsia" w:ascii="宋体" w:hAnsi="宋体" w:eastAsia="宋体" w:cs="宋体"/>
                <w:color w:val="000000"/>
                <w:sz w:val="24"/>
              </w:rPr>
              <w:t>3、抚恤金</w:t>
            </w:r>
          </w:p>
        </w:tc>
        <w:tc>
          <w:tcPr>
            <w:tcW w:w="1815"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0.83</w:t>
            </w:r>
          </w:p>
        </w:tc>
        <w:tc>
          <w:tcPr>
            <w:tcW w:w="2325"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0.83</w:t>
            </w:r>
          </w:p>
        </w:tc>
        <w:tc>
          <w:tcPr>
            <w:tcW w:w="1679"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pPr>
              <w:spacing w:before="143" w:line="209" w:lineRule="auto"/>
              <w:ind w:left="384"/>
              <w:jc w:val="left"/>
              <w:rPr>
                <w:rFonts w:ascii="宋体" w:hAnsi="宋体" w:eastAsia="宋体" w:cs="宋体"/>
                <w:color w:val="000000"/>
                <w:spacing w:val="1"/>
                <w:sz w:val="24"/>
              </w:rPr>
            </w:pPr>
            <w:r>
              <w:rPr>
                <w:rFonts w:hint="eastAsia" w:ascii="宋体" w:hAnsi="宋体" w:eastAsia="宋体" w:cs="宋体"/>
                <w:color w:val="000000"/>
                <w:spacing w:val="1"/>
                <w:sz w:val="24"/>
              </w:rPr>
              <w:t>3、区级专项资金(一个专项一行)</w:t>
            </w:r>
          </w:p>
        </w:tc>
        <w:tc>
          <w:tcPr>
            <w:tcW w:w="1815" w:type="dxa"/>
            <w:gridSpan w:val="2"/>
            <w:noWrap/>
            <w:vAlign w:val="center"/>
          </w:tcPr>
          <w:p>
            <w:pPr>
              <w:jc w:val="center"/>
              <w:rPr>
                <w:rFonts w:ascii="宋体" w:hAnsi="宋体" w:eastAsia="宋体" w:cs="宋体"/>
                <w:color w:val="000000"/>
              </w:rPr>
            </w:pPr>
          </w:p>
        </w:tc>
        <w:tc>
          <w:tcPr>
            <w:tcW w:w="2325" w:type="dxa"/>
            <w:gridSpan w:val="2"/>
            <w:noWrap/>
            <w:vAlign w:val="center"/>
          </w:tcPr>
          <w:p>
            <w:pPr>
              <w:jc w:val="center"/>
              <w:rPr>
                <w:rFonts w:ascii="宋体" w:hAnsi="宋体" w:eastAsia="宋体" w:cs="宋体"/>
                <w:color w:val="000000"/>
              </w:rPr>
            </w:pP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143" w:line="209" w:lineRule="auto"/>
              <w:ind w:left="384"/>
              <w:jc w:val="left"/>
              <w:rPr>
                <w:rFonts w:ascii="宋体" w:hAnsi="宋体" w:eastAsia="宋体" w:cs="宋体"/>
                <w:color w:val="000000"/>
                <w:spacing w:val="1"/>
                <w:sz w:val="24"/>
              </w:rPr>
            </w:pPr>
          </w:p>
        </w:tc>
        <w:tc>
          <w:tcPr>
            <w:tcW w:w="1815" w:type="dxa"/>
            <w:gridSpan w:val="2"/>
            <w:noWrap/>
            <w:vAlign w:val="center"/>
          </w:tcPr>
          <w:p>
            <w:pPr>
              <w:jc w:val="center"/>
              <w:rPr>
                <w:rFonts w:ascii="宋体" w:hAnsi="宋体" w:eastAsia="宋体" w:cs="宋体"/>
                <w:color w:val="000000"/>
              </w:rPr>
            </w:pPr>
          </w:p>
        </w:tc>
        <w:tc>
          <w:tcPr>
            <w:tcW w:w="2325" w:type="dxa"/>
            <w:gridSpan w:val="2"/>
            <w:noWrap/>
            <w:vAlign w:val="center"/>
          </w:tcPr>
          <w:p>
            <w:pPr>
              <w:jc w:val="center"/>
              <w:rPr>
                <w:rFonts w:ascii="宋体" w:hAnsi="宋体" w:eastAsia="宋体" w:cs="宋体"/>
                <w:color w:val="000000"/>
              </w:rPr>
            </w:pP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143" w:line="209" w:lineRule="auto"/>
              <w:ind w:left="384"/>
              <w:jc w:val="left"/>
              <w:rPr>
                <w:rFonts w:ascii="宋体" w:hAnsi="宋体" w:eastAsia="宋体" w:cs="宋体"/>
                <w:color w:val="000000"/>
                <w:spacing w:val="1"/>
                <w:sz w:val="24"/>
              </w:rPr>
            </w:pPr>
            <w:r>
              <w:rPr>
                <w:rFonts w:hint="eastAsia" w:ascii="宋体" w:hAnsi="宋体" w:eastAsia="宋体" w:cs="宋体"/>
                <w:color w:val="000000"/>
                <w:spacing w:val="1"/>
                <w:sz w:val="24"/>
              </w:rPr>
              <w:t>4、上级转移支付(一个专项一行）</w:t>
            </w:r>
          </w:p>
        </w:tc>
        <w:tc>
          <w:tcPr>
            <w:tcW w:w="1815" w:type="dxa"/>
            <w:gridSpan w:val="2"/>
            <w:noWrap/>
            <w:vAlign w:val="center"/>
          </w:tcPr>
          <w:p>
            <w:pPr>
              <w:jc w:val="center"/>
              <w:rPr>
                <w:rFonts w:ascii="宋体" w:hAnsi="宋体" w:eastAsia="宋体" w:cs="宋体"/>
                <w:color w:val="000000"/>
              </w:rPr>
            </w:pPr>
          </w:p>
        </w:tc>
        <w:tc>
          <w:tcPr>
            <w:tcW w:w="2325" w:type="dxa"/>
            <w:gridSpan w:val="2"/>
            <w:noWrap/>
            <w:vAlign w:val="center"/>
          </w:tcPr>
          <w:p>
            <w:pPr>
              <w:jc w:val="center"/>
              <w:rPr>
                <w:rFonts w:ascii="宋体" w:hAnsi="宋体" w:eastAsia="宋体" w:cs="宋体"/>
                <w:color w:val="000000"/>
              </w:rPr>
            </w:pP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ascii="宋体" w:hAnsi="宋体" w:eastAsia="宋体" w:cs="宋体"/>
                <w:color w:val="000000"/>
                <w:sz w:val="24"/>
              </w:rPr>
            </w:pPr>
            <w:r>
              <w:rPr>
                <w:rFonts w:hint="eastAsia" w:ascii="宋体" w:hAnsi="宋体" w:eastAsia="宋体" w:cs="宋体"/>
                <w:color w:val="000000"/>
                <w:spacing w:val="3"/>
                <w:sz w:val="24"/>
              </w:rPr>
              <w:t>公用经费</w:t>
            </w:r>
          </w:p>
        </w:tc>
        <w:tc>
          <w:tcPr>
            <w:tcW w:w="1815" w:type="dxa"/>
            <w:gridSpan w:val="2"/>
            <w:noWrap/>
            <w:vAlign w:val="center"/>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rPr>
              <w:t>223.97</w:t>
            </w:r>
          </w:p>
        </w:tc>
        <w:tc>
          <w:tcPr>
            <w:tcW w:w="2325"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37.8</w:t>
            </w:r>
          </w:p>
        </w:tc>
        <w:tc>
          <w:tcPr>
            <w:tcW w:w="1679"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33.28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85" w:line="21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其中：办公经费</w:t>
            </w:r>
          </w:p>
        </w:tc>
        <w:tc>
          <w:tcPr>
            <w:tcW w:w="1815" w:type="dxa"/>
            <w:gridSpan w:val="2"/>
            <w:noWrap/>
            <w:vAlign w:val="center"/>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25.21</w:t>
            </w:r>
          </w:p>
        </w:tc>
        <w:tc>
          <w:tcPr>
            <w:tcW w:w="2325"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5</w:t>
            </w:r>
          </w:p>
        </w:tc>
        <w:tc>
          <w:tcPr>
            <w:tcW w:w="1679"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spacing w:before="135" w:line="198" w:lineRule="auto"/>
              <w:ind w:left="1114"/>
              <w:jc w:val="left"/>
              <w:rPr>
                <w:rFonts w:ascii="宋体" w:hAnsi="宋体" w:eastAsia="宋体" w:cs="宋体"/>
                <w:color w:val="000000"/>
                <w:sz w:val="24"/>
              </w:rPr>
            </w:pPr>
            <w:r>
              <w:rPr>
                <w:rFonts w:hint="eastAsia" w:ascii="宋体" w:hAnsi="宋体" w:eastAsia="宋体" w:cs="宋体"/>
                <w:color w:val="000000"/>
                <w:spacing w:val="1"/>
                <w:sz w:val="24"/>
              </w:rPr>
              <w:t>水费、电费、差旅费</w:t>
            </w:r>
          </w:p>
        </w:tc>
        <w:tc>
          <w:tcPr>
            <w:tcW w:w="1815" w:type="dxa"/>
            <w:gridSpan w:val="2"/>
            <w:noWrap/>
            <w:vAlign w:val="center"/>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7.41</w:t>
            </w:r>
          </w:p>
        </w:tc>
        <w:tc>
          <w:tcPr>
            <w:tcW w:w="2325"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1</w:t>
            </w:r>
          </w:p>
        </w:tc>
        <w:tc>
          <w:tcPr>
            <w:tcW w:w="1679"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144" w:line="198" w:lineRule="auto"/>
              <w:ind w:left="1124"/>
              <w:jc w:val="left"/>
              <w:rPr>
                <w:rFonts w:ascii="宋体" w:hAnsi="宋体" w:eastAsia="宋体" w:cs="宋体"/>
                <w:color w:val="000000"/>
                <w:sz w:val="24"/>
              </w:rPr>
            </w:pPr>
            <w:r>
              <w:rPr>
                <w:rFonts w:hint="eastAsia" w:ascii="宋体" w:hAnsi="宋体" w:eastAsia="宋体" w:cs="宋体"/>
                <w:color w:val="000000"/>
                <w:spacing w:val="-1"/>
                <w:sz w:val="24"/>
              </w:rPr>
              <w:t>会议费、培训费</w:t>
            </w:r>
          </w:p>
        </w:tc>
        <w:tc>
          <w:tcPr>
            <w:tcW w:w="1815" w:type="dxa"/>
            <w:gridSpan w:val="2"/>
            <w:noWrap/>
            <w:vAlign w:val="center"/>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w:t>
            </w:r>
          </w:p>
        </w:tc>
        <w:tc>
          <w:tcPr>
            <w:tcW w:w="2325" w:type="dxa"/>
            <w:gridSpan w:val="2"/>
            <w:noWrap/>
            <w:vAlign w:val="center"/>
          </w:tcPr>
          <w:p>
            <w:pPr>
              <w:jc w:val="center"/>
              <w:rPr>
                <w:rFonts w:ascii="宋体" w:hAnsi="宋体" w:eastAsia="宋体" w:cs="宋体"/>
                <w:color w:val="000000"/>
              </w:rPr>
            </w:pP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spacing w:before="145" w:line="189" w:lineRule="auto"/>
              <w:ind w:left="104"/>
              <w:jc w:val="left"/>
              <w:rPr>
                <w:rFonts w:ascii="宋体" w:hAnsi="宋体" w:eastAsia="宋体" w:cs="宋体"/>
                <w:color w:val="000000"/>
                <w:sz w:val="24"/>
              </w:rPr>
            </w:pPr>
            <w:r>
              <w:rPr>
                <w:rFonts w:hint="eastAsia" w:ascii="宋体" w:hAnsi="宋体" w:eastAsia="宋体" w:cs="宋体"/>
                <w:color w:val="000000"/>
                <w:spacing w:val="-1"/>
                <w:sz w:val="24"/>
              </w:rPr>
              <w:t>政府采购金额</w:t>
            </w:r>
          </w:p>
        </w:tc>
        <w:tc>
          <w:tcPr>
            <w:tcW w:w="1815" w:type="dxa"/>
            <w:gridSpan w:val="2"/>
            <w:noWrap/>
            <w:vAlign w:val="center"/>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114.35</w:t>
            </w:r>
          </w:p>
        </w:tc>
        <w:tc>
          <w:tcPr>
            <w:tcW w:w="2325"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640.76</w:t>
            </w:r>
          </w:p>
        </w:tc>
        <w:tc>
          <w:tcPr>
            <w:tcW w:w="1679"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386.70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145" w:line="198" w:lineRule="auto"/>
              <w:ind w:left="114"/>
              <w:jc w:val="left"/>
              <w:rPr>
                <w:rFonts w:ascii="宋体" w:hAnsi="宋体" w:eastAsia="宋体" w:cs="宋体"/>
                <w:color w:val="000000"/>
                <w:sz w:val="24"/>
              </w:rPr>
            </w:pPr>
            <w:r>
              <w:rPr>
                <w:rFonts w:hint="eastAsia" w:ascii="宋体" w:hAnsi="宋体" w:eastAsia="宋体" w:cs="宋体"/>
                <w:color w:val="000000"/>
                <w:spacing w:val="1"/>
                <w:sz w:val="24"/>
              </w:rPr>
              <w:t>部门基本支出预算调整</w:t>
            </w:r>
          </w:p>
        </w:tc>
        <w:tc>
          <w:tcPr>
            <w:tcW w:w="1815" w:type="dxa"/>
            <w:gridSpan w:val="2"/>
            <w:noWrap/>
            <w:vAlign w:val="center"/>
          </w:tcPr>
          <w:p>
            <w:pPr>
              <w:jc w:val="center"/>
              <w:rPr>
                <w:rFonts w:ascii="宋体" w:hAnsi="宋体" w:eastAsia="宋体" w:cs="宋体"/>
                <w:color w:val="000000"/>
              </w:rPr>
            </w:pPr>
          </w:p>
        </w:tc>
        <w:tc>
          <w:tcPr>
            <w:tcW w:w="2325" w:type="dxa"/>
            <w:gridSpan w:val="2"/>
            <w:noWrap/>
            <w:vAlign w:val="center"/>
          </w:tcPr>
          <w:p>
            <w:pPr>
              <w:jc w:val="center"/>
              <w:rPr>
                <w:rFonts w:ascii="宋体" w:hAnsi="宋体" w:eastAsia="宋体" w:cs="宋体"/>
                <w:color w:val="000000"/>
              </w:rPr>
            </w:pPr>
            <w:r>
              <w:rPr>
                <w:rFonts w:hint="eastAsia" w:ascii="宋体" w:hAnsi="宋体" w:eastAsia="宋体" w:cs="宋体"/>
                <w:color w:val="000000"/>
              </w:rPr>
              <w:t>22.81</w:t>
            </w: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ign w:val="center"/>
          </w:tcPr>
          <w:p>
            <w:pPr>
              <w:spacing w:before="65" w:line="390" w:lineRule="exact"/>
              <w:jc w:val="center"/>
              <w:rPr>
                <w:rFonts w:ascii="宋体" w:hAnsi="宋体" w:eastAsia="宋体" w:cs="宋体"/>
                <w:color w:val="000000"/>
                <w:sz w:val="24"/>
              </w:rPr>
            </w:pPr>
            <w:r>
              <w:rPr>
                <w:rFonts w:hint="eastAsia" w:ascii="宋体" w:hAnsi="宋体" w:eastAsia="宋体" w:cs="宋体"/>
                <w:color w:val="000000"/>
                <w:spacing w:val="-1"/>
                <w:position w:val="14"/>
                <w:sz w:val="24"/>
              </w:rPr>
              <w:t>楼堂馆所控制情况</w:t>
            </w:r>
          </w:p>
          <w:p>
            <w:pPr>
              <w:spacing w:line="219" w:lineRule="auto"/>
              <w:jc w:val="center"/>
              <w:rPr>
                <w:rFonts w:ascii="宋体" w:hAnsi="宋体" w:eastAsia="宋体" w:cs="宋体"/>
                <w:color w:val="000000"/>
                <w:sz w:val="24"/>
              </w:rPr>
            </w:pPr>
            <w:r>
              <w:rPr>
                <w:rFonts w:hint="eastAsia" w:ascii="宋体" w:hAnsi="宋体" w:eastAsia="宋体" w:cs="宋体"/>
                <w:color w:val="000000"/>
                <w:spacing w:val="3"/>
                <w:sz w:val="24"/>
              </w:rPr>
              <w:t>(202</w:t>
            </w:r>
            <w:r>
              <w:rPr>
                <w:rFonts w:hint="eastAsia" w:ascii="宋体" w:hAnsi="宋体" w:cs="宋体"/>
                <w:color w:val="000000"/>
                <w:spacing w:val="3"/>
                <w:sz w:val="24"/>
              </w:rPr>
              <w:t>3</w:t>
            </w:r>
            <w:r>
              <w:rPr>
                <w:rFonts w:hint="eastAsia" w:ascii="宋体" w:hAnsi="宋体" w:eastAsia="宋体" w:cs="宋体"/>
                <w:color w:val="000000"/>
                <w:spacing w:val="3"/>
                <w:sz w:val="24"/>
              </w:rPr>
              <w:t>年完工项目)</w:t>
            </w:r>
          </w:p>
        </w:tc>
        <w:tc>
          <w:tcPr>
            <w:tcW w:w="825" w:type="dxa"/>
            <w:noWrap/>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批复规模</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(m²)</w:t>
            </w:r>
          </w:p>
        </w:tc>
        <w:tc>
          <w:tcPr>
            <w:tcW w:w="990" w:type="dxa"/>
            <w:noWrap/>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实际规</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模(m²)</w:t>
            </w:r>
          </w:p>
        </w:tc>
        <w:tc>
          <w:tcPr>
            <w:tcW w:w="1140" w:type="dxa"/>
            <w:noWrap/>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规模控制率</w:t>
            </w:r>
          </w:p>
        </w:tc>
        <w:tc>
          <w:tcPr>
            <w:tcW w:w="1185" w:type="dxa"/>
            <w:noWrap/>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预算投资</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(万元)</w:t>
            </w:r>
          </w:p>
        </w:tc>
        <w:tc>
          <w:tcPr>
            <w:tcW w:w="810" w:type="dxa"/>
            <w:noWrap/>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实际</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投资</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(万元)</w:t>
            </w:r>
          </w:p>
        </w:tc>
        <w:tc>
          <w:tcPr>
            <w:tcW w:w="869" w:type="dxa"/>
            <w:noWrap/>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投资概</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算控制</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tcPr>
          <w:p>
            <w:pPr>
              <w:jc w:val="left"/>
              <w:rPr>
                <w:rFonts w:ascii="宋体" w:hAnsi="宋体" w:eastAsia="宋体" w:cs="宋体"/>
                <w:color w:val="000000"/>
                <w:sz w:val="24"/>
              </w:rPr>
            </w:pPr>
          </w:p>
        </w:tc>
        <w:tc>
          <w:tcPr>
            <w:tcW w:w="825" w:type="dxa"/>
            <w:noWrap/>
            <w:vAlign w:val="center"/>
          </w:tcPr>
          <w:p>
            <w:pPr>
              <w:jc w:val="center"/>
              <w:rPr>
                <w:rFonts w:ascii="宋体" w:hAnsi="宋体" w:eastAsia="宋体" w:cs="宋体"/>
                <w:color w:val="000000"/>
              </w:rPr>
            </w:pPr>
          </w:p>
        </w:tc>
        <w:tc>
          <w:tcPr>
            <w:tcW w:w="990" w:type="dxa"/>
            <w:noWrap/>
            <w:vAlign w:val="center"/>
          </w:tcPr>
          <w:p>
            <w:pPr>
              <w:jc w:val="center"/>
              <w:rPr>
                <w:rFonts w:ascii="宋体" w:hAnsi="宋体" w:eastAsia="宋体" w:cs="宋体"/>
                <w:color w:val="000000"/>
              </w:rPr>
            </w:pPr>
          </w:p>
        </w:tc>
        <w:tc>
          <w:tcPr>
            <w:tcW w:w="1140" w:type="dxa"/>
            <w:noWrap/>
            <w:vAlign w:val="center"/>
          </w:tcPr>
          <w:p>
            <w:pPr>
              <w:jc w:val="center"/>
              <w:rPr>
                <w:rFonts w:ascii="宋体" w:hAnsi="宋体" w:eastAsia="宋体" w:cs="宋体"/>
                <w:color w:val="000000"/>
              </w:rPr>
            </w:pPr>
          </w:p>
        </w:tc>
        <w:tc>
          <w:tcPr>
            <w:tcW w:w="1185" w:type="dxa"/>
            <w:noWrap/>
            <w:vAlign w:val="center"/>
          </w:tcPr>
          <w:p>
            <w:pPr>
              <w:jc w:val="center"/>
              <w:rPr>
                <w:rFonts w:ascii="宋体" w:hAnsi="宋体" w:eastAsia="宋体" w:cs="宋体"/>
                <w:color w:val="000000"/>
              </w:rPr>
            </w:pPr>
          </w:p>
        </w:tc>
        <w:tc>
          <w:tcPr>
            <w:tcW w:w="810" w:type="dxa"/>
            <w:noWrap/>
            <w:vAlign w:val="center"/>
          </w:tcPr>
          <w:p>
            <w:pPr>
              <w:jc w:val="center"/>
              <w:rPr>
                <w:rFonts w:ascii="宋体" w:hAnsi="宋体" w:eastAsia="宋体" w:cs="宋体"/>
                <w:color w:val="000000"/>
              </w:rPr>
            </w:pPr>
          </w:p>
        </w:tc>
        <w:tc>
          <w:tcPr>
            <w:tcW w:w="869" w:type="dxa"/>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pPr>
              <w:jc w:val="center"/>
              <w:rPr>
                <w:rFonts w:ascii="宋体" w:hAnsi="宋体" w:eastAsia="宋体" w:cs="宋体"/>
                <w:color w:val="000000"/>
                <w:sz w:val="24"/>
              </w:rPr>
            </w:pPr>
            <w:r>
              <w:rPr>
                <w:rFonts w:hint="eastAsia" w:ascii="宋体" w:hAnsi="宋体" w:eastAsia="宋体" w:cs="宋体"/>
                <w:color w:val="000000"/>
                <w:spacing w:val="1"/>
                <w:sz w:val="24"/>
              </w:rPr>
              <w:t>厉行节约保障措施</w:t>
            </w:r>
          </w:p>
        </w:tc>
        <w:tc>
          <w:tcPr>
            <w:tcW w:w="5819" w:type="dxa"/>
            <w:gridSpan w:val="6"/>
            <w:noWrap/>
            <w:vAlign w:val="center"/>
          </w:tcPr>
          <w:p>
            <w:pPr>
              <w:jc w:val="center"/>
              <w:rPr>
                <w:rFonts w:ascii="宋体" w:hAnsi="宋体" w:eastAsia="宋体" w:cs="宋体"/>
                <w:color w:val="000000"/>
              </w:rPr>
            </w:pPr>
            <w:r>
              <w:rPr>
                <w:rFonts w:hint="eastAsia" w:asciiTheme="majorEastAsia" w:hAnsiTheme="majorEastAsia" w:eastAsiaTheme="majorEastAsia" w:cstheme="majorEastAsia"/>
                <w:color w:val="000000" w:themeColor="text1"/>
              </w:rPr>
              <w:t>严格缩减经费开支</w:t>
            </w:r>
          </w:p>
        </w:tc>
      </w:tr>
    </w:tbl>
    <w:p>
      <w:pPr>
        <w:spacing w:line="410" w:lineRule="exact"/>
        <w:rPr>
          <w:rFonts w:ascii="宋体" w:hAnsi="宋体" w:eastAsia="宋体" w:cs="宋体"/>
          <w:color w:val="000000"/>
          <w:sz w:val="23"/>
          <w:szCs w:val="23"/>
        </w:rPr>
      </w:pPr>
      <w:r>
        <w:rPr>
          <w:rFonts w:hint="eastAsia" w:ascii="宋体" w:hAnsi="宋体" w:eastAsia="宋体" w:cs="宋体"/>
          <w:color w:val="000000"/>
          <w:sz w:val="23"/>
          <w:szCs w:val="23"/>
        </w:rPr>
        <w:t>说明：“项目支出”需要填报基本支出以外的所有项目支出情况，“公用经费”填报基本支出中的一般商品和服务支出。</w:t>
      </w:r>
    </w:p>
    <w:p>
      <w:pPr>
        <w:jc w:val="left"/>
        <w:rPr>
          <w:rFonts w:ascii="宋体" w:hAnsi="宋体" w:eastAsia="宋体" w:cs="宋体"/>
          <w:color w:val="000000"/>
          <w:sz w:val="23"/>
          <w:szCs w:val="23"/>
        </w:rPr>
      </w:pPr>
    </w:p>
    <w:p>
      <w:pPr>
        <w:jc w:val="left"/>
        <w:rPr>
          <w:sz w:val="28"/>
          <w:szCs w:val="28"/>
        </w:rPr>
        <w:sectPr>
          <w:footerReference r:id="rId3" w:type="default"/>
          <w:pgSz w:w="11900" w:h="16833"/>
          <w:pgMar w:top="1429" w:right="1106" w:bottom="1253" w:left="1111" w:header="0" w:footer="964" w:gutter="0"/>
          <w:cols w:space="0" w:num="1"/>
        </w:sectPr>
      </w:pPr>
      <w:r>
        <w:rPr>
          <w:rFonts w:hint="eastAsia" w:ascii="宋体" w:hAnsi="宋体" w:eastAsia="宋体" w:cs="宋体"/>
          <w:color w:val="000000"/>
          <w:sz w:val="23"/>
          <w:szCs w:val="23"/>
        </w:rPr>
        <w:t>单位负责人签字：         填表人：易国庆   联系电话：8830030    填报日期：2024.05.16</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Times New Roman" w:hAnsi="Times New Roman" w:eastAsia="宋体" w:cs="Times New Roman"/>
          <w:spacing w:val="-4"/>
          <w:sz w:val="31"/>
          <w:szCs w:val="31"/>
          <w:lang w:val="en-US" w:eastAsia="zh-CN"/>
        </w:rPr>
        <w:t>2</w:t>
      </w:r>
    </w:p>
    <w:p>
      <w:pPr>
        <w:spacing w:line="700" w:lineRule="exact"/>
        <w:jc w:val="center"/>
        <w:rPr>
          <w:rFonts w:ascii="方正小标宋简体" w:hAnsi="方正小标宋简体" w:eastAsia="方正小标宋简体" w:cs="方正小标宋简体"/>
          <w:color w:val="000000"/>
          <w:spacing w:val="2"/>
          <w:sz w:val="42"/>
          <w:szCs w:val="42"/>
        </w:rPr>
      </w:pPr>
      <w:r>
        <w:rPr>
          <w:rFonts w:hint="eastAsia" w:ascii="方正小标宋简体" w:hAnsi="方正小标宋简体" w:eastAsia="方正小标宋简体" w:cs="方正小标宋简体"/>
          <w:color w:val="000000"/>
          <w:spacing w:val="2"/>
          <w:sz w:val="42"/>
          <w:szCs w:val="42"/>
        </w:rPr>
        <w:t>2023 年度预算单位整体支出绩效自评表</w:t>
      </w:r>
    </w:p>
    <w:p>
      <w:pPr>
        <w:spacing w:line="132" w:lineRule="exact"/>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ign w:val="center"/>
          </w:tcPr>
          <w:p>
            <w:pPr>
              <w:spacing w:before="24" w:line="208" w:lineRule="auto"/>
              <w:ind w:left="120" w:firstLine="412" w:firstLineChars="200"/>
              <w:rPr>
                <w:rFonts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ign w:val="center"/>
          </w:tcPr>
          <w:p>
            <w:pPr>
              <w:pStyle w:val="8"/>
              <w:spacing w:line="239" w:lineRule="exact"/>
              <w:jc w:val="center"/>
              <w:rPr>
                <w:rFonts w:ascii="宋体" w:hAnsi="宋体" w:eastAsia="宋体" w:cs="宋体"/>
                <w:sz w:val="20"/>
                <w:lang w:eastAsia="zh-CN"/>
              </w:rPr>
            </w:pPr>
            <w:r>
              <w:rPr>
                <w:rFonts w:hint="eastAsia" w:ascii="宋体" w:hAnsi="宋体" w:eastAsia="宋体" w:cs="宋体"/>
                <w:sz w:val="20"/>
                <w:lang w:eastAsia="zh-CN"/>
              </w:rPr>
              <w:t>岳阳市岳阳楼区自然资源局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ign w:val="center"/>
          </w:tcPr>
          <w:p>
            <w:pPr>
              <w:spacing w:before="62" w:line="230" w:lineRule="auto"/>
              <w:ind w:left="1"/>
              <w:jc w:val="center"/>
              <w:rPr>
                <w:rFonts w:ascii="宋体" w:hAnsi="宋体" w:eastAsia="宋体" w:cs="宋体"/>
                <w:spacing w:val="7"/>
                <w:sz w:val="19"/>
                <w:szCs w:val="19"/>
              </w:rPr>
            </w:pPr>
            <w:r>
              <w:rPr>
                <w:rFonts w:hint="eastAsia" w:ascii="宋体" w:hAnsi="宋体" w:eastAsia="宋体" w:cs="宋体"/>
                <w:spacing w:val="7"/>
                <w:sz w:val="19"/>
                <w:szCs w:val="19"/>
              </w:rPr>
              <w:t>年度预</w:t>
            </w:r>
          </w:p>
          <w:p>
            <w:pPr>
              <w:spacing w:before="62" w:line="230" w:lineRule="auto"/>
              <w:ind w:left="1"/>
              <w:jc w:val="center"/>
              <w:rPr>
                <w:rFonts w:ascii="宋体" w:hAnsi="宋体" w:eastAsia="宋体" w:cs="宋体"/>
                <w:spacing w:val="7"/>
                <w:sz w:val="19"/>
                <w:szCs w:val="19"/>
              </w:rPr>
            </w:pPr>
            <w:r>
              <w:rPr>
                <w:rFonts w:hint="eastAsia" w:ascii="宋体" w:hAnsi="宋体" w:eastAsia="宋体" w:cs="宋体"/>
                <w:spacing w:val="7"/>
                <w:sz w:val="19"/>
                <w:szCs w:val="19"/>
              </w:rPr>
              <w:t>算申请</w:t>
            </w:r>
          </w:p>
          <w:p>
            <w:pPr>
              <w:spacing w:before="62" w:line="230" w:lineRule="auto"/>
              <w:ind w:left="1"/>
              <w:jc w:val="center"/>
              <w:rPr>
                <w:rFonts w:ascii="宋体" w:hAnsi="宋体" w:eastAsia="宋体" w:cs="宋体"/>
                <w:sz w:val="19"/>
                <w:szCs w:val="19"/>
              </w:rPr>
            </w:pPr>
            <w:r>
              <w:rPr>
                <w:rFonts w:hint="eastAsia" w:ascii="宋体" w:hAnsi="宋体" w:eastAsia="宋体" w:cs="宋体"/>
                <w:spacing w:val="7"/>
                <w:sz w:val="19"/>
                <w:szCs w:val="19"/>
              </w:rPr>
              <w:t>（万元）</w:t>
            </w:r>
          </w:p>
        </w:tc>
        <w:tc>
          <w:tcPr>
            <w:tcW w:w="2113" w:type="dxa"/>
            <w:gridSpan w:val="2"/>
            <w:noWrap/>
            <w:vAlign w:val="center"/>
          </w:tcPr>
          <w:p>
            <w:pPr>
              <w:pStyle w:val="8"/>
              <w:spacing w:line="235" w:lineRule="exact"/>
              <w:rPr>
                <w:rFonts w:ascii="宋体" w:hAnsi="宋体" w:eastAsia="宋体" w:cs="宋体"/>
                <w:sz w:val="20"/>
                <w:lang w:eastAsia="zh-CN"/>
              </w:rPr>
            </w:pPr>
          </w:p>
        </w:tc>
        <w:tc>
          <w:tcPr>
            <w:tcW w:w="1269" w:type="dxa"/>
            <w:noWrap/>
            <w:vAlign w:val="center"/>
          </w:tcPr>
          <w:p>
            <w:pPr>
              <w:spacing w:before="20" w:line="208" w:lineRule="auto"/>
              <w:ind w:left="140"/>
              <w:rPr>
                <w:rFonts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ign w:val="center"/>
          </w:tcPr>
          <w:p>
            <w:pPr>
              <w:spacing w:before="20" w:line="208" w:lineRule="auto"/>
              <w:ind w:left="159"/>
              <w:rPr>
                <w:rFonts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ign w:val="center"/>
          </w:tcPr>
          <w:p>
            <w:pPr>
              <w:spacing w:before="20" w:line="208" w:lineRule="auto"/>
              <w:ind w:left="138"/>
              <w:rPr>
                <w:rFonts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ign w:val="center"/>
          </w:tcPr>
          <w:p>
            <w:pPr>
              <w:spacing w:before="20" w:line="208" w:lineRule="auto"/>
              <w:ind w:left="166"/>
              <w:rPr>
                <w:rFonts w:ascii="宋体" w:hAnsi="宋体" w:eastAsia="宋体" w:cs="宋体"/>
                <w:sz w:val="19"/>
                <w:szCs w:val="19"/>
              </w:rPr>
            </w:pPr>
            <w:r>
              <w:rPr>
                <w:rFonts w:hint="eastAsia" w:ascii="宋体" w:hAnsi="宋体" w:eastAsia="宋体" w:cs="宋体"/>
                <w:spacing w:val="4"/>
                <w:sz w:val="19"/>
                <w:szCs w:val="19"/>
              </w:rPr>
              <w:t>分值</w:t>
            </w:r>
          </w:p>
        </w:tc>
        <w:tc>
          <w:tcPr>
            <w:tcW w:w="873" w:type="dxa"/>
            <w:noWrap/>
            <w:vAlign w:val="center"/>
          </w:tcPr>
          <w:p>
            <w:pPr>
              <w:spacing w:before="20" w:line="208" w:lineRule="auto"/>
              <w:ind w:left="147"/>
              <w:rPr>
                <w:rFonts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ign w:val="center"/>
          </w:tcPr>
          <w:p>
            <w:pPr>
              <w:spacing w:before="20" w:line="208" w:lineRule="auto"/>
              <w:ind w:left="366"/>
              <w:rPr>
                <w:rFonts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ign w:val="center"/>
          </w:tcPr>
          <w:p>
            <w:pPr>
              <w:pStyle w:val="8"/>
              <w:rPr>
                <w:rFonts w:ascii="宋体" w:hAnsi="宋体" w:eastAsia="宋体" w:cs="宋体"/>
              </w:rPr>
            </w:pPr>
          </w:p>
        </w:tc>
        <w:tc>
          <w:tcPr>
            <w:tcW w:w="2113" w:type="dxa"/>
            <w:gridSpan w:val="2"/>
            <w:noWrap/>
            <w:vAlign w:val="center"/>
          </w:tcPr>
          <w:p>
            <w:pPr>
              <w:spacing w:before="20" w:line="208" w:lineRule="auto"/>
              <w:ind w:left="463"/>
              <w:rPr>
                <w:rFonts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ign w:val="center"/>
          </w:tcPr>
          <w:p>
            <w:pPr>
              <w:pStyle w:val="8"/>
              <w:spacing w:line="235" w:lineRule="exact"/>
              <w:jc w:val="center"/>
              <w:rPr>
                <w:rFonts w:ascii="宋体" w:hAnsi="宋体" w:eastAsia="宋体" w:cs="宋体"/>
                <w:sz w:val="20"/>
                <w:lang w:eastAsia="zh-CN"/>
              </w:rPr>
            </w:pPr>
            <w:r>
              <w:rPr>
                <w:rFonts w:hint="eastAsia" w:ascii="宋体" w:hAnsi="宋体" w:eastAsia="宋体" w:cs="宋体"/>
                <w:sz w:val="20"/>
                <w:lang w:eastAsia="zh-CN"/>
              </w:rPr>
              <w:t>854.03</w:t>
            </w:r>
          </w:p>
        </w:tc>
        <w:tc>
          <w:tcPr>
            <w:tcW w:w="1310" w:type="dxa"/>
            <w:noWrap/>
            <w:vAlign w:val="center"/>
          </w:tcPr>
          <w:p>
            <w:pPr>
              <w:pStyle w:val="8"/>
              <w:spacing w:line="235" w:lineRule="exact"/>
              <w:jc w:val="center"/>
              <w:rPr>
                <w:rFonts w:ascii="宋体" w:hAnsi="宋体" w:eastAsia="宋体" w:cs="宋体"/>
                <w:sz w:val="20"/>
                <w:lang w:eastAsia="zh-CN"/>
              </w:rPr>
            </w:pPr>
            <w:r>
              <w:rPr>
                <w:rFonts w:hint="eastAsia" w:ascii="宋体" w:hAnsi="宋体" w:eastAsia="宋体" w:cs="宋体"/>
                <w:sz w:val="20"/>
                <w:lang w:eastAsia="zh-CN"/>
              </w:rPr>
              <w:t>690.11</w:t>
            </w:r>
          </w:p>
        </w:tc>
        <w:tc>
          <w:tcPr>
            <w:tcW w:w="1268" w:type="dxa"/>
            <w:noWrap/>
            <w:vAlign w:val="center"/>
          </w:tcPr>
          <w:p>
            <w:pPr>
              <w:pStyle w:val="8"/>
              <w:spacing w:line="235" w:lineRule="exact"/>
              <w:jc w:val="center"/>
              <w:rPr>
                <w:rFonts w:ascii="宋体" w:hAnsi="宋体" w:eastAsia="宋体" w:cs="宋体"/>
                <w:sz w:val="20"/>
                <w:lang w:eastAsia="zh-CN"/>
              </w:rPr>
            </w:pPr>
            <w:r>
              <w:rPr>
                <w:rFonts w:hint="eastAsia" w:ascii="宋体" w:hAnsi="宋体" w:eastAsia="宋体" w:cs="宋体"/>
                <w:sz w:val="20"/>
                <w:lang w:eastAsia="zh-CN"/>
              </w:rPr>
              <w:t>690.11</w:t>
            </w:r>
          </w:p>
        </w:tc>
        <w:tc>
          <w:tcPr>
            <w:tcW w:w="716" w:type="dxa"/>
            <w:noWrap/>
            <w:vAlign w:val="center"/>
          </w:tcPr>
          <w:p>
            <w:pPr>
              <w:pStyle w:val="8"/>
              <w:spacing w:before="54" w:line="194" w:lineRule="auto"/>
              <w:jc w:val="center"/>
              <w:rPr>
                <w:rFonts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ign w:val="center"/>
          </w:tcPr>
          <w:p>
            <w:pPr>
              <w:pStyle w:val="8"/>
              <w:spacing w:line="235" w:lineRule="exact"/>
              <w:jc w:val="center"/>
              <w:rPr>
                <w:rFonts w:ascii="宋体" w:hAnsi="宋体" w:eastAsia="宋体" w:cs="宋体"/>
                <w:sz w:val="20"/>
                <w:lang w:eastAsia="zh-CN"/>
              </w:rPr>
            </w:pPr>
            <w:r>
              <w:rPr>
                <w:rFonts w:hint="eastAsia" w:ascii="宋体" w:hAnsi="宋体" w:eastAsia="宋体" w:cs="宋体"/>
                <w:sz w:val="20"/>
                <w:lang w:eastAsia="zh-CN"/>
              </w:rPr>
              <w:t>100%</w:t>
            </w:r>
          </w:p>
        </w:tc>
        <w:tc>
          <w:tcPr>
            <w:tcW w:w="1450" w:type="dxa"/>
            <w:noWrap/>
            <w:vAlign w:val="center"/>
          </w:tcPr>
          <w:p>
            <w:pPr>
              <w:pStyle w:val="8"/>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ign w:val="center"/>
          </w:tcPr>
          <w:p>
            <w:pPr>
              <w:pStyle w:val="8"/>
              <w:rPr>
                <w:rFonts w:ascii="宋体" w:hAnsi="宋体" w:eastAsia="宋体" w:cs="宋体"/>
              </w:rPr>
            </w:pPr>
          </w:p>
        </w:tc>
        <w:tc>
          <w:tcPr>
            <w:tcW w:w="4692" w:type="dxa"/>
            <w:gridSpan w:val="4"/>
            <w:noWrap/>
            <w:vAlign w:val="center"/>
          </w:tcPr>
          <w:p>
            <w:pPr>
              <w:spacing w:before="22" w:line="206" w:lineRule="auto"/>
              <w:ind w:left="111"/>
              <w:rPr>
                <w:rFonts w:ascii="宋体" w:hAnsi="宋体" w:eastAsia="宋体" w:cs="宋体"/>
                <w:sz w:val="19"/>
                <w:szCs w:val="19"/>
              </w:rPr>
            </w:pPr>
            <w:r>
              <w:rPr>
                <w:rFonts w:hint="eastAsia" w:ascii="宋体" w:hAnsi="宋体" w:eastAsia="宋体" w:cs="宋体"/>
                <w:spacing w:val="2"/>
                <w:sz w:val="19"/>
                <w:szCs w:val="19"/>
              </w:rPr>
              <w:t>按收入性质分：690.11</w:t>
            </w:r>
          </w:p>
        </w:tc>
        <w:tc>
          <w:tcPr>
            <w:tcW w:w="4307" w:type="dxa"/>
            <w:gridSpan w:val="4"/>
            <w:noWrap/>
            <w:vAlign w:val="center"/>
          </w:tcPr>
          <w:p>
            <w:pPr>
              <w:spacing w:before="22" w:line="206" w:lineRule="auto"/>
              <w:ind w:left="116"/>
              <w:rPr>
                <w:rFonts w:ascii="宋体" w:hAnsi="宋体" w:eastAsia="宋体" w:cs="宋体"/>
                <w:sz w:val="19"/>
                <w:szCs w:val="19"/>
              </w:rPr>
            </w:pPr>
            <w:r>
              <w:rPr>
                <w:rFonts w:hint="eastAsia" w:ascii="宋体" w:hAnsi="宋体" w:eastAsia="宋体" w:cs="宋体"/>
                <w:spacing w:val="2"/>
                <w:sz w:val="19"/>
                <w:szCs w:val="19"/>
              </w:rPr>
              <w:t>按支出性质分：690.11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ign w:val="center"/>
          </w:tcPr>
          <w:p>
            <w:pPr>
              <w:pStyle w:val="8"/>
              <w:rPr>
                <w:rFonts w:ascii="宋体" w:hAnsi="宋体" w:eastAsia="宋体" w:cs="宋体"/>
              </w:rPr>
            </w:pPr>
          </w:p>
        </w:tc>
        <w:tc>
          <w:tcPr>
            <w:tcW w:w="4692" w:type="dxa"/>
            <w:gridSpan w:val="4"/>
            <w:noWrap/>
            <w:vAlign w:val="center"/>
          </w:tcPr>
          <w:p>
            <w:pPr>
              <w:spacing w:before="21" w:line="207" w:lineRule="auto"/>
              <w:ind w:left="312"/>
              <w:rPr>
                <w:rFonts w:ascii="宋体" w:hAnsi="宋体" w:eastAsia="宋体" w:cs="宋体"/>
                <w:sz w:val="19"/>
                <w:szCs w:val="19"/>
              </w:rPr>
            </w:pPr>
            <w:r>
              <w:rPr>
                <w:rFonts w:hint="eastAsia" w:ascii="宋体" w:hAnsi="宋体" w:eastAsia="宋体" w:cs="宋体"/>
                <w:spacing w:val="1"/>
                <w:sz w:val="19"/>
                <w:szCs w:val="19"/>
              </w:rPr>
              <w:t>其中：一般公共预算：689.11</w:t>
            </w:r>
          </w:p>
        </w:tc>
        <w:tc>
          <w:tcPr>
            <w:tcW w:w="4307" w:type="dxa"/>
            <w:gridSpan w:val="4"/>
            <w:noWrap/>
            <w:vAlign w:val="center"/>
          </w:tcPr>
          <w:p>
            <w:pPr>
              <w:spacing w:before="21" w:line="207" w:lineRule="auto"/>
              <w:ind w:left="115"/>
              <w:rPr>
                <w:rFonts w:ascii="宋体" w:hAnsi="宋体" w:eastAsia="宋体" w:cs="宋体"/>
                <w:sz w:val="19"/>
                <w:szCs w:val="19"/>
              </w:rPr>
            </w:pPr>
            <w:r>
              <w:rPr>
                <w:rFonts w:hint="eastAsia" w:ascii="宋体" w:hAnsi="宋体" w:eastAsia="宋体" w:cs="宋体"/>
                <w:spacing w:val="2"/>
                <w:sz w:val="19"/>
                <w:szCs w:val="19"/>
              </w:rPr>
              <w:t>其中：基本支出：332.59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ign w:val="center"/>
          </w:tcPr>
          <w:p>
            <w:pPr>
              <w:pStyle w:val="8"/>
              <w:rPr>
                <w:rFonts w:ascii="宋体" w:hAnsi="宋体" w:eastAsia="宋体" w:cs="宋体"/>
              </w:rPr>
            </w:pPr>
          </w:p>
        </w:tc>
        <w:tc>
          <w:tcPr>
            <w:tcW w:w="4692" w:type="dxa"/>
            <w:gridSpan w:val="4"/>
            <w:noWrap/>
            <w:vAlign w:val="center"/>
          </w:tcPr>
          <w:p>
            <w:pPr>
              <w:spacing w:before="21" w:line="207" w:lineRule="auto"/>
              <w:ind w:left="916"/>
              <w:rPr>
                <w:rFonts w:ascii="宋体" w:hAnsi="宋体" w:eastAsia="宋体" w:cs="宋体"/>
                <w:sz w:val="19"/>
                <w:szCs w:val="19"/>
              </w:rPr>
            </w:pPr>
            <w:r>
              <w:rPr>
                <w:rFonts w:hint="eastAsia" w:ascii="宋体" w:hAnsi="宋体" w:eastAsia="宋体" w:cs="宋体"/>
                <w:spacing w:val="2"/>
                <w:sz w:val="19"/>
                <w:szCs w:val="19"/>
              </w:rPr>
              <w:t>政府性基金拨款：0</w:t>
            </w:r>
          </w:p>
        </w:tc>
        <w:tc>
          <w:tcPr>
            <w:tcW w:w="4307" w:type="dxa"/>
            <w:gridSpan w:val="4"/>
            <w:noWrap/>
            <w:vAlign w:val="center"/>
          </w:tcPr>
          <w:p>
            <w:pPr>
              <w:spacing w:before="21" w:line="207" w:lineRule="auto"/>
              <w:ind w:left="717"/>
              <w:rPr>
                <w:rFonts w:ascii="宋体" w:hAnsi="宋体" w:eastAsia="宋体" w:cs="宋体"/>
                <w:sz w:val="19"/>
                <w:szCs w:val="19"/>
              </w:rPr>
            </w:pPr>
            <w:r>
              <w:rPr>
                <w:rFonts w:hint="eastAsia" w:ascii="宋体" w:hAnsi="宋体" w:eastAsia="宋体" w:cs="宋体"/>
                <w:spacing w:val="2"/>
                <w:sz w:val="19"/>
                <w:szCs w:val="19"/>
              </w:rPr>
              <w:t>项目支出：357.52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ign w:val="center"/>
          </w:tcPr>
          <w:p>
            <w:pPr>
              <w:pStyle w:val="8"/>
              <w:rPr>
                <w:rFonts w:ascii="宋体" w:hAnsi="宋体" w:eastAsia="宋体" w:cs="宋体"/>
              </w:rPr>
            </w:pPr>
          </w:p>
        </w:tc>
        <w:tc>
          <w:tcPr>
            <w:tcW w:w="4692" w:type="dxa"/>
            <w:gridSpan w:val="4"/>
            <w:noWrap/>
            <w:vAlign w:val="center"/>
          </w:tcPr>
          <w:p>
            <w:pPr>
              <w:spacing w:before="21" w:line="207" w:lineRule="auto"/>
              <w:ind w:left="916"/>
              <w:rPr>
                <w:rFonts w:ascii="宋体" w:hAnsi="宋体" w:eastAsia="宋体" w:cs="宋体"/>
                <w:spacing w:val="2"/>
                <w:sz w:val="19"/>
                <w:szCs w:val="19"/>
              </w:rPr>
            </w:pPr>
            <w:r>
              <w:rPr>
                <w:rFonts w:hint="eastAsia" w:ascii="宋体" w:hAnsi="宋体" w:eastAsia="宋体" w:cs="宋体"/>
                <w:spacing w:val="2"/>
                <w:sz w:val="19"/>
                <w:szCs w:val="19"/>
              </w:rPr>
              <w:t>纳入专户管理的非税收入拨款：0</w:t>
            </w:r>
          </w:p>
        </w:tc>
        <w:tc>
          <w:tcPr>
            <w:tcW w:w="4307" w:type="dxa"/>
            <w:gridSpan w:val="4"/>
            <w:noWrap/>
            <w:vAlign w:val="center"/>
          </w:tcPr>
          <w:p>
            <w:pPr>
              <w:pStyle w:val="8"/>
              <w:spacing w:line="235" w:lineRule="exact"/>
              <w:rPr>
                <w:rFonts w:ascii="宋体" w:hAnsi="宋体" w:eastAsia="宋体" w:cs="宋体"/>
                <w:sz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ign w:val="center"/>
          </w:tcPr>
          <w:p>
            <w:pPr>
              <w:pStyle w:val="8"/>
              <w:rPr>
                <w:rFonts w:ascii="宋体" w:hAnsi="宋体" w:eastAsia="宋体" w:cs="宋体"/>
                <w:lang w:eastAsia="zh-CN"/>
              </w:rPr>
            </w:pPr>
          </w:p>
        </w:tc>
        <w:tc>
          <w:tcPr>
            <w:tcW w:w="4692" w:type="dxa"/>
            <w:gridSpan w:val="4"/>
            <w:noWrap/>
            <w:vAlign w:val="center"/>
          </w:tcPr>
          <w:p>
            <w:pPr>
              <w:spacing w:before="21" w:line="207" w:lineRule="auto"/>
              <w:ind w:left="916"/>
              <w:rPr>
                <w:rFonts w:ascii="宋体" w:hAnsi="宋体" w:eastAsia="宋体" w:cs="宋体"/>
                <w:spacing w:val="2"/>
                <w:sz w:val="19"/>
                <w:szCs w:val="19"/>
              </w:rPr>
            </w:pPr>
            <w:r>
              <w:rPr>
                <w:rFonts w:hint="eastAsia" w:ascii="宋体" w:hAnsi="宋体" w:eastAsia="宋体" w:cs="宋体"/>
                <w:spacing w:val="2"/>
                <w:sz w:val="19"/>
                <w:szCs w:val="19"/>
              </w:rPr>
              <w:t>其他资金：1.00</w:t>
            </w:r>
          </w:p>
        </w:tc>
        <w:tc>
          <w:tcPr>
            <w:tcW w:w="4307" w:type="dxa"/>
            <w:gridSpan w:val="4"/>
            <w:noWrap/>
            <w:vAlign w:val="center"/>
          </w:tcPr>
          <w:p>
            <w:pPr>
              <w:pStyle w:val="8"/>
              <w:spacing w:line="235" w:lineRule="exact"/>
              <w:rPr>
                <w:rFonts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ign w:val="center"/>
          </w:tcPr>
          <w:p>
            <w:pPr>
              <w:spacing w:before="62" w:line="230" w:lineRule="auto"/>
              <w:ind w:left="1"/>
              <w:jc w:val="center"/>
              <w:rPr>
                <w:rFonts w:ascii="宋体" w:hAnsi="宋体" w:eastAsia="宋体" w:cs="宋体"/>
                <w:spacing w:val="7"/>
                <w:sz w:val="19"/>
                <w:szCs w:val="19"/>
              </w:rPr>
            </w:pPr>
            <w:r>
              <w:rPr>
                <w:rFonts w:hint="eastAsia" w:ascii="宋体" w:hAnsi="宋体" w:eastAsia="宋体" w:cs="宋体"/>
                <w:spacing w:val="7"/>
                <w:sz w:val="19"/>
                <w:szCs w:val="19"/>
              </w:rPr>
              <w:t>年度总</w:t>
            </w:r>
          </w:p>
          <w:p>
            <w:pPr>
              <w:spacing w:before="62" w:line="230" w:lineRule="auto"/>
              <w:ind w:left="1"/>
              <w:jc w:val="center"/>
              <w:rPr>
                <w:rFonts w:ascii="宋体" w:hAnsi="宋体" w:eastAsia="宋体" w:cs="宋体"/>
                <w:sz w:val="19"/>
                <w:szCs w:val="19"/>
              </w:rPr>
            </w:pPr>
            <w:r>
              <w:rPr>
                <w:rFonts w:hint="eastAsia" w:ascii="宋体" w:hAnsi="宋体" w:eastAsia="宋体" w:cs="宋体"/>
                <w:spacing w:val="7"/>
                <w:sz w:val="19"/>
                <w:szCs w:val="19"/>
              </w:rPr>
              <w:t>体</w:t>
            </w:r>
            <w:r>
              <w:rPr>
                <w:rFonts w:hint="eastAsia" w:ascii="宋体" w:hAnsi="宋体" w:eastAsia="宋体" w:cs="宋体"/>
                <w:spacing w:val="-7"/>
                <w:sz w:val="19"/>
                <w:szCs w:val="19"/>
              </w:rPr>
              <w:t>目标</w:t>
            </w:r>
          </w:p>
        </w:tc>
        <w:tc>
          <w:tcPr>
            <w:tcW w:w="4692" w:type="dxa"/>
            <w:gridSpan w:val="4"/>
            <w:noWrap/>
            <w:vAlign w:val="center"/>
          </w:tcPr>
          <w:p>
            <w:pPr>
              <w:spacing w:before="20" w:line="208" w:lineRule="auto"/>
              <w:ind w:left="1959"/>
              <w:rPr>
                <w:rFonts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ign w:val="center"/>
          </w:tcPr>
          <w:p>
            <w:pPr>
              <w:spacing w:before="20" w:line="208" w:lineRule="auto"/>
              <w:ind w:left="1567"/>
              <w:rPr>
                <w:rFonts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ign w:val="center"/>
          </w:tcPr>
          <w:p>
            <w:pPr>
              <w:pStyle w:val="8"/>
              <w:rPr>
                <w:rFonts w:ascii="宋体" w:hAnsi="宋体" w:eastAsia="宋体" w:cs="宋体"/>
              </w:rPr>
            </w:pPr>
          </w:p>
        </w:tc>
        <w:tc>
          <w:tcPr>
            <w:tcW w:w="4692" w:type="dxa"/>
            <w:gridSpan w:val="4"/>
            <w:noWrap/>
            <w:vAlign w:val="center"/>
          </w:tcPr>
          <w:p>
            <w:pPr>
              <w:pStyle w:val="8"/>
              <w:jc w:val="left"/>
              <w:rPr>
                <w:rFonts w:ascii="宋体" w:hAnsi="宋体" w:eastAsia="宋体" w:cs="宋体"/>
                <w:lang w:eastAsia="zh-CN"/>
              </w:rPr>
            </w:pPr>
            <w:r>
              <w:rPr>
                <w:rFonts w:hint="eastAsia"/>
                <w:color w:val="000000" w:themeColor="text1"/>
                <w:sz w:val="20"/>
                <w:lang w:eastAsia="zh-CN"/>
              </w:rPr>
              <w:t>一、依法履行辖区自然资源资产所有者职责和国土空间用途管制职责；二、负责辖区自然资源调查监测评价；三、参与辖区自然资源统一确权登记工作；四、负责辖区自然资源资产有偿使用工作；五、负责辖区自然资源的合理开发利用；六、协助建立国土空间规划体系并监督实施；七、建立健全国土空间用途管制制度； 八、配合制定全区国土空间规划；九、负责统筹全区国土空间生态修复；十、负责组织实施最严格的耕地保护制度；十一、负责管理地质勘查行业和全区地质工作，依法管理水文地质、工程地质、环境地质等地质工作；十二、负责地质灾害预防和治理；十三、负责矿产资源管理工作；十四、负责测绘地理信息管理工作；十五、协助辖区国土空间规划实施管理；十六、按权限查处自然资源领域及测绘领域违法案件。</w:t>
            </w:r>
          </w:p>
        </w:tc>
        <w:tc>
          <w:tcPr>
            <w:tcW w:w="4307" w:type="dxa"/>
            <w:gridSpan w:val="4"/>
            <w:noWrap/>
            <w:vAlign w:val="center"/>
          </w:tcPr>
          <w:p>
            <w:pPr>
              <w:pStyle w:val="8"/>
              <w:jc w:val="left"/>
              <w:rPr>
                <w:rFonts w:ascii="宋体" w:hAnsi="宋体" w:eastAsia="宋体" w:cs="宋体"/>
                <w:lang w:eastAsia="zh-CN"/>
              </w:rPr>
            </w:pPr>
            <w:r>
              <w:rPr>
                <w:rFonts w:hint="eastAsia" w:ascii="宋体" w:hAnsi="宋体" w:eastAsia="宋体" w:cs="宋体"/>
                <w:color w:val="000000" w:themeColor="text1"/>
                <w:sz w:val="20"/>
                <w:lang w:eastAsia="zh-CN"/>
              </w:rPr>
              <w:t>一、</w:t>
            </w:r>
            <w:r>
              <w:rPr>
                <w:rFonts w:hint="eastAsia" w:asciiTheme="minorEastAsia" w:hAnsiTheme="minorEastAsia" w:eastAsiaTheme="minorEastAsia"/>
                <w:color w:val="000000" w:themeColor="text1"/>
                <w:sz w:val="20"/>
                <w:lang w:eastAsia="zh-CN"/>
              </w:rPr>
              <w:t>代发、办理集体土地征收公告79起，完成九个项目的用地报批，报批总用地面积31.756公顷；二、参与既有住宅加装电梯联合审批项目180余台，核发了八个项目建设工程规划许可证；三、进行各类土地确权100余宗，发放农村宅基地不动产权证975本，各类档案查询1000余次，开具档案证明300余次；四、完成了上级下发的102个图斑填报工作，回复完成信访举报20余次、诉讼案件的应诉15宗；五、巡田任务完成率达100%，我区“非农化”“非粮化”专项整治问题图斑共15个耕地面积40.03亩，全部整改完成；六、审批办理10宗划拨决定书，面积10.0258公顷，办理项目规划用地许可证16本，面积20.5519公顷；七、我区未发生一起因地质灾害造成的人员伤亡事故；八、完成了国家测绘统计网络直报工作，组织了“全国测绘法宣传日”、“全国生态日宣传”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textDirection w:val="tbRlV"/>
          </w:tcPr>
          <w:p>
            <w:pPr>
              <w:pStyle w:val="8"/>
              <w:spacing w:line="364" w:lineRule="auto"/>
              <w:rPr>
                <w:rFonts w:ascii="宋体" w:hAnsi="宋体" w:eastAsia="宋体" w:cs="宋体"/>
                <w:lang w:eastAsia="zh-CN"/>
              </w:rPr>
            </w:pPr>
          </w:p>
          <w:p>
            <w:pPr>
              <w:spacing w:before="64" w:line="216" w:lineRule="auto"/>
              <w:ind w:left="3168"/>
              <w:rPr>
                <w:rFonts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tcPr>
          <w:p>
            <w:pPr>
              <w:spacing w:before="141" w:line="226" w:lineRule="auto"/>
              <w:ind w:left="156"/>
              <w:rPr>
                <w:rFonts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tcPr>
          <w:p>
            <w:pPr>
              <w:spacing w:before="141" w:line="226" w:lineRule="auto"/>
              <w:ind w:left="132"/>
              <w:rPr>
                <w:rFonts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tcPr>
          <w:p>
            <w:pPr>
              <w:spacing w:before="141" w:line="226" w:lineRule="auto"/>
              <w:ind w:left="253"/>
              <w:rPr>
                <w:rFonts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tcPr>
          <w:p>
            <w:pPr>
              <w:spacing w:before="141" w:line="226" w:lineRule="auto"/>
              <w:ind w:left="114"/>
              <w:rPr>
                <w:rFonts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tcPr>
          <w:p>
            <w:pPr>
              <w:spacing w:before="141" w:line="226" w:lineRule="auto"/>
              <w:ind w:left="125"/>
              <w:rPr>
                <w:rFonts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tcPr>
          <w:p>
            <w:pPr>
              <w:spacing w:before="141" w:line="227" w:lineRule="auto"/>
              <w:ind w:left="166"/>
              <w:rPr>
                <w:rFonts w:ascii="宋体" w:hAnsi="宋体" w:eastAsia="宋体" w:cs="宋体"/>
                <w:sz w:val="19"/>
                <w:szCs w:val="19"/>
              </w:rPr>
            </w:pPr>
            <w:r>
              <w:rPr>
                <w:rFonts w:hint="eastAsia" w:ascii="宋体" w:hAnsi="宋体" w:eastAsia="宋体" w:cs="宋体"/>
                <w:spacing w:val="4"/>
                <w:sz w:val="19"/>
                <w:szCs w:val="19"/>
              </w:rPr>
              <w:t>分值</w:t>
            </w:r>
          </w:p>
        </w:tc>
        <w:tc>
          <w:tcPr>
            <w:tcW w:w="873" w:type="dxa"/>
            <w:noWrap/>
          </w:tcPr>
          <w:p>
            <w:pPr>
              <w:spacing w:before="174" w:line="218" w:lineRule="auto"/>
              <w:ind w:left="150"/>
              <w:rPr>
                <w:rFonts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tcPr>
          <w:p>
            <w:pPr>
              <w:spacing w:before="21" w:line="220" w:lineRule="auto"/>
              <w:ind w:left="111" w:right="109" w:firstLine="1"/>
              <w:jc w:val="center"/>
              <w:rPr>
                <w:rFonts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pPr>
              <w:pStyle w:val="8"/>
              <w:rPr>
                <w:rFonts w:ascii="宋体" w:hAnsi="宋体" w:eastAsia="宋体" w:cs="宋体"/>
                <w:lang w:eastAsia="zh-CN"/>
              </w:rPr>
            </w:pPr>
          </w:p>
        </w:tc>
        <w:tc>
          <w:tcPr>
            <w:tcW w:w="1079" w:type="dxa"/>
            <w:vMerge w:val="restart"/>
            <w:tcBorders>
              <w:bottom w:val="nil"/>
            </w:tcBorders>
            <w:noWrap/>
          </w:tcPr>
          <w:p>
            <w:pPr>
              <w:pStyle w:val="8"/>
              <w:spacing w:line="272" w:lineRule="auto"/>
              <w:rPr>
                <w:rFonts w:ascii="宋体" w:hAnsi="宋体" w:eastAsia="宋体" w:cs="宋体"/>
                <w:lang w:eastAsia="zh-CN"/>
              </w:rPr>
            </w:pPr>
          </w:p>
          <w:p>
            <w:pPr>
              <w:pStyle w:val="8"/>
              <w:spacing w:line="272" w:lineRule="auto"/>
              <w:rPr>
                <w:rFonts w:ascii="宋体" w:hAnsi="宋体" w:eastAsia="宋体" w:cs="宋体"/>
                <w:lang w:eastAsia="zh-CN"/>
              </w:rPr>
            </w:pPr>
          </w:p>
          <w:p>
            <w:pPr>
              <w:pStyle w:val="8"/>
              <w:spacing w:line="272" w:lineRule="auto"/>
              <w:rPr>
                <w:rFonts w:ascii="宋体" w:hAnsi="宋体" w:eastAsia="宋体" w:cs="宋体"/>
                <w:lang w:eastAsia="zh-CN"/>
              </w:rPr>
            </w:pPr>
          </w:p>
          <w:p>
            <w:pPr>
              <w:pStyle w:val="8"/>
              <w:spacing w:line="273" w:lineRule="auto"/>
              <w:rPr>
                <w:rFonts w:ascii="宋体" w:hAnsi="宋体" w:eastAsia="宋体" w:cs="宋体"/>
                <w:lang w:eastAsia="zh-CN"/>
              </w:rPr>
            </w:pPr>
          </w:p>
          <w:p>
            <w:pPr>
              <w:spacing w:before="62" w:line="450" w:lineRule="exact"/>
              <w:ind w:left="144"/>
              <w:rPr>
                <w:rFonts w:ascii="宋体" w:hAnsi="宋体" w:eastAsia="宋体" w:cs="宋体"/>
                <w:sz w:val="19"/>
                <w:szCs w:val="19"/>
              </w:rPr>
            </w:pPr>
            <w:r>
              <w:rPr>
                <w:rFonts w:hint="eastAsia" w:ascii="宋体" w:hAnsi="宋体" w:eastAsia="宋体" w:cs="宋体"/>
                <w:spacing w:val="7"/>
                <w:position w:val="19"/>
                <w:sz w:val="19"/>
                <w:szCs w:val="19"/>
              </w:rPr>
              <w:t>产出指标</w:t>
            </w:r>
          </w:p>
          <w:p>
            <w:pPr>
              <w:spacing w:line="261" w:lineRule="exact"/>
              <w:ind w:left="252"/>
              <w:rPr>
                <w:rFonts w:ascii="宋体" w:hAnsi="宋体" w:eastAsia="宋体" w:cs="宋体"/>
                <w:sz w:val="19"/>
                <w:szCs w:val="19"/>
              </w:rPr>
            </w:pPr>
            <w:r>
              <w:rPr>
                <w:rFonts w:hint="eastAsia" w:ascii="宋体" w:hAnsi="宋体" w:eastAsia="宋体" w:cs="宋体"/>
                <w:spacing w:val="1"/>
                <w:position w:val="2"/>
                <w:sz w:val="19"/>
                <w:szCs w:val="19"/>
              </w:rPr>
              <w:t>(50分)</w:t>
            </w:r>
          </w:p>
        </w:tc>
        <w:tc>
          <w:tcPr>
            <w:tcW w:w="1034" w:type="dxa"/>
            <w:tcBorders>
              <w:bottom w:val="nil"/>
            </w:tcBorders>
            <w:noWrap/>
          </w:tcPr>
          <w:p>
            <w:pPr>
              <w:spacing w:before="274" w:line="226" w:lineRule="auto"/>
              <w:ind w:left="126"/>
              <w:rPr>
                <w:rFonts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ign w:val="center"/>
          </w:tcPr>
          <w:p>
            <w:pPr>
              <w:spacing w:line="230" w:lineRule="exact"/>
              <w:jc w:val="center"/>
              <w:rPr>
                <w:rFonts w:ascii="Arial"/>
                <w:color w:val="000000" w:themeColor="text1"/>
                <w:sz w:val="20"/>
              </w:rPr>
            </w:pPr>
            <w:r>
              <w:rPr>
                <w:rFonts w:hint="eastAsia" w:ascii="Arial"/>
                <w:color w:val="000000" w:themeColor="text1"/>
                <w:sz w:val="20"/>
              </w:rPr>
              <w:t>巡田任务完成率</w:t>
            </w:r>
          </w:p>
        </w:tc>
        <w:tc>
          <w:tcPr>
            <w:tcW w:w="1310" w:type="dxa"/>
            <w:noWrap/>
            <w:vAlign w:val="center"/>
          </w:tcPr>
          <w:p>
            <w:pPr>
              <w:spacing w:line="230" w:lineRule="exact"/>
              <w:jc w:val="center"/>
              <w:rPr>
                <w:rFonts w:ascii="Arial"/>
                <w:color w:val="000000" w:themeColor="text1"/>
                <w:sz w:val="20"/>
              </w:rPr>
            </w:pPr>
            <w:r>
              <w:rPr>
                <w:rFonts w:hint="eastAsia" w:ascii="Arial"/>
                <w:color w:val="000000" w:themeColor="text1"/>
                <w:sz w:val="20"/>
              </w:rPr>
              <w:t>100%</w:t>
            </w:r>
          </w:p>
        </w:tc>
        <w:tc>
          <w:tcPr>
            <w:tcW w:w="1268" w:type="dxa"/>
            <w:noWrap/>
            <w:vAlign w:val="center"/>
          </w:tcPr>
          <w:p>
            <w:pPr>
              <w:spacing w:line="230" w:lineRule="exact"/>
              <w:jc w:val="center"/>
              <w:rPr>
                <w:rFonts w:ascii="Arial"/>
                <w:color w:val="000000" w:themeColor="text1"/>
                <w:sz w:val="20"/>
              </w:rPr>
            </w:pPr>
            <w:r>
              <w:rPr>
                <w:rFonts w:hint="eastAsia" w:ascii="Arial"/>
                <w:color w:val="000000" w:themeColor="text1"/>
                <w:sz w:val="20"/>
              </w:rPr>
              <w:t>100%</w:t>
            </w:r>
          </w:p>
        </w:tc>
        <w:tc>
          <w:tcPr>
            <w:tcW w:w="716" w:type="dxa"/>
            <w:noWrap/>
            <w:vAlign w:val="center"/>
          </w:tcPr>
          <w:p>
            <w:pPr>
              <w:spacing w:line="230" w:lineRule="exact"/>
              <w:jc w:val="center"/>
              <w:rPr>
                <w:rFonts w:ascii="Arial"/>
                <w:color w:val="000000" w:themeColor="text1"/>
                <w:sz w:val="20"/>
              </w:rPr>
            </w:pPr>
            <w:r>
              <w:rPr>
                <w:rFonts w:hint="eastAsia" w:ascii="Arial"/>
                <w:color w:val="000000" w:themeColor="text1"/>
                <w:sz w:val="20"/>
              </w:rPr>
              <w:t>12.5</w:t>
            </w:r>
          </w:p>
        </w:tc>
        <w:tc>
          <w:tcPr>
            <w:tcW w:w="873" w:type="dxa"/>
            <w:noWrap/>
            <w:vAlign w:val="center"/>
          </w:tcPr>
          <w:p>
            <w:pPr>
              <w:spacing w:line="230" w:lineRule="exact"/>
              <w:jc w:val="center"/>
              <w:rPr>
                <w:rFonts w:ascii="Arial"/>
                <w:color w:val="000000" w:themeColor="text1"/>
                <w:sz w:val="20"/>
              </w:rPr>
            </w:pPr>
            <w:r>
              <w:rPr>
                <w:rFonts w:hint="eastAsia" w:ascii="Arial"/>
                <w:color w:val="000000" w:themeColor="text1"/>
                <w:sz w:val="20"/>
              </w:rPr>
              <w:t>12.5</w:t>
            </w:r>
          </w:p>
        </w:tc>
        <w:tc>
          <w:tcPr>
            <w:tcW w:w="1450" w:type="dxa"/>
            <w:noWrap/>
          </w:tcPr>
          <w:p>
            <w:pPr>
              <w:pStyle w:val="8"/>
              <w:spacing w:line="235" w:lineRule="exact"/>
              <w:jc w:val="center"/>
              <w:rPr>
                <w:rFonts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pPr>
              <w:pStyle w:val="8"/>
              <w:rPr>
                <w:rFonts w:ascii="宋体" w:hAnsi="宋体" w:eastAsia="宋体" w:cs="宋体"/>
              </w:rPr>
            </w:pPr>
          </w:p>
        </w:tc>
        <w:tc>
          <w:tcPr>
            <w:tcW w:w="1079" w:type="dxa"/>
            <w:vMerge w:val="continue"/>
            <w:tcBorders>
              <w:top w:val="nil"/>
              <w:bottom w:val="nil"/>
            </w:tcBorders>
            <w:noWrap/>
          </w:tcPr>
          <w:p>
            <w:pPr>
              <w:pStyle w:val="8"/>
              <w:rPr>
                <w:rFonts w:ascii="宋体" w:hAnsi="宋体" w:eastAsia="宋体" w:cs="宋体"/>
              </w:rPr>
            </w:pPr>
          </w:p>
        </w:tc>
        <w:tc>
          <w:tcPr>
            <w:tcW w:w="1034" w:type="dxa"/>
            <w:tcBorders>
              <w:bottom w:val="nil"/>
            </w:tcBorders>
            <w:noWrap/>
          </w:tcPr>
          <w:p>
            <w:pPr>
              <w:spacing w:before="273" w:line="226" w:lineRule="auto"/>
              <w:ind w:left="121"/>
              <w:rPr>
                <w:rFonts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ign w:val="center"/>
          </w:tcPr>
          <w:p>
            <w:pPr>
              <w:spacing w:line="240" w:lineRule="exact"/>
              <w:jc w:val="center"/>
              <w:rPr>
                <w:rFonts w:ascii="Arial"/>
                <w:color w:val="000000" w:themeColor="text1"/>
                <w:sz w:val="20"/>
              </w:rPr>
            </w:pPr>
            <w:r>
              <w:rPr>
                <w:rFonts w:hint="eastAsia" w:ascii="Arial"/>
                <w:color w:val="000000" w:themeColor="text1"/>
                <w:sz w:val="20"/>
              </w:rPr>
              <w:t>项目质量合格率</w:t>
            </w:r>
          </w:p>
        </w:tc>
        <w:tc>
          <w:tcPr>
            <w:tcW w:w="1310" w:type="dxa"/>
            <w:noWrap/>
            <w:vAlign w:val="center"/>
          </w:tcPr>
          <w:p>
            <w:pPr>
              <w:spacing w:line="240" w:lineRule="exact"/>
              <w:jc w:val="center"/>
              <w:rPr>
                <w:rFonts w:ascii="Arial"/>
                <w:color w:val="000000" w:themeColor="text1"/>
                <w:sz w:val="20"/>
              </w:rPr>
            </w:pPr>
            <w:r>
              <w:rPr>
                <w:rFonts w:hint="eastAsia" w:ascii="Arial"/>
                <w:color w:val="000000" w:themeColor="text1"/>
                <w:sz w:val="20"/>
              </w:rPr>
              <w:t>100%</w:t>
            </w:r>
          </w:p>
        </w:tc>
        <w:tc>
          <w:tcPr>
            <w:tcW w:w="1268" w:type="dxa"/>
            <w:noWrap/>
            <w:vAlign w:val="center"/>
          </w:tcPr>
          <w:p>
            <w:pPr>
              <w:spacing w:line="240" w:lineRule="exact"/>
              <w:jc w:val="center"/>
              <w:rPr>
                <w:rFonts w:ascii="Arial"/>
                <w:color w:val="000000" w:themeColor="text1"/>
                <w:sz w:val="20"/>
              </w:rPr>
            </w:pPr>
            <w:r>
              <w:rPr>
                <w:rFonts w:hint="eastAsia" w:ascii="Arial"/>
                <w:color w:val="000000" w:themeColor="text1"/>
                <w:sz w:val="20"/>
              </w:rPr>
              <w:t>100%</w:t>
            </w:r>
          </w:p>
        </w:tc>
        <w:tc>
          <w:tcPr>
            <w:tcW w:w="716" w:type="dxa"/>
            <w:noWrap/>
            <w:vAlign w:val="center"/>
          </w:tcPr>
          <w:p>
            <w:pPr>
              <w:spacing w:line="240" w:lineRule="exact"/>
              <w:jc w:val="center"/>
              <w:rPr>
                <w:rFonts w:ascii="Arial"/>
                <w:color w:val="000000" w:themeColor="text1"/>
                <w:sz w:val="20"/>
              </w:rPr>
            </w:pPr>
            <w:r>
              <w:rPr>
                <w:rFonts w:hint="eastAsia" w:ascii="Arial"/>
                <w:color w:val="000000" w:themeColor="text1"/>
                <w:sz w:val="20"/>
              </w:rPr>
              <w:t>12.5</w:t>
            </w:r>
          </w:p>
        </w:tc>
        <w:tc>
          <w:tcPr>
            <w:tcW w:w="873" w:type="dxa"/>
            <w:noWrap/>
            <w:vAlign w:val="center"/>
          </w:tcPr>
          <w:p>
            <w:pPr>
              <w:spacing w:line="240" w:lineRule="exact"/>
              <w:jc w:val="center"/>
              <w:rPr>
                <w:rFonts w:ascii="Arial"/>
                <w:color w:val="000000" w:themeColor="text1"/>
                <w:sz w:val="20"/>
              </w:rPr>
            </w:pPr>
            <w:r>
              <w:rPr>
                <w:rFonts w:hint="eastAsia" w:ascii="Arial"/>
                <w:color w:val="000000" w:themeColor="text1"/>
                <w:sz w:val="20"/>
              </w:rPr>
              <w:t>12.5</w:t>
            </w:r>
          </w:p>
        </w:tc>
        <w:tc>
          <w:tcPr>
            <w:tcW w:w="1450" w:type="dxa"/>
            <w:noWrap/>
          </w:tcPr>
          <w:p>
            <w:pPr>
              <w:pStyle w:val="8"/>
              <w:spacing w:line="235" w:lineRule="exact"/>
              <w:jc w:val="center"/>
              <w:rPr>
                <w:rFonts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pPr>
              <w:pStyle w:val="8"/>
              <w:rPr>
                <w:rFonts w:ascii="宋体" w:hAnsi="宋体" w:eastAsia="宋体" w:cs="宋体"/>
              </w:rPr>
            </w:pPr>
          </w:p>
        </w:tc>
        <w:tc>
          <w:tcPr>
            <w:tcW w:w="1079" w:type="dxa"/>
            <w:vMerge w:val="continue"/>
            <w:tcBorders>
              <w:top w:val="nil"/>
              <w:bottom w:val="nil"/>
            </w:tcBorders>
            <w:noWrap/>
          </w:tcPr>
          <w:p>
            <w:pPr>
              <w:pStyle w:val="8"/>
              <w:rPr>
                <w:rFonts w:ascii="宋体" w:hAnsi="宋体" w:eastAsia="宋体" w:cs="宋体"/>
              </w:rPr>
            </w:pPr>
          </w:p>
        </w:tc>
        <w:tc>
          <w:tcPr>
            <w:tcW w:w="1034" w:type="dxa"/>
            <w:tcBorders>
              <w:bottom w:val="nil"/>
            </w:tcBorders>
            <w:noWrap/>
          </w:tcPr>
          <w:p>
            <w:pPr>
              <w:spacing w:before="274" w:line="226" w:lineRule="auto"/>
              <w:ind w:left="139"/>
              <w:rPr>
                <w:rFonts w:ascii="宋体" w:hAnsi="宋体" w:eastAsia="宋体" w:cs="宋体"/>
                <w:sz w:val="19"/>
                <w:szCs w:val="19"/>
              </w:rPr>
            </w:pPr>
            <w:r>
              <w:rPr>
                <w:rFonts w:hint="eastAsia" w:ascii="宋体" w:hAnsi="宋体" w:eastAsia="宋体" w:cs="宋体"/>
                <w:spacing w:val="3"/>
                <w:sz w:val="19"/>
                <w:szCs w:val="19"/>
              </w:rPr>
              <w:t>时效指标</w:t>
            </w:r>
          </w:p>
        </w:tc>
        <w:tc>
          <w:tcPr>
            <w:tcW w:w="1269" w:type="dxa"/>
            <w:noWrap/>
            <w:vAlign w:val="center"/>
          </w:tcPr>
          <w:p>
            <w:pPr>
              <w:spacing w:line="239" w:lineRule="exact"/>
              <w:jc w:val="center"/>
              <w:rPr>
                <w:rFonts w:ascii="Arial"/>
                <w:color w:val="000000" w:themeColor="text1"/>
                <w:sz w:val="20"/>
              </w:rPr>
            </w:pPr>
            <w:r>
              <w:rPr>
                <w:rFonts w:hint="eastAsia" w:ascii="Arial"/>
                <w:color w:val="000000" w:themeColor="text1"/>
                <w:sz w:val="20"/>
              </w:rPr>
              <w:t>业务工作完成及时率</w:t>
            </w:r>
          </w:p>
        </w:tc>
        <w:tc>
          <w:tcPr>
            <w:tcW w:w="1310" w:type="dxa"/>
            <w:noWrap/>
            <w:vAlign w:val="center"/>
          </w:tcPr>
          <w:p>
            <w:pPr>
              <w:spacing w:line="239" w:lineRule="exact"/>
              <w:jc w:val="center"/>
              <w:rPr>
                <w:rFonts w:ascii="Arial"/>
                <w:color w:val="000000" w:themeColor="text1"/>
                <w:sz w:val="20"/>
              </w:rPr>
            </w:pPr>
            <w:r>
              <w:rPr>
                <w:rFonts w:hint="eastAsia" w:ascii="Arial"/>
                <w:color w:val="000000" w:themeColor="text1"/>
                <w:sz w:val="20"/>
              </w:rPr>
              <w:t>100%</w:t>
            </w:r>
          </w:p>
        </w:tc>
        <w:tc>
          <w:tcPr>
            <w:tcW w:w="1268" w:type="dxa"/>
            <w:noWrap/>
            <w:vAlign w:val="center"/>
          </w:tcPr>
          <w:p>
            <w:pPr>
              <w:spacing w:line="239" w:lineRule="exact"/>
              <w:jc w:val="center"/>
              <w:rPr>
                <w:rFonts w:ascii="Arial"/>
                <w:color w:val="000000" w:themeColor="text1"/>
                <w:sz w:val="20"/>
              </w:rPr>
            </w:pPr>
            <w:r>
              <w:rPr>
                <w:rFonts w:hint="eastAsia" w:ascii="Arial"/>
                <w:color w:val="000000" w:themeColor="text1"/>
                <w:sz w:val="20"/>
              </w:rPr>
              <w:t>84%</w:t>
            </w:r>
          </w:p>
        </w:tc>
        <w:tc>
          <w:tcPr>
            <w:tcW w:w="716" w:type="dxa"/>
            <w:noWrap/>
            <w:vAlign w:val="center"/>
          </w:tcPr>
          <w:p>
            <w:pPr>
              <w:spacing w:line="239" w:lineRule="exact"/>
              <w:jc w:val="center"/>
              <w:rPr>
                <w:rFonts w:ascii="Arial"/>
                <w:color w:val="000000" w:themeColor="text1"/>
                <w:sz w:val="20"/>
              </w:rPr>
            </w:pPr>
            <w:r>
              <w:rPr>
                <w:rFonts w:hint="eastAsia" w:ascii="Arial"/>
                <w:color w:val="000000" w:themeColor="text1"/>
                <w:sz w:val="20"/>
              </w:rPr>
              <w:t>12.5</w:t>
            </w:r>
          </w:p>
        </w:tc>
        <w:tc>
          <w:tcPr>
            <w:tcW w:w="873" w:type="dxa"/>
            <w:noWrap/>
            <w:vAlign w:val="center"/>
          </w:tcPr>
          <w:p>
            <w:pPr>
              <w:spacing w:line="239" w:lineRule="exact"/>
              <w:jc w:val="center"/>
              <w:rPr>
                <w:rFonts w:ascii="Arial"/>
                <w:color w:val="000000" w:themeColor="text1"/>
                <w:sz w:val="20"/>
              </w:rPr>
            </w:pPr>
            <w:r>
              <w:rPr>
                <w:rFonts w:hint="eastAsia" w:ascii="Arial"/>
                <w:color w:val="000000" w:themeColor="text1"/>
                <w:sz w:val="20"/>
              </w:rPr>
              <w:t>10.5</w:t>
            </w:r>
          </w:p>
        </w:tc>
        <w:tc>
          <w:tcPr>
            <w:tcW w:w="1450" w:type="dxa"/>
            <w:noWrap/>
            <w:vAlign w:val="center"/>
          </w:tcPr>
          <w:p>
            <w:pPr>
              <w:tabs>
                <w:tab w:val="left" w:pos="482"/>
              </w:tabs>
              <w:spacing w:line="239" w:lineRule="exact"/>
              <w:jc w:val="center"/>
              <w:rPr>
                <w:rFonts w:ascii="Arial"/>
                <w:color w:val="000000" w:themeColor="text1"/>
                <w:sz w:val="20"/>
              </w:rPr>
            </w:pPr>
            <w:r>
              <w:rPr>
                <w:rFonts w:hint="eastAsia" w:ascii="Arial"/>
                <w:color w:val="000000" w:themeColor="text1"/>
                <w:sz w:val="20"/>
              </w:rPr>
              <w:t>由于事权下放，部分职能职权市区两级未达成一致意见，工作进行较困难。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pPr>
              <w:pStyle w:val="8"/>
              <w:rPr>
                <w:rFonts w:ascii="宋体" w:hAnsi="宋体" w:eastAsia="宋体" w:cs="宋体"/>
                <w:lang w:eastAsia="zh-CN"/>
              </w:rPr>
            </w:pPr>
          </w:p>
        </w:tc>
        <w:tc>
          <w:tcPr>
            <w:tcW w:w="1079" w:type="dxa"/>
            <w:vMerge w:val="continue"/>
            <w:tcBorders>
              <w:top w:val="nil"/>
              <w:bottom w:val="nil"/>
            </w:tcBorders>
            <w:noWrap/>
          </w:tcPr>
          <w:p>
            <w:pPr>
              <w:pStyle w:val="8"/>
              <w:rPr>
                <w:rFonts w:ascii="宋体" w:hAnsi="宋体" w:eastAsia="宋体" w:cs="宋体"/>
                <w:lang w:eastAsia="zh-CN"/>
              </w:rPr>
            </w:pPr>
          </w:p>
        </w:tc>
        <w:tc>
          <w:tcPr>
            <w:tcW w:w="1034" w:type="dxa"/>
            <w:tcBorders>
              <w:bottom w:val="nil"/>
            </w:tcBorders>
            <w:noWrap/>
          </w:tcPr>
          <w:p>
            <w:pPr>
              <w:spacing w:before="273" w:line="226" w:lineRule="auto"/>
              <w:ind w:left="125"/>
              <w:rPr>
                <w:rFonts w:ascii="宋体" w:hAnsi="宋体" w:eastAsia="宋体" w:cs="宋体"/>
                <w:sz w:val="19"/>
                <w:szCs w:val="19"/>
              </w:rPr>
            </w:pPr>
            <w:r>
              <w:rPr>
                <w:rFonts w:hint="eastAsia" w:ascii="宋体" w:hAnsi="宋体" w:eastAsia="宋体" w:cs="宋体"/>
                <w:spacing w:val="6"/>
                <w:sz w:val="19"/>
                <w:szCs w:val="19"/>
              </w:rPr>
              <w:t>成本指标</w:t>
            </w:r>
          </w:p>
        </w:tc>
        <w:tc>
          <w:tcPr>
            <w:tcW w:w="1269" w:type="dxa"/>
            <w:noWrap/>
            <w:vAlign w:val="center"/>
          </w:tcPr>
          <w:p>
            <w:pPr>
              <w:spacing w:line="239" w:lineRule="exact"/>
              <w:jc w:val="center"/>
              <w:rPr>
                <w:rFonts w:ascii="Arial"/>
                <w:color w:val="000000" w:themeColor="text1"/>
                <w:sz w:val="20"/>
              </w:rPr>
            </w:pPr>
            <w:r>
              <w:rPr>
                <w:rFonts w:hint="eastAsia" w:ascii="Arial"/>
                <w:color w:val="000000" w:themeColor="text1"/>
                <w:sz w:val="20"/>
              </w:rPr>
              <w:t>年度资金</w:t>
            </w:r>
          </w:p>
        </w:tc>
        <w:tc>
          <w:tcPr>
            <w:tcW w:w="1310" w:type="dxa"/>
            <w:noWrap/>
            <w:vAlign w:val="center"/>
          </w:tcPr>
          <w:p>
            <w:pPr>
              <w:spacing w:line="239" w:lineRule="exact"/>
              <w:jc w:val="center"/>
              <w:rPr>
                <w:rFonts w:ascii="Arial"/>
                <w:color w:val="000000" w:themeColor="text1"/>
                <w:sz w:val="20"/>
              </w:rPr>
            </w:pPr>
            <w:r>
              <w:rPr>
                <w:rFonts w:hint="eastAsia" w:ascii="Arial"/>
                <w:color w:val="000000" w:themeColor="text1"/>
                <w:sz w:val="20"/>
              </w:rPr>
              <w:t>690.11万</w:t>
            </w:r>
          </w:p>
        </w:tc>
        <w:tc>
          <w:tcPr>
            <w:tcW w:w="1268" w:type="dxa"/>
            <w:noWrap/>
            <w:vAlign w:val="center"/>
          </w:tcPr>
          <w:p>
            <w:pPr>
              <w:spacing w:line="239" w:lineRule="exact"/>
              <w:jc w:val="center"/>
              <w:rPr>
                <w:rFonts w:ascii="Arial"/>
                <w:color w:val="000000" w:themeColor="text1"/>
                <w:sz w:val="20"/>
              </w:rPr>
            </w:pPr>
            <w:r>
              <w:rPr>
                <w:rFonts w:hint="eastAsia" w:ascii="Arial"/>
                <w:color w:val="000000" w:themeColor="text1"/>
                <w:sz w:val="20"/>
              </w:rPr>
              <w:t>690.11万</w:t>
            </w:r>
          </w:p>
        </w:tc>
        <w:tc>
          <w:tcPr>
            <w:tcW w:w="716" w:type="dxa"/>
            <w:noWrap/>
            <w:vAlign w:val="center"/>
          </w:tcPr>
          <w:p>
            <w:pPr>
              <w:spacing w:line="239" w:lineRule="exact"/>
              <w:jc w:val="center"/>
              <w:rPr>
                <w:rFonts w:ascii="Arial"/>
                <w:color w:val="000000" w:themeColor="text1"/>
                <w:sz w:val="20"/>
              </w:rPr>
            </w:pPr>
            <w:r>
              <w:rPr>
                <w:rFonts w:hint="eastAsia" w:ascii="Arial"/>
                <w:color w:val="000000" w:themeColor="text1"/>
                <w:sz w:val="20"/>
              </w:rPr>
              <w:t>12.5</w:t>
            </w:r>
          </w:p>
        </w:tc>
        <w:tc>
          <w:tcPr>
            <w:tcW w:w="873" w:type="dxa"/>
            <w:noWrap/>
            <w:vAlign w:val="center"/>
          </w:tcPr>
          <w:p>
            <w:pPr>
              <w:spacing w:line="239" w:lineRule="exact"/>
              <w:jc w:val="center"/>
              <w:rPr>
                <w:rFonts w:ascii="Arial"/>
                <w:color w:val="000000" w:themeColor="text1"/>
                <w:sz w:val="20"/>
              </w:rPr>
            </w:pPr>
            <w:r>
              <w:rPr>
                <w:rFonts w:hint="eastAsia" w:ascii="Arial"/>
                <w:color w:val="000000" w:themeColor="text1"/>
                <w:sz w:val="20"/>
              </w:rPr>
              <w:t>12.5</w:t>
            </w:r>
          </w:p>
        </w:tc>
        <w:tc>
          <w:tcPr>
            <w:tcW w:w="1450" w:type="dxa"/>
            <w:noWrap/>
          </w:tcPr>
          <w:p>
            <w:pPr>
              <w:pStyle w:val="8"/>
              <w:spacing w:line="235" w:lineRule="exact"/>
              <w:jc w:val="center"/>
              <w:rPr>
                <w:rFonts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pPr>
              <w:pStyle w:val="8"/>
              <w:rPr>
                <w:rFonts w:ascii="宋体" w:hAnsi="宋体" w:eastAsia="宋体" w:cs="宋体"/>
              </w:rPr>
            </w:pPr>
          </w:p>
        </w:tc>
        <w:tc>
          <w:tcPr>
            <w:tcW w:w="1079" w:type="dxa"/>
            <w:vMerge w:val="restart"/>
            <w:tcBorders>
              <w:bottom w:val="nil"/>
            </w:tcBorders>
            <w:noWrap/>
          </w:tcPr>
          <w:p>
            <w:pPr>
              <w:pStyle w:val="8"/>
              <w:spacing w:line="256" w:lineRule="auto"/>
              <w:rPr>
                <w:rFonts w:ascii="宋体" w:hAnsi="宋体" w:eastAsia="宋体" w:cs="宋体"/>
              </w:rPr>
            </w:pPr>
          </w:p>
          <w:p>
            <w:pPr>
              <w:pStyle w:val="8"/>
              <w:spacing w:line="256" w:lineRule="auto"/>
              <w:rPr>
                <w:rFonts w:ascii="宋体" w:hAnsi="宋体" w:eastAsia="宋体" w:cs="宋体"/>
              </w:rPr>
            </w:pPr>
          </w:p>
          <w:p>
            <w:pPr>
              <w:pStyle w:val="8"/>
              <w:spacing w:line="256" w:lineRule="auto"/>
              <w:rPr>
                <w:rFonts w:ascii="宋体" w:hAnsi="宋体" w:eastAsia="宋体" w:cs="宋体"/>
              </w:rPr>
            </w:pPr>
          </w:p>
          <w:p>
            <w:pPr>
              <w:pStyle w:val="8"/>
              <w:spacing w:line="256" w:lineRule="auto"/>
              <w:rPr>
                <w:rFonts w:ascii="宋体" w:hAnsi="宋体" w:eastAsia="宋体" w:cs="宋体"/>
              </w:rPr>
            </w:pPr>
          </w:p>
          <w:p>
            <w:pPr>
              <w:spacing w:before="62" w:line="480" w:lineRule="exact"/>
              <w:ind w:left="115"/>
              <w:rPr>
                <w:rFonts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7"/>
              <w:rPr>
                <w:rFonts w:ascii="宋体" w:hAnsi="宋体" w:eastAsia="宋体" w:cs="宋体"/>
                <w:sz w:val="19"/>
                <w:szCs w:val="19"/>
              </w:rPr>
            </w:pPr>
            <w:r>
              <w:rPr>
                <w:rFonts w:hint="eastAsia" w:ascii="宋体" w:hAnsi="宋体" w:eastAsia="宋体" w:cs="宋体"/>
                <w:spacing w:val="3"/>
                <w:sz w:val="19"/>
                <w:szCs w:val="19"/>
              </w:rPr>
              <w:t>（30分）</w:t>
            </w:r>
          </w:p>
        </w:tc>
        <w:tc>
          <w:tcPr>
            <w:tcW w:w="1034" w:type="dxa"/>
            <w:tcBorders>
              <w:bottom w:val="nil"/>
            </w:tcBorders>
            <w:noWrap/>
          </w:tcPr>
          <w:p>
            <w:pPr>
              <w:spacing w:before="154" w:line="233" w:lineRule="auto"/>
              <w:ind w:left="226"/>
              <w:rPr>
                <w:rFonts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ign w:val="center"/>
          </w:tcPr>
          <w:p>
            <w:pPr>
              <w:spacing w:line="240" w:lineRule="exact"/>
              <w:jc w:val="center"/>
              <w:rPr>
                <w:rFonts w:ascii="Arial"/>
                <w:color w:val="000000" w:themeColor="text1"/>
                <w:sz w:val="20"/>
              </w:rPr>
            </w:pPr>
            <w:r>
              <w:rPr>
                <w:rFonts w:hint="eastAsia" w:ascii="Arial"/>
                <w:color w:val="000000" w:themeColor="text1"/>
                <w:sz w:val="20"/>
              </w:rPr>
              <w:t>促进楼区城市化进程</w:t>
            </w:r>
          </w:p>
        </w:tc>
        <w:tc>
          <w:tcPr>
            <w:tcW w:w="1310" w:type="dxa"/>
            <w:noWrap/>
            <w:vAlign w:val="center"/>
          </w:tcPr>
          <w:p>
            <w:pPr>
              <w:spacing w:line="240" w:lineRule="exact"/>
              <w:jc w:val="center"/>
              <w:rPr>
                <w:rFonts w:ascii="Arial"/>
                <w:color w:val="000000" w:themeColor="text1"/>
                <w:sz w:val="20"/>
              </w:rPr>
            </w:pPr>
            <w:r>
              <w:rPr>
                <w:rFonts w:hint="eastAsia" w:ascii="Arial"/>
                <w:color w:val="000000" w:themeColor="text1"/>
                <w:sz w:val="20"/>
              </w:rPr>
              <w:t>促进经济发展，改善城建投资环境，促进招商引资顺利进行</w:t>
            </w:r>
          </w:p>
        </w:tc>
        <w:tc>
          <w:tcPr>
            <w:tcW w:w="1268" w:type="dxa"/>
            <w:noWrap/>
            <w:vAlign w:val="center"/>
          </w:tcPr>
          <w:p>
            <w:pPr>
              <w:spacing w:line="240" w:lineRule="exact"/>
              <w:jc w:val="center"/>
              <w:rPr>
                <w:rFonts w:ascii="Arial"/>
                <w:color w:val="000000" w:themeColor="text1"/>
                <w:sz w:val="20"/>
              </w:rPr>
            </w:pPr>
            <w:r>
              <w:rPr>
                <w:rFonts w:hint="eastAsia" w:ascii="Arial"/>
                <w:color w:val="000000" w:themeColor="text1"/>
                <w:sz w:val="20"/>
              </w:rPr>
              <w:t>促进经济发展</w:t>
            </w:r>
          </w:p>
        </w:tc>
        <w:tc>
          <w:tcPr>
            <w:tcW w:w="716" w:type="dxa"/>
            <w:noWrap/>
            <w:vAlign w:val="center"/>
          </w:tcPr>
          <w:p>
            <w:pPr>
              <w:spacing w:line="240" w:lineRule="exact"/>
              <w:jc w:val="center"/>
              <w:rPr>
                <w:rFonts w:ascii="Arial"/>
                <w:color w:val="000000" w:themeColor="text1"/>
                <w:sz w:val="20"/>
              </w:rPr>
            </w:pPr>
            <w:r>
              <w:rPr>
                <w:rFonts w:hint="eastAsia" w:ascii="Arial"/>
                <w:color w:val="000000" w:themeColor="text1"/>
                <w:sz w:val="20"/>
              </w:rPr>
              <w:t>7.5</w:t>
            </w:r>
          </w:p>
        </w:tc>
        <w:tc>
          <w:tcPr>
            <w:tcW w:w="873" w:type="dxa"/>
            <w:noWrap/>
            <w:vAlign w:val="center"/>
          </w:tcPr>
          <w:p>
            <w:pPr>
              <w:spacing w:line="240" w:lineRule="exact"/>
              <w:jc w:val="center"/>
              <w:rPr>
                <w:rFonts w:ascii="Arial"/>
                <w:color w:val="000000" w:themeColor="text1"/>
                <w:sz w:val="20"/>
              </w:rPr>
            </w:pPr>
            <w:r>
              <w:rPr>
                <w:rFonts w:hint="eastAsia" w:ascii="Arial"/>
                <w:color w:val="000000" w:themeColor="text1"/>
                <w:sz w:val="20"/>
              </w:rPr>
              <w:t>7.5</w:t>
            </w:r>
          </w:p>
        </w:tc>
        <w:tc>
          <w:tcPr>
            <w:tcW w:w="1450" w:type="dxa"/>
            <w:noWrap/>
          </w:tcPr>
          <w:p>
            <w:pPr>
              <w:pStyle w:val="8"/>
              <w:spacing w:line="235" w:lineRule="exact"/>
              <w:jc w:val="center"/>
              <w:rPr>
                <w:rFonts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pPr>
              <w:pStyle w:val="8"/>
              <w:rPr>
                <w:rFonts w:ascii="宋体" w:hAnsi="宋体" w:eastAsia="宋体" w:cs="宋体"/>
              </w:rPr>
            </w:pPr>
          </w:p>
        </w:tc>
        <w:tc>
          <w:tcPr>
            <w:tcW w:w="1079" w:type="dxa"/>
            <w:vMerge w:val="continue"/>
            <w:tcBorders>
              <w:top w:val="nil"/>
              <w:bottom w:val="nil"/>
            </w:tcBorders>
            <w:noWrap/>
          </w:tcPr>
          <w:p>
            <w:pPr>
              <w:pStyle w:val="8"/>
              <w:rPr>
                <w:rFonts w:ascii="宋体" w:hAnsi="宋体" w:eastAsia="宋体" w:cs="宋体"/>
              </w:rPr>
            </w:pPr>
          </w:p>
        </w:tc>
        <w:tc>
          <w:tcPr>
            <w:tcW w:w="1034" w:type="dxa"/>
            <w:tcBorders>
              <w:bottom w:val="nil"/>
            </w:tcBorders>
            <w:noWrap/>
          </w:tcPr>
          <w:p>
            <w:pPr>
              <w:spacing w:before="153" w:line="233" w:lineRule="auto"/>
              <w:ind w:left="225"/>
              <w:rPr>
                <w:rFonts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ign w:val="center"/>
          </w:tcPr>
          <w:p>
            <w:pPr>
              <w:spacing w:line="240" w:lineRule="exact"/>
              <w:jc w:val="center"/>
              <w:rPr>
                <w:rFonts w:ascii="Arial"/>
                <w:color w:val="000000" w:themeColor="text1"/>
                <w:sz w:val="20"/>
              </w:rPr>
            </w:pPr>
            <w:r>
              <w:rPr>
                <w:rFonts w:hint="eastAsia" w:ascii="Arial"/>
                <w:color w:val="000000" w:themeColor="text1"/>
                <w:sz w:val="20"/>
              </w:rPr>
              <w:t>促进社会发展，城市建设</w:t>
            </w:r>
          </w:p>
        </w:tc>
        <w:tc>
          <w:tcPr>
            <w:tcW w:w="1310" w:type="dxa"/>
            <w:noWrap/>
            <w:vAlign w:val="center"/>
          </w:tcPr>
          <w:p>
            <w:pPr>
              <w:spacing w:line="240" w:lineRule="exact"/>
              <w:jc w:val="center"/>
              <w:rPr>
                <w:rFonts w:ascii="Arial"/>
                <w:color w:val="000000" w:themeColor="text1"/>
                <w:sz w:val="20"/>
              </w:rPr>
            </w:pPr>
            <w:r>
              <w:rPr>
                <w:rFonts w:hint="eastAsia" w:ascii="Arial"/>
                <w:color w:val="000000" w:themeColor="text1"/>
                <w:sz w:val="20"/>
              </w:rPr>
              <w:t>促进社会发展，改善城市环境，提升建设楼区整体形象</w:t>
            </w:r>
          </w:p>
        </w:tc>
        <w:tc>
          <w:tcPr>
            <w:tcW w:w="1268" w:type="dxa"/>
            <w:noWrap/>
            <w:vAlign w:val="center"/>
          </w:tcPr>
          <w:p>
            <w:pPr>
              <w:spacing w:line="240" w:lineRule="exact"/>
              <w:jc w:val="center"/>
              <w:rPr>
                <w:rFonts w:ascii="Arial"/>
                <w:color w:val="000000" w:themeColor="text1"/>
                <w:sz w:val="20"/>
              </w:rPr>
            </w:pPr>
            <w:r>
              <w:rPr>
                <w:rFonts w:hint="eastAsia" w:ascii="Arial"/>
                <w:color w:val="000000" w:themeColor="text1"/>
                <w:sz w:val="20"/>
              </w:rPr>
              <w:t>促进社会发展</w:t>
            </w:r>
          </w:p>
        </w:tc>
        <w:tc>
          <w:tcPr>
            <w:tcW w:w="716" w:type="dxa"/>
            <w:noWrap/>
            <w:vAlign w:val="center"/>
          </w:tcPr>
          <w:p>
            <w:pPr>
              <w:spacing w:line="240" w:lineRule="exact"/>
              <w:jc w:val="center"/>
              <w:rPr>
                <w:rFonts w:ascii="Arial"/>
                <w:color w:val="000000" w:themeColor="text1"/>
                <w:sz w:val="20"/>
              </w:rPr>
            </w:pPr>
            <w:r>
              <w:rPr>
                <w:rFonts w:hint="eastAsia" w:ascii="Arial"/>
                <w:color w:val="000000" w:themeColor="text1"/>
                <w:sz w:val="20"/>
              </w:rPr>
              <w:t>7.5</w:t>
            </w:r>
          </w:p>
        </w:tc>
        <w:tc>
          <w:tcPr>
            <w:tcW w:w="873" w:type="dxa"/>
            <w:noWrap/>
            <w:vAlign w:val="center"/>
          </w:tcPr>
          <w:p>
            <w:pPr>
              <w:spacing w:line="240" w:lineRule="exact"/>
              <w:jc w:val="center"/>
              <w:rPr>
                <w:rFonts w:ascii="Arial"/>
                <w:color w:val="000000" w:themeColor="text1"/>
                <w:sz w:val="20"/>
              </w:rPr>
            </w:pPr>
            <w:r>
              <w:rPr>
                <w:rFonts w:hint="eastAsia" w:ascii="Arial"/>
                <w:color w:val="000000" w:themeColor="text1"/>
                <w:sz w:val="20"/>
              </w:rPr>
              <w:t>7.5</w:t>
            </w:r>
          </w:p>
        </w:tc>
        <w:tc>
          <w:tcPr>
            <w:tcW w:w="1450" w:type="dxa"/>
            <w:noWrap/>
          </w:tcPr>
          <w:p>
            <w:pPr>
              <w:pStyle w:val="8"/>
              <w:spacing w:line="235" w:lineRule="exact"/>
              <w:jc w:val="center"/>
              <w:rPr>
                <w:rFonts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pPr>
              <w:pStyle w:val="8"/>
              <w:rPr>
                <w:rFonts w:ascii="宋体" w:hAnsi="宋体" w:eastAsia="宋体" w:cs="宋体"/>
              </w:rPr>
            </w:pPr>
          </w:p>
        </w:tc>
        <w:tc>
          <w:tcPr>
            <w:tcW w:w="1079" w:type="dxa"/>
            <w:vMerge w:val="continue"/>
            <w:tcBorders>
              <w:top w:val="nil"/>
              <w:bottom w:val="nil"/>
            </w:tcBorders>
            <w:noWrap/>
          </w:tcPr>
          <w:p>
            <w:pPr>
              <w:pStyle w:val="8"/>
              <w:rPr>
                <w:rFonts w:ascii="宋体" w:hAnsi="宋体" w:eastAsia="宋体" w:cs="宋体"/>
              </w:rPr>
            </w:pPr>
          </w:p>
        </w:tc>
        <w:tc>
          <w:tcPr>
            <w:tcW w:w="1034" w:type="dxa"/>
            <w:tcBorders>
              <w:bottom w:val="nil"/>
            </w:tcBorders>
            <w:noWrap/>
          </w:tcPr>
          <w:p>
            <w:pPr>
              <w:spacing w:before="154" w:line="233" w:lineRule="auto"/>
              <w:ind w:left="234"/>
              <w:rPr>
                <w:rFonts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ign w:val="center"/>
          </w:tcPr>
          <w:p>
            <w:pPr>
              <w:spacing w:line="240" w:lineRule="exact"/>
              <w:jc w:val="center"/>
              <w:rPr>
                <w:rFonts w:ascii="Arial"/>
                <w:color w:val="000000" w:themeColor="text1"/>
                <w:sz w:val="20"/>
              </w:rPr>
            </w:pPr>
            <w:r>
              <w:rPr>
                <w:rFonts w:hint="eastAsia" w:ascii="Arial"/>
                <w:color w:val="000000" w:themeColor="text1"/>
                <w:sz w:val="20"/>
              </w:rPr>
              <w:t>保护自然资源</w:t>
            </w:r>
          </w:p>
        </w:tc>
        <w:tc>
          <w:tcPr>
            <w:tcW w:w="1310" w:type="dxa"/>
            <w:noWrap/>
            <w:vAlign w:val="center"/>
          </w:tcPr>
          <w:p>
            <w:pPr>
              <w:spacing w:line="240" w:lineRule="exact"/>
              <w:jc w:val="center"/>
              <w:rPr>
                <w:rFonts w:ascii="Arial"/>
                <w:color w:val="000000" w:themeColor="text1"/>
                <w:sz w:val="20"/>
              </w:rPr>
            </w:pPr>
            <w:r>
              <w:rPr>
                <w:rFonts w:hint="eastAsia" w:ascii="Arial"/>
                <w:color w:val="000000" w:themeColor="text1"/>
                <w:sz w:val="20"/>
              </w:rPr>
              <w:t>是否有效保障楼区范围内自然资源保护工作</w:t>
            </w:r>
          </w:p>
        </w:tc>
        <w:tc>
          <w:tcPr>
            <w:tcW w:w="1268" w:type="dxa"/>
            <w:noWrap/>
            <w:vAlign w:val="center"/>
          </w:tcPr>
          <w:p>
            <w:pPr>
              <w:spacing w:line="240" w:lineRule="exact"/>
              <w:jc w:val="center"/>
              <w:rPr>
                <w:rFonts w:ascii="Arial"/>
                <w:color w:val="000000" w:themeColor="text1"/>
                <w:sz w:val="20"/>
              </w:rPr>
            </w:pPr>
            <w:r>
              <w:rPr>
                <w:rFonts w:hint="eastAsia" w:ascii="Arial"/>
                <w:color w:val="000000" w:themeColor="text1"/>
                <w:sz w:val="20"/>
              </w:rPr>
              <w:t>有效保障</w:t>
            </w:r>
          </w:p>
        </w:tc>
        <w:tc>
          <w:tcPr>
            <w:tcW w:w="716" w:type="dxa"/>
            <w:noWrap/>
            <w:vAlign w:val="center"/>
          </w:tcPr>
          <w:p>
            <w:pPr>
              <w:spacing w:line="240" w:lineRule="exact"/>
              <w:jc w:val="center"/>
              <w:rPr>
                <w:rFonts w:ascii="Arial"/>
                <w:color w:val="000000" w:themeColor="text1"/>
                <w:sz w:val="20"/>
              </w:rPr>
            </w:pPr>
            <w:r>
              <w:rPr>
                <w:rFonts w:hint="eastAsia" w:ascii="Arial"/>
                <w:color w:val="000000" w:themeColor="text1"/>
                <w:sz w:val="20"/>
              </w:rPr>
              <w:t>7.5</w:t>
            </w:r>
          </w:p>
        </w:tc>
        <w:tc>
          <w:tcPr>
            <w:tcW w:w="873" w:type="dxa"/>
            <w:noWrap/>
            <w:vAlign w:val="center"/>
          </w:tcPr>
          <w:p>
            <w:pPr>
              <w:spacing w:line="240" w:lineRule="exact"/>
              <w:jc w:val="center"/>
              <w:rPr>
                <w:rFonts w:ascii="Arial"/>
                <w:color w:val="000000" w:themeColor="text1"/>
                <w:sz w:val="20"/>
              </w:rPr>
            </w:pPr>
            <w:r>
              <w:rPr>
                <w:rFonts w:hint="eastAsia" w:ascii="Arial"/>
                <w:color w:val="000000" w:themeColor="text1"/>
                <w:sz w:val="20"/>
              </w:rPr>
              <w:t>7.5</w:t>
            </w:r>
          </w:p>
        </w:tc>
        <w:tc>
          <w:tcPr>
            <w:tcW w:w="1450" w:type="dxa"/>
            <w:noWrap/>
          </w:tcPr>
          <w:p>
            <w:pPr>
              <w:pStyle w:val="8"/>
              <w:spacing w:line="235" w:lineRule="exact"/>
              <w:jc w:val="center"/>
              <w:rPr>
                <w:rFonts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textDirection w:val="tbRlV"/>
          </w:tcPr>
          <w:p>
            <w:pPr>
              <w:pStyle w:val="8"/>
              <w:rPr>
                <w:rFonts w:ascii="宋体" w:hAnsi="宋体" w:eastAsia="宋体" w:cs="宋体"/>
              </w:rPr>
            </w:pPr>
          </w:p>
        </w:tc>
        <w:tc>
          <w:tcPr>
            <w:tcW w:w="1079" w:type="dxa"/>
            <w:vMerge w:val="continue"/>
            <w:tcBorders>
              <w:top w:val="nil"/>
              <w:bottom w:val="nil"/>
            </w:tcBorders>
            <w:noWrap/>
          </w:tcPr>
          <w:p>
            <w:pPr>
              <w:pStyle w:val="8"/>
              <w:rPr>
                <w:rFonts w:ascii="宋体" w:hAnsi="宋体" w:eastAsia="宋体" w:cs="宋体"/>
              </w:rPr>
            </w:pPr>
          </w:p>
        </w:tc>
        <w:tc>
          <w:tcPr>
            <w:tcW w:w="1034" w:type="dxa"/>
            <w:tcBorders>
              <w:bottom w:val="nil"/>
            </w:tcBorders>
            <w:noWrap/>
          </w:tcPr>
          <w:p>
            <w:pPr>
              <w:spacing w:before="207" w:line="230" w:lineRule="auto"/>
              <w:ind w:left="227" w:right="116" w:hanging="98"/>
              <w:rPr>
                <w:rFonts w:ascii="宋体" w:hAnsi="宋体" w:eastAsia="宋体" w:cs="宋体"/>
                <w:sz w:val="19"/>
                <w:szCs w:val="19"/>
              </w:rPr>
            </w:pPr>
            <w:r>
              <w:rPr>
                <w:rFonts w:hint="eastAsia" w:ascii="宋体" w:hAnsi="宋体" w:cs="宋体"/>
                <w:sz w:val="19"/>
                <w:szCs w:val="19"/>
              </w:rPr>
              <w:t>可持续影响指标</w:t>
            </w:r>
          </w:p>
        </w:tc>
        <w:tc>
          <w:tcPr>
            <w:tcW w:w="1269" w:type="dxa"/>
            <w:noWrap/>
            <w:vAlign w:val="center"/>
          </w:tcPr>
          <w:p>
            <w:pPr>
              <w:jc w:val="center"/>
              <w:rPr>
                <w:rFonts w:ascii="Arial"/>
                <w:color w:val="000000" w:themeColor="text1"/>
              </w:rPr>
            </w:pPr>
            <w:r>
              <w:rPr>
                <w:rFonts w:hint="eastAsia" w:ascii="Arial"/>
                <w:color w:val="000000" w:themeColor="text1"/>
              </w:rPr>
              <w:t>对城市建设发展有可持续影响</w:t>
            </w:r>
          </w:p>
        </w:tc>
        <w:tc>
          <w:tcPr>
            <w:tcW w:w="1310" w:type="dxa"/>
            <w:noWrap/>
            <w:vAlign w:val="center"/>
          </w:tcPr>
          <w:p>
            <w:pPr>
              <w:jc w:val="center"/>
              <w:rPr>
                <w:rFonts w:ascii="Arial"/>
                <w:color w:val="000000" w:themeColor="text1"/>
              </w:rPr>
            </w:pPr>
            <w:r>
              <w:rPr>
                <w:rFonts w:hint="eastAsia" w:ascii="Arial"/>
                <w:color w:val="000000" w:themeColor="text1"/>
              </w:rPr>
              <w:t>对自然资源保护、城市招商引资及城市规划建设有可持续影响</w:t>
            </w:r>
          </w:p>
        </w:tc>
        <w:tc>
          <w:tcPr>
            <w:tcW w:w="1268" w:type="dxa"/>
            <w:noWrap/>
            <w:vAlign w:val="center"/>
          </w:tcPr>
          <w:p>
            <w:pPr>
              <w:jc w:val="center"/>
              <w:rPr>
                <w:rFonts w:ascii="Arial"/>
                <w:color w:val="000000" w:themeColor="text1"/>
              </w:rPr>
            </w:pPr>
            <w:r>
              <w:rPr>
                <w:rFonts w:hint="eastAsia" w:ascii="Arial"/>
                <w:color w:val="000000" w:themeColor="text1"/>
              </w:rPr>
              <w:t>可持续发展</w:t>
            </w:r>
          </w:p>
        </w:tc>
        <w:tc>
          <w:tcPr>
            <w:tcW w:w="716" w:type="dxa"/>
            <w:noWrap/>
            <w:vAlign w:val="center"/>
          </w:tcPr>
          <w:p>
            <w:pPr>
              <w:jc w:val="center"/>
              <w:rPr>
                <w:rFonts w:ascii="Arial"/>
                <w:color w:val="000000" w:themeColor="text1"/>
              </w:rPr>
            </w:pPr>
            <w:r>
              <w:rPr>
                <w:rFonts w:hint="eastAsia" w:ascii="Arial"/>
                <w:color w:val="000000" w:themeColor="text1"/>
              </w:rPr>
              <w:t>7.5</w:t>
            </w:r>
          </w:p>
        </w:tc>
        <w:tc>
          <w:tcPr>
            <w:tcW w:w="873" w:type="dxa"/>
            <w:noWrap/>
            <w:vAlign w:val="center"/>
          </w:tcPr>
          <w:p>
            <w:pPr>
              <w:jc w:val="center"/>
              <w:rPr>
                <w:rFonts w:ascii="Arial"/>
                <w:color w:val="000000" w:themeColor="text1"/>
              </w:rPr>
            </w:pPr>
            <w:r>
              <w:rPr>
                <w:rFonts w:hint="eastAsia" w:ascii="Arial"/>
                <w:color w:val="000000" w:themeColor="text1"/>
              </w:rPr>
              <w:t>7.5</w:t>
            </w:r>
          </w:p>
        </w:tc>
        <w:tc>
          <w:tcPr>
            <w:tcW w:w="1450" w:type="dxa"/>
            <w:noWrap/>
          </w:tcPr>
          <w:p>
            <w:pPr>
              <w:pStyle w:val="8"/>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textDirection w:val="tbRlV"/>
          </w:tcPr>
          <w:p>
            <w:pPr>
              <w:pStyle w:val="8"/>
              <w:rPr>
                <w:rFonts w:ascii="宋体" w:hAnsi="宋体" w:eastAsia="宋体" w:cs="宋体"/>
              </w:rPr>
            </w:pPr>
          </w:p>
        </w:tc>
        <w:tc>
          <w:tcPr>
            <w:tcW w:w="1079" w:type="dxa"/>
            <w:tcBorders>
              <w:bottom w:val="nil"/>
            </w:tcBorders>
            <w:noWrap/>
          </w:tcPr>
          <w:p>
            <w:pPr>
              <w:spacing w:before="110" w:line="226" w:lineRule="auto"/>
              <w:ind w:left="251"/>
              <w:rPr>
                <w:rFonts w:ascii="宋体" w:hAnsi="宋体" w:eastAsia="宋体" w:cs="宋体"/>
                <w:sz w:val="19"/>
                <w:szCs w:val="19"/>
              </w:rPr>
            </w:pPr>
            <w:r>
              <w:rPr>
                <w:rFonts w:hint="eastAsia" w:ascii="宋体" w:hAnsi="宋体" w:eastAsia="宋体" w:cs="宋体"/>
                <w:spacing w:val="4"/>
                <w:sz w:val="19"/>
                <w:szCs w:val="19"/>
              </w:rPr>
              <w:t>满意度</w:t>
            </w:r>
          </w:p>
          <w:p>
            <w:pPr>
              <w:spacing w:before="7" w:line="226" w:lineRule="auto"/>
              <w:ind w:left="345"/>
              <w:rPr>
                <w:rFonts w:ascii="宋体" w:hAnsi="宋体" w:eastAsia="宋体" w:cs="宋体"/>
                <w:sz w:val="19"/>
                <w:szCs w:val="19"/>
              </w:rPr>
            </w:pPr>
            <w:r>
              <w:rPr>
                <w:rFonts w:hint="eastAsia" w:ascii="宋体" w:hAnsi="宋体" w:eastAsia="宋体" w:cs="宋体"/>
                <w:spacing w:val="3"/>
                <w:sz w:val="19"/>
                <w:szCs w:val="19"/>
              </w:rPr>
              <w:t>指标</w:t>
            </w:r>
          </w:p>
          <w:p>
            <w:pPr>
              <w:spacing w:before="7" w:line="227" w:lineRule="auto"/>
              <w:ind w:left="114"/>
              <w:rPr>
                <w:rFonts w:ascii="宋体" w:hAnsi="宋体" w:eastAsia="宋体" w:cs="宋体"/>
                <w:sz w:val="19"/>
                <w:szCs w:val="19"/>
              </w:rPr>
            </w:pPr>
            <w:r>
              <w:rPr>
                <w:rFonts w:hint="eastAsia" w:ascii="宋体" w:hAnsi="宋体" w:eastAsia="宋体" w:cs="宋体"/>
                <w:spacing w:val="3"/>
                <w:sz w:val="19"/>
                <w:szCs w:val="19"/>
              </w:rPr>
              <w:t>（10分）</w:t>
            </w:r>
          </w:p>
        </w:tc>
        <w:tc>
          <w:tcPr>
            <w:tcW w:w="1034" w:type="dxa"/>
            <w:tcBorders>
              <w:bottom w:val="nil"/>
            </w:tcBorders>
            <w:noWrap/>
          </w:tcPr>
          <w:p>
            <w:pPr>
              <w:spacing w:before="110" w:line="226" w:lineRule="auto"/>
              <w:ind w:left="123"/>
              <w:rPr>
                <w:rFonts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rPr>
                <w:rFonts w:ascii="宋体" w:hAnsi="宋体" w:eastAsia="宋体" w:cs="宋体"/>
                <w:sz w:val="19"/>
                <w:szCs w:val="19"/>
              </w:rPr>
            </w:pPr>
            <w:r>
              <w:rPr>
                <w:rFonts w:hint="eastAsia" w:ascii="宋体" w:hAnsi="宋体" w:eastAsia="宋体" w:cs="宋体"/>
                <w:spacing w:val="2"/>
                <w:sz w:val="19"/>
                <w:szCs w:val="19"/>
              </w:rPr>
              <w:t>标</w:t>
            </w:r>
          </w:p>
        </w:tc>
        <w:tc>
          <w:tcPr>
            <w:tcW w:w="1269" w:type="dxa"/>
            <w:noWrap/>
            <w:vAlign w:val="center"/>
          </w:tcPr>
          <w:p>
            <w:pPr>
              <w:jc w:val="center"/>
              <w:rPr>
                <w:rFonts w:ascii="Arial"/>
                <w:color w:val="000000" w:themeColor="text1"/>
              </w:rPr>
            </w:pPr>
            <w:r>
              <w:rPr>
                <w:rFonts w:hint="eastAsia" w:ascii="Arial"/>
                <w:color w:val="000000" w:themeColor="text1"/>
              </w:rPr>
              <w:t>社会公众满意度</w:t>
            </w:r>
          </w:p>
        </w:tc>
        <w:tc>
          <w:tcPr>
            <w:tcW w:w="1310" w:type="dxa"/>
            <w:noWrap/>
            <w:vAlign w:val="center"/>
          </w:tcPr>
          <w:p>
            <w:pPr>
              <w:jc w:val="center"/>
              <w:rPr>
                <w:rFonts w:ascii="Arial"/>
                <w:color w:val="000000" w:themeColor="text1"/>
              </w:rPr>
            </w:pPr>
            <w:r>
              <w:rPr>
                <w:rFonts w:hint="eastAsia" w:ascii="Arial"/>
                <w:color w:val="000000" w:themeColor="text1"/>
              </w:rPr>
              <w:t>95%</w:t>
            </w:r>
          </w:p>
        </w:tc>
        <w:tc>
          <w:tcPr>
            <w:tcW w:w="1268" w:type="dxa"/>
            <w:noWrap/>
            <w:vAlign w:val="center"/>
          </w:tcPr>
          <w:p>
            <w:pPr>
              <w:jc w:val="center"/>
              <w:rPr>
                <w:rFonts w:ascii="Arial"/>
                <w:color w:val="000000" w:themeColor="text1"/>
              </w:rPr>
            </w:pPr>
            <w:r>
              <w:rPr>
                <w:rFonts w:hint="eastAsia" w:ascii="Arial"/>
                <w:color w:val="000000" w:themeColor="text1"/>
              </w:rPr>
              <w:t>95%</w:t>
            </w:r>
          </w:p>
        </w:tc>
        <w:tc>
          <w:tcPr>
            <w:tcW w:w="716" w:type="dxa"/>
            <w:noWrap/>
            <w:vAlign w:val="center"/>
          </w:tcPr>
          <w:p>
            <w:pPr>
              <w:jc w:val="center"/>
              <w:rPr>
                <w:rFonts w:ascii="Arial"/>
                <w:color w:val="000000" w:themeColor="text1"/>
              </w:rPr>
            </w:pPr>
            <w:r>
              <w:rPr>
                <w:rFonts w:hint="eastAsia" w:ascii="Arial"/>
                <w:color w:val="000000" w:themeColor="text1"/>
              </w:rPr>
              <w:t>10</w:t>
            </w:r>
          </w:p>
        </w:tc>
        <w:tc>
          <w:tcPr>
            <w:tcW w:w="873" w:type="dxa"/>
            <w:noWrap/>
            <w:vAlign w:val="center"/>
          </w:tcPr>
          <w:p>
            <w:pPr>
              <w:jc w:val="center"/>
              <w:rPr>
                <w:rFonts w:ascii="Arial"/>
                <w:color w:val="000000" w:themeColor="text1"/>
              </w:rPr>
            </w:pPr>
            <w:r>
              <w:rPr>
                <w:rFonts w:hint="eastAsia" w:ascii="Arial"/>
                <w:color w:val="000000" w:themeColor="text1"/>
              </w:rPr>
              <w:t>10</w:t>
            </w:r>
          </w:p>
        </w:tc>
        <w:tc>
          <w:tcPr>
            <w:tcW w:w="1450" w:type="dxa"/>
            <w:noWrap/>
          </w:tcPr>
          <w:p>
            <w:pPr>
              <w:pStyle w:val="8"/>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tcPr>
          <w:p>
            <w:pPr>
              <w:spacing w:before="41" w:line="221" w:lineRule="auto"/>
              <w:ind w:left="3343"/>
              <w:rPr>
                <w:rFonts w:ascii="宋体" w:hAnsi="宋体" w:eastAsia="宋体" w:cs="宋体"/>
                <w:sz w:val="19"/>
                <w:szCs w:val="19"/>
              </w:rPr>
            </w:pPr>
            <w:r>
              <w:rPr>
                <w:rFonts w:hint="eastAsia" w:ascii="宋体" w:hAnsi="宋体" w:eastAsia="宋体" w:cs="宋体"/>
                <w:spacing w:val="-1"/>
                <w:sz w:val="19"/>
                <w:szCs w:val="19"/>
              </w:rPr>
              <w:t>总分</w:t>
            </w:r>
          </w:p>
        </w:tc>
        <w:tc>
          <w:tcPr>
            <w:tcW w:w="716" w:type="dxa"/>
            <w:noWrap/>
          </w:tcPr>
          <w:p>
            <w:pPr>
              <w:spacing w:before="75" w:line="195" w:lineRule="auto"/>
              <w:ind w:left="230"/>
              <w:rPr>
                <w:rFonts w:ascii="宋体" w:hAnsi="宋体" w:eastAsia="宋体" w:cs="宋体"/>
                <w:sz w:val="19"/>
                <w:szCs w:val="19"/>
              </w:rPr>
            </w:pPr>
            <w:r>
              <w:rPr>
                <w:rFonts w:hint="eastAsia" w:ascii="宋体" w:hAnsi="宋体" w:eastAsia="宋体" w:cs="宋体"/>
                <w:spacing w:val="-4"/>
                <w:sz w:val="19"/>
                <w:szCs w:val="19"/>
              </w:rPr>
              <w:t>100</w:t>
            </w:r>
          </w:p>
        </w:tc>
        <w:tc>
          <w:tcPr>
            <w:tcW w:w="873" w:type="dxa"/>
            <w:noWrap/>
          </w:tcPr>
          <w:p>
            <w:pPr>
              <w:spacing w:before="75" w:line="195" w:lineRule="auto"/>
              <w:jc w:val="center"/>
              <w:rPr>
                <w:rFonts w:ascii="宋体" w:hAnsi="宋体" w:eastAsia="宋体" w:cs="宋体"/>
                <w:spacing w:val="-4"/>
                <w:sz w:val="19"/>
                <w:szCs w:val="19"/>
              </w:rPr>
            </w:pPr>
            <w:r>
              <w:rPr>
                <w:rFonts w:hint="eastAsia" w:ascii="宋体" w:hAnsi="宋体" w:eastAsia="宋体" w:cs="宋体"/>
                <w:spacing w:val="-4"/>
                <w:sz w:val="19"/>
                <w:szCs w:val="19"/>
              </w:rPr>
              <w:t>98</w:t>
            </w:r>
          </w:p>
        </w:tc>
        <w:tc>
          <w:tcPr>
            <w:tcW w:w="1450" w:type="dxa"/>
            <w:noWrap/>
          </w:tcPr>
          <w:p>
            <w:pPr>
              <w:pStyle w:val="8"/>
              <w:rPr>
                <w:rFonts w:ascii="宋体" w:hAnsi="宋体" w:eastAsia="宋体" w:cs="宋体"/>
              </w:rPr>
            </w:pPr>
          </w:p>
        </w:tc>
      </w:tr>
    </w:tbl>
    <w:p>
      <w:pPr>
        <w:jc w:val="left"/>
        <w:rPr>
          <w:rFonts w:ascii="宋体" w:hAnsi="宋体" w:eastAsia="宋体" w:cs="宋体"/>
          <w:color w:val="000000"/>
          <w:sz w:val="23"/>
          <w:szCs w:val="23"/>
        </w:rPr>
      </w:pPr>
    </w:p>
    <w:p>
      <w:pPr>
        <w:jc w:val="left"/>
        <w:rPr>
          <w:rFonts w:ascii="宋体" w:hAnsi="宋体" w:eastAsia="宋体" w:cs="宋体"/>
          <w:color w:val="000000"/>
          <w:sz w:val="23"/>
          <w:szCs w:val="23"/>
        </w:rPr>
      </w:pPr>
    </w:p>
    <w:p>
      <w:pPr>
        <w:jc w:val="left"/>
        <w:rPr>
          <w:sz w:val="28"/>
          <w:szCs w:val="28"/>
        </w:rPr>
        <w:sectPr>
          <w:footerReference r:id="rId4" w:type="default"/>
          <w:pgSz w:w="11900" w:h="16833"/>
          <w:pgMar w:top="1429" w:right="1106" w:bottom="1253" w:left="1111" w:header="0" w:footer="964" w:gutter="0"/>
          <w:cols w:space="0" w:num="1"/>
        </w:sectPr>
      </w:pPr>
      <w:r>
        <w:rPr>
          <w:rFonts w:hint="eastAsia" w:ascii="宋体" w:hAnsi="宋体" w:eastAsia="宋体" w:cs="宋体"/>
          <w:color w:val="000000"/>
          <w:sz w:val="23"/>
          <w:szCs w:val="23"/>
        </w:rPr>
        <w:t>单位负责人签字：         填表人：易国庆   联系电话：8830030    填报日期：2024.05.16</w:t>
      </w:r>
    </w:p>
    <w:p>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eastAsia="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项目资金（万元）</w:t>
            </w:r>
          </w:p>
        </w:tc>
        <w:tc>
          <w:tcPr>
            <w:tcW w:w="2034" w:type="dxa"/>
            <w:gridSpan w:val="2"/>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44"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81"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673" w:type="dxa"/>
            <w:noWrap w:val="0"/>
            <w:vAlign w:val="top"/>
          </w:tcPr>
          <w:p>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422"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4522" w:type="dxa"/>
            <w:gridSpan w:val="4"/>
            <w:noWrap w:val="0"/>
            <w:vAlign w:val="top"/>
          </w:tcPr>
          <w:p>
            <w:pPr>
              <w:widowControl w:val="0"/>
              <w:jc w:val="both"/>
              <w:rPr>
                <w:rFonts w:hint="eastAsia" w:ascii="宋体" w:hAnsi="宋体" w:eastAsia="宋体" w:cs="宋体"/>
                <w:kern w:val="2"/>
                <w:sz w:val="21"/>
                <w:szCs w:val="21"/>
                <w:lang w:val="en-US" w:eastAsia="en-US" w:bidi="ar-SA"/>
              </w:rPr>
            </w:pPr>
          </w:p>
        </w:tc>
        <w:tc>
          <w:tcPr>
            <w:tcW w:w="4249" w:type="dxa"/>
            <w:gridSpan w:val="4"/>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pPr>
              <w:widowControl w:val="0"/>
              <w:spacing w:line="366" w:lineRule="auto"/>
              <w:jc w:val="both"/>
              <w:rPr>
                <w:rFonts w:hint="eastAsia" w:ascii="宋体" w:hAnsi="宋体" w:eastAsia="宋体" w:cs="宋体"/>
                <w:kern w:val="2"/>
                <w:sz w:val="21"/>
                <w:szCs w:val="21"/>
                <w:lang w:val="en-US" w:eastAsia="en-US" w:bidi="ar-SA"/>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bottom w:val="nil"/>
            </w:tcBorders>
            <w:noWrap w:val="0"/>
            <w:vAlign w:val="top"/>
          </w:tcPr>
          <w:p>
            <w:pPr>
              <w:widowControl w:val="0"/>
              <w:spacing w:line="256" w:lineRule="auto"/>
              <w:jc w:val="both"/>
              <w:rPr>
                <w:rFonts w:hint="eastAsia" w:ascii="宋体" w:hAnsi="宋体" w:eastAsia="宋体" w:cs="宋体"/>
                <w:kern w:val="2"/>
                <w:sz w:val="21"/>
                <w:szCs w:val="21"/>
                <w:lang w:val="en-US" w:eastAsia="en-US" w:bidi="ar-SA"/>
              </w:rPr>
            </w:pPr>
          </w:p>
          <w:p>
            <w:pPr>
              <w:widowControl w:val="0"/>
              <w:spacing w:line="256" w:lineRule="auto"/>
              <w:jc w:val="both"/>
              <w:rPr>
                <w:rFonts w:hint="eastAsia" w:ascii="宋体" w:hAnsi="宋体" w:eastAsia="宋体" w:cs="宋体"/>
                <w:kern w:val="2"/>
                <w:sz w:val="21"/>
                <w:szCs w:val="21"/>
                <w:lang w:val="en-US" w:eastAsia="en-US" w:bidi="ar-SA"/>
              </w:rPr>
            </w:pPr>
          </w:p>
          <w:p>
            <w:pPr>
              <w:widowControl w:val="0"/>
              <w:spacing w:line="256" w:lineRule="auto"/>
              <w:jc w:val="both"/>
              <w:rPr>
                <w:rFonts w:hint="eastAsia" w:ascii="宋体" w:hAnsi="宋体" w:eastAsia="宋体" w:cs="宋体"/>
                <w:kern w:val="2"/>
                <w:sz w:val="21"/>
                <w:szCs w:val="21"/>
                <w:lang w:val="en-US" w:eastAsia="en-US" w:bidi="ar-SA"/>
              </w:rPr>
            </w:pPr>
          </w:p>
          <w:p>
            <w:pPr>
              <w:widowControl w:val="0"/>
              <w:spacing w:line="257" w:lineRule="auto"/>
              <w:jc w:val="both"/>
              <w:rPr>
                <w:rFonts w:hint="eastAsia" w:ascii="宋体" w:hAnsi="宋体" w:eastAsia="宋体" w:cs="宋体"/>
                <w:kern w:val="2"/>
                <w:sz w:val="21"/>
                <w:szCs w:val="21"/>
                <w:lang w:val="en-US" w:eastAsia="en-US" w:bidi="ar-SA"/>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pPr>
              <w:spacing w:before="126" w:line="239" w:lineRule="auto"/>
              <w:ind w:left="379" w:right="175" w:hanging="192"/>
              <w:rPr>
                <w:rFonts w:hint="eastAsia" w:ascii="宋体" w:hAnsi="宋体" w:eastAsia="宋体" w:cs="宋体"/>
                <w:sz w:val="19"/>
                <w:szCs w:val="19"/>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pPr>
              <w:spacing w:before="126" w:line="239" w:lineRule="auto"/>
              <w:ind w:left="379" w:right="175" w:hanging="196"/>
              <w:rPr>
                <w:rFonts w:hint="eastAsia" w:ascii="宋体" w:hAnsi="宋体" w:eastAsia="宋体" w:cs="宋体"/>
                <w:sz w:val="19"/>
                <w:szCs w:val="19"/>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pPr>
              <w:spacing w:before="126" w:line="239" w:lineRule="auto"/>
              <w:ind w:left="379" w:right="175" w:hanging="178"/>
              <w:rPr>
                <w:rFonts w:hint="eastAsia" w:ascii="宋体" w:hAnsi="宋体" w:eastAsia="宋体" w:cs="宋体"/>
                <w:sz w:val="19"/>
                <w:szCs w:val="19"/>
              </w:rPr>
            </w:pPr>
          </w:p>
        </w:tc>
        <w:tc>
          <w:tcPr>
            <w:tcW w:w="1244"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pPr>
              <w:spacing w:before="127" w:line="239" w:lineRule="auto"/>
              <w:ind w:left="379" w:right="175" w:hanging="192"/>
              <w:rPr>
                <w:rFonts w:hint="eastAsia" w:ascii="宋体" w:hAnsi="宋体" w:eastAsia="宋体" w:cs="宋体"/>
                <w:sz w:val="19"/>
                <w:szCs w:val="19"/>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left w:val="single" w:color="auto" w:sz="4" w:space="0"/>
              <w:bottom w:val="nil"/>
            </w:tcBorders>
            <w:noWrap w:val="0"/>
            <w:vAlign w:val="top"/>
          </w:tcPr>
          <w:p>
            <w:pPr>
              <w:widowControl w:val="0"/>
              <w:spacing w:line="315" w:lineRule="auto"/>
              <w:jc w:val="both"/>
              <w:rPr>
                <w:rFonts w:hint="eastAsia" w:ascii="宋体" w:hAnsi="宋体" w:eastAsia="宋体" w:cs="宋体"/>
                <w:kern w:val="2"/>
                <w:sz w:val="21"/>
                <w:szCs w:val="21"/>
                <w:lang w:val="en-US" w:eastAsia="en-US" w:bidi="ar-SA"/>
              </w:rPr>
            </w:pPr>
          </w:p>
          <w:p>
            <w:pPr>
              <w:widowControl w:val="0"/>
              <w:spacing w:line="315" w:lineRule="auto"/>
              <w:jc w:val="both"/>
              <w:rPr>
                <w:rFonts w:hint="eastAsia" w:ascii="宋体" w:hAnsi="宋体" w:eastAsia="宋体" w:cs="宋体"/>
                <w:kern w:val="2"/>
                <w:sz w:val="21"/>
                <w:szCs w:val="21"/>
                <w:lang w:val="en-US" w:eastAsia="en-US" w:bidi="ar-SA"/>
              </w:rPr>
            </w:pPr>
          </w:p>
          <w:p>
            <w:pPr>
              <w:widowControl w:val="0"/>
              <w:spacing w:line="315" w:lineRule="auto"/>
              <w:jc w:val="both"/>
              <w:rPr>
                <w:rFonts w:hint="eastAsia" w:ascii="宋体" w:hAnsi="宋体" w:eastAsia="宋体" w:cs="宋体"/>
                <w:kern w:val="2"/>
                <w:sz w:val="21"/>
                <w:szCs w:val="21"/>
                <w:lang w:val="en-US" w:eastAsia="en-US" w:bidi="ar-SA"/>
              </w:rPr>
            </w:pPr>
          </w:p>
          <w:p>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tcBorders>
              <w:bottom w:val="nil"/>
              <w:right w:val="single" w:color="auto" w:sz="4" w:space="0"/>
            </w:tcBorders>
            <w:noWrap w:val="0"/>
            <w:vAlign w:val="top"/>
          </w:tcPr>
          <w:p>
            <w:pPr>
              <w:spacing w:before="26" w:line="213" w:lineRule="auto"/>
              <w:jc w:val="center"/>
              <w:rPr>
                <w:rFonts w:hint="eastAsia" w:ascii="宋体" w:hAnsi="宋体" w:eastAsia="宋体" w:cs="宋体"/>
                <w:sz w:val="19"/>
                <w:szCs w:val="19"/>
                <w:lang w:eastAsia="zh-CN"/>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single" w:color="auto" w:sz="4" w:space="0"/>
              <w:right w:val="single" w:color="auto" w:sz="4" w:space="0"/>
            </w:tcBorders>
            <w:noWrap w:val="0"/>
            <w:vAlign w:val="top"/>
          </w:tcPr>
          <w:p>
            <w:pPr>
              <w:spacing w:before="26" w:line="213" w:lineRule="auto"/>
              <w:jc w:val="center"/>
              <w:rPr>
                <w:rFonts w:hint="eastAsia" w:ascii="宋体" w:hAnsi="宋体" w:eastAsia="宋体" w:cs="宋体"/>
                <w:sz w:val="19"/>
                <w:szCs w:val="19"/>
              </w:rPr>
            </w:pPr>
            <w:r>
              <w:rPr>
                <w:rFonts w:hint="eastAsia" w:ascii="宋体" w:hAnsi="宋体" w:eastAsia="宋体" w:cs="宋体"/>
                <w:sz w:val="19"/>
                <w:szCs w:val="19"/>
                <w:lang w:eastAsia="zh-CN"/>
              </w:rPr>
              <w:t>可持续影响指标</w:t>
            </w: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left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spacing w:val="-2"/>
                <w:kern w:val="2"/>
                <w:position w:val="1"/>
                <w:sz w:val="19"/>
                <w:szCs w:val="19"/>
                <w:lang w:val="en-US" w:eastAsia="en-US" w:bidi="ar-SA"/>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bottom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422" w:type="dxa"/>
            <w:noWrap w:val="0"/>
            <w:vAlign w:val="top"/>
          </w:tcPr>
          <w:p>
            <w:pPr>
              <w:widowControl w:val="0"/>
              <w:jc w:val="center"/>
              <w:rPr>
                <w:rFonts w:hint="eastAsia" w:ascii="宋体" w:hAnsi="宋体" w:eastAsia="宋体" w:cs="宋体"/>
                <w:kern w:val="2"/>
                <w:sz w:val="21"/>
                <w:szCs w:val="21"/>
                <w:lang w:val="en-US" w:eastAsia="en-US" w:bidi="ar-SA"/>
              </w:rPr>
            </w:pPr>
          </w:p>
        </w:tc>
      </w:tr>
    </w:tbl>
    <w:p>
      <w:pPr>
        <w:spacing w:line="217" w:lineRule="auto"/>
        <w:rPr>
          <w:rFonts w:ascii="Calibri" w:hAnsi="Calibri" w:eastAsia="宋体" w:cs="Times New Roman"/>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Times New Roman" w:hAnsi="Times New Roman" w:eastAsia="宋体" w:cs="Times New Roman"/>
          <w:spacing w:val="-4"/>
          <w:sz w:val="31"/>
          <w:szCs w:val="31"/>
          <w:lang w:val="en-US" w:eastAsia="zh-CN"/>
        </w:rPr>
        <w:t>4</w:t>
      </w: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jc w:val="center"/>
        <w:rPr>
          <w:rFonts w:ascii="方正小标宋简体" w:hAnsi="方正小标宋简体" w:eastAsia="方正小标宋简体" w:cs="方正小标宋简体"/>
          <w:color w:val="000000"/>
          <w:spacing w:val="2"/>
          <w:sz w:val="42"/>
          <w:szCs w:val="42"/>
        </w:rPr>
      </w:pPr>
      <w:r>
        <w:rPr>
          <w:rFonts w:hint="eastAsia" w:ascii="方正小标宋简体" w:hAnsi="方正小标宋简体" w:eastAsia="方正小标宋简体" w:cs="方正小标宋简体"/>
          <w:color w:val="000000"/>
          <w:spacing w:val="2"/>
          <w:sz w:val="42"/>
          <w:szCs w:val="42"/>
        </w:rPr>
        <w:t>2023年度岳阳市岳阳楼区自然资源局</w:t>
      </w:r>
    </w:p>
    <w:p>
      <w:pPr>
        <w:jc w:val="center"/>
        <w:rPr>
          <w:rFonts w:ascii="方正小标宋简体" w:hAnsi="方正小标宋简体" w:eastAsia="方正小标宋简体" w:cs="方正小标宋简体"/>
          <w:color w:val="000000"/>
          <w:spacing w:val="2"/>
          <w:sz w:val="42"/>
          <w:szCs w:val="42"/>
        </w:rPr>
      </w:pPr>
      <w:r>
        <w:rPr>
          <w:rFonts w:hint="eastAsia" w:ascii="方正小标宋简体" w:hAnsi="方正小标宋简体" w:eastAsia="方正小标宋简体" w:cs="方正小标宋简体"/>
          <w:color w:val="000000"/>
          <w:spacing w:val="2"/>
          <w:sz w:val="42"/>
          <w:szCs w:val="42"/>
        </w:rPr>
        <w:t>整体支出绩效自评报告</w:t>
      </w: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4" w:lineRule="auto"/>
        <w:rPr>
          <w:rFonts w:ascii="Arial"/>
        </w:rPr>
      </w:pPr>
    </w:p>
    <w:p>
      <w:pPr>
        <w:spacing w:line="244" w:lineRule="auto"/>
        <w:rPr>
          <w:rFonts w:ascii="Arial"/>
        </w:rPr>
      </w:pPr>
    </w:p>
    <w:p>
      <w:pPr>
        <w:pStyle w:val="2"/>
        <w:spacing w:before="100" w:line="221" w:lineRule="auto"/>
        <w:ind w:left="1902"/>
        <w:rPr>
          <w:lang w:eastAsia="zh-CN"/>
        </w:rPr>
      </w:pPr>
      <w:r>
        <w:rPr>
          <w:spacing w:val="-10"/>
          <w:lang w:eastAsia="zh-CN"/>
        </w:rPr>
        <w:t>部门（单位）名称</w:t>
      </w:r>
      <w:r>
        <w:rPr>
          <w:spacing w:val="4"/>
          <w:lang w:eastAsia="zh-CN"/>
        </w:rPr>
        <w:t>：</w:t>
      </w:r>
      <w:r>
        <w:rPr>
          <w:spacing w:val="4"/>
          <w:u w:val="single"/>
          <w:lang w:eastAsia="zh-CN"/>
        </w:rPr>
        <w:t>（</w:t>
      </w:r>
      <w:r>
        <w:rPr>
          <w:spacing w:val="-10"/>
          <w:u w:val="single"/>
          <w:lang w:eastAsia="zh-CN"/>
        </w:rPr>
        <w:t>盖章）</w:t>
      </w:r>
    </w:p>
    <w:p>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rPr>
        <w:t>2024</w:t>
      </w:r>
      <w:r>
        <w:rPr>
          <w:rFonts w:ascii="楷体" w:hAnsi="楷体" w:eastAsia="楷体" w:cs="楷体"/>
          <w:spacing w:val="-8"/>
          <w:sz w:val="31"/>
          <w:szCs w:val="31"/>
        </w:rPr>
        <w:t>年</w:t>
      </w:r>
      <w:r>
        <w:rPr>
          <w:rFonts w:hint="eastAsia" w:ascii="楷体" w:hAnsi="楷体" w:eastAsia="楷体" w:cs="楷体"/>
          <w:spacing w:val="-8"/>
          <w:sz w:val="31"/>
          <w:szCs w:val="31"/>
        </w:rPr>
        <w:t>5</w:t>
      </w:r>
      <w:r>
        <w:rPr>
          <w:rFonts w:ascii="楷体" w:hAnsi="楷体" w:eastAsia="楷体" w:cs="楷体"/>
          <w:spacing w:val="-8"/>
          <w:sz w:val="31"/>
          <w:szCs w:val="31"/>
        </w:rPr>
        <w:t>月</w:t>
      </w:r>
      <w:r>
        <w:rPr>
          <w:rFonts w:hint="eastAsia" w:ascii="楷体" w:hAnsi="楷体" w:eastAsia="楷体" w:cs="楷体"/>
          <w:spacing w:val="-8"/>
          <w:sz w:val="31"/>
          <w:szCs w:val="31"/>
        </w:rPr>
        <w:t>16</w:t>
      </w:r>
      <w:r>
        <w:rPr>
          <w:rFonts w:ascii="楷体" w:hAnsi="楷体" w:eastAsia="楷体" w:cs="楷体"/>
          <w:spacing w:val="-8"/>
          <w:sz w:val="31"/>
          <w:szCs w:val="31"/>
        </w:rPr>
        <w:t>日</w:t>
      </w:r>
    </w:p>
    <w:p>
      <w:pPr>
        <w:spacing w:line="335" w:lineRule="auto"/>
        <w:rPr>
          <w:rFonts w:ascii="Arial"/>
        </w:rPr>
      </w:pPr>
    </w:p>
    <w:p>
      <w:pPr>
        <w:pStyle w:val="2"/>
        <w:spacing w:before="102" w:line="224" w:lineRule="auto"/>
        <w:rPr>
          <w:lang w:eastAsia="zh-CN"/>
        </w:rPr>
      </w:pPr>
    </w:p>
    <w:p>
      <w:pPr>
        <w:spacing w:line="224" w:lineRule="auto"/>
        <w:sectPr>
          <w:footerReference r:id="rId6" w:type="default"/>
          <w:pgSz w:w="11900" w:h="16833"/>
          <w:pgMar w:top="1401" w:right="1583" w:bottom="1445" w:left="1618" w:header="0" w:footer="1170" w:gutter="0"/>
          <w:cols w:space="720" w:num="1"/>
        </w:sectPr>
      </w:pPr>
    </w:p>
    <w:p>
      <w:pPr>
        <w:spacing w:line="700" w:lineRule="exact"/>
        <w:jc w:val="center"/>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2023年度岳阳市岳阳楼区自然资源局</w:t>
      </w:r>
    </w:p>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pPr>
        <w:spacing w:line="283" w:lineRule="auto"/>
        <w:rPr>
          <w:rFonts w:ascii="Arial"/>
        </w:rPr>
      </w:pPr>
    </w:p>
    <w:p>
      <w:pPr>
        <w:rPr>
          <w:rFonts w:ascii="黑体" w:hAnsi="黑体" w:eastAsia="黑体" w:cs="黑体"/>
          <w:spacing w:val="5"/>
          <w:sz w:val="31"/>
          <w:szCs w:val="31"/>
        </w:rPr>
      </w:pPr>
      <w:r>
        <w:rPr>
          <w:rFonts w:ascii="黑体" w:hAnsi="黑体" w:eastAsia="黑体" w:cs="黑体"/>
          <w:spacing w:val="5"/>
          <w:sz w:val="31"/>
          <w:szCs w:val="31"/>
        </w:rPr>
        <w:t>一、</w:t>
      </w:r>
      <w:r>
        <w:rPr>
          <w:rFonts w:hint="eastAsia" w:ascii="黑体" w:hAnsi="黑体" w:eastAsia="黑体" w:cs="黑体"/>
          <w:spacing w:val="5"/>
          <w:sz w:val="31"/>
          <w:szCs w:val="31"/>
        </w:rPr>
        <w:t>单位</w:t>
      </w:r>
      <w:r>
        <w:rPr>
          <w:rFonts w:ascii="黑体" w:hAnsi="黑体" w:eastAsia="黑体" w:cs="黑体"/>
          <w:spacing w:val="5"/>
          <w:sz w:val="31"/>
          <w:szCs w:val="31"/>
        </w:rPr>
        <w:t>基本情况</w:t>
      </w:r>
    </w:p>
    <w:p>
      <w:pPr>
        <w:widowControl/>
        <w:spacing w:line="600" w:lineRule="exact"/>
        <w:ind w:firstLine="643" w:firstLineChars="200"/>
        <w:rPr>
          <w:rFonts w:ascii="仿宋" w:hAnsi="仿宋" w:eastAsia="仿宋" w:cs="仿宋_GB2312"/>
          <w:b/>
          <w:bCs/>
          <w:kern w:val="0"/>
          <w:sz w:val="32"/>
          <w:szCs w:val="32"/>
        </w:rPr>
      </w:pPr>
      <w:r>
        <w:rPr>
          <w:rFonts w:hint="eastAsia" w:ascii="仿宋" w:hAnsi="仿宋" w:eastAsia="仿宋" w:cs="仿宋_GB2312"/>
          <w:b/>
          <w:bCs/>
          <w:kern w:val="0"/>
          <w:sz w:val="32"/>
          <w:szCs w:val="32"/>
        </w:rPr>
        <w:t>（一）职能职责</w:t>
      </w:r>
    </w:p>
    <w:p>
      <w:pPr>
        <w:spacing w:after="1"/>
        <w:ind w:firstLine="628"/>
        <w:rPr>
          <w:rFonts w:hint="default" w:ascii="仿宋" w:hAnsi="仿宋" w:eastAsia="仿宋" w:cs="仿宋"/>
          <w:color w:val="000000"/>
          <w:sz w:val="32"/>
          <w:szCs w:val="32"/>
        </w:rPr>
      </w:pPr>
      <w:r>
        <w:rPr>
          <w:rFonts w:hint="eastAsia" w:ascii="仿宋" w:hAnsi="仿宋" w:eastAsia="仿宋" w:cs="仿宋"/>
          <w:color w:val="000000"/>
          <w:sz w:val="32"/>
          <w:szCs w:val="32"/>
        </w:rPr>
        <w:t xml:space="preserve">1、办公室（财务股）。负责机关日常运转工作；承担机关日常工作的协调和督查督办；承担安全保密、新闻宣传、机关财务等机关日常运转工作；承担政工人事，绩效考核等工作；负责信息收报、宣传报道等工作；牵头组织人大建议、政协提案办理；承担信访、政务公开、综治维稳等工作。负责承担自然资源和规划部门规费征管和专项资金、基金的管理工作；拟定有关财务、资产管理的规定；负责部门预决算编制、政府采购、回厗集中支付、内部审计工作；管理基本建设及重大专项投资、重大装备；承担财政和社会资金的结构优化和监测工作，拟定合理利用社会资金的政策措施，参与提出重大备选项目。 </w:t>
      </w:r>
    </w:p>
    <w:p>
      <w:pPr>
        <w:spacing w:after="1"/>
        <w:ind w:firstLine="628"/>
        <w:rPr>
          <w:rFonts w:hint="default" w:ascii="仿宋" w:hAnsi="仿宋" w:eastAsia="仿宋" w:cs="仿宋"/>
          <w:color w:val="000000"/>
          <w:sz w:val="32"/>
          <w:szCs w:val="32"/>
        </w:rPr>
      </w:pPr>
      <w:r>
        <w:rPr>
          <w:rFonts w:hint="eastAsia" w:ascii="仿宋" w:hAnsi="仿宋" w:eastAsia="仿宋" w:cs="仿宋"/>
          <w:color w:val="000000"/>
          <w:sz w:val="32"/>
          <w:szCs w:val="32"/>
        </w:rPr>
        <w:t xml:space="preserve">2、政策法规股（调查确权登记股）。负责地理信息测绘，土地监测工作；负责组织自然资源和规划领域违法案件会审会议；负责重大行政执法决定的法制审核工作；组织开展法治宣传教育；承担行政复议答 、听证工作；归口管理行政应诉和公平竟争审查工作；推进依 行政工作；指导监督行政执法工作；土地和矿产卫片执法、监管。负责自然资源统一确权登记工作 制定各类自然资源和不动产统一确权登记、权籍调查、测绘、信息、争议调处、成果应用等制度。指导监督全区自然资源和不动产确权登记工作；负责自然资源调查监测评价。定期组织实施自然资源基础调查、变更调查、专项调查、动态监测和分析评价；开展全区水、森林、草地湿地资源和地理国情等专项调查监测评价工作；负责实施全区基础测绘和测绘行业管理 负责监督管理地理信息安全、测绘成果质量和测绘活动 负责全区地图管理、地理信息公共服务工作。负责全区测量标志保护 承担地理空间数据的汇集整合、提供使用和共享工作。负责全区航天航空遥感影像数据的同意获取、处理提供。 </w:t>
      </w:r>
    </w:p>
    <w:p>
      <w:pPr>
        <w:spacing w:after="1"/>
        <w:ind w:firstLine="628"/>
        <w:rPr>
          <w:rFonts w:hint="default" w:ascii="仿宋" w:hAnsi="仿宋" w:eastAsia="仿宋" w:cs="仿宋"/>
          <w:color w:val="000000"/>
          <w:sz w:val="32"/>
          <w:szCs w:val="32"/>
        </w:rPr>
      </w:pPr>
      <w:r>
        <w:rPr>
          <w:rFonts w:hint="eastAsia" w:ascii="仿宋" w:hAnsi="仿宋" w:eastAsia="仿宋" w:cs="仿宋"/>
          <w:color w:val="000000"/>
          <w:sz w:val="32"/>
          <w:szCs w:val="32"/>
        </w:rPr>
        <w:t xml:space="preserve">3、用途管制股（开发利用股、耕地保护股）。承担建设项目用地预审；承担审查、核发有用地预审权的建设项目用地预审意见和选址意见书、建设用地规划许可证；承担报国务院、省政府、市政府审批的各类土地用途转用、征收、征用的审核、报批工作；负责土地使用权收回 负责行政审批，土地征收，农用地转用，用地预审，临时用地审批，征地拆迁实施。执行全民所有自然资源资产管理政策和统计制度；负责自然资源资产价值评估和资产核算工作；承办全民所有自然资源资产划拨、出让、租赁、作价出 的评估和方案实施；草拟国有划拨决定书、国有建设用地使用出让合同；承办土地转让、改变土地利用条件具体工作；承办自然资源土地储备和供应计划编制；承办自然资源市场监督管理和动态监测，负责土地 市场信用体系；承办闲置土地的认定工作；参与建立政府公示自然资源价格体系，参与自然资源 级价格评估，参与组织基准地更新；开展自然资源节约集约利用；负责耕地数量、耕地质量保护工作，组织实施辖区耕地保护责任目标考核和永久基本。农田特殊保护；负责耕地占补平衡管理，落实占用耕地补偿制度，监督占用耕地补偿制度执行情况。 </w:t>
      </w:r>
    </w:p>
    <w:p>
      <w:pPr>
        <w:spacing w:after="1"/>
        <w:ind w:firstLine="628"/>
        <w:rPr>
          <w:rFonts w:hint="default" w:ascii="仿宋" w:hAnsi="仿宋" w:eastAsia="仿宋" w:cs="仿宋"/>
          <w:color w:val="000000"/>
          <w:sz w:val="32"/>
          <w:szCs w:val="32"/>
        </w:rPr>
      </w:pPr>
      <w:r>
        <w:rPr>
          <w:rFonts w:hint="eastAsia" w:ascii="仿宋" w:hAnsi="仿宋" w:eastAsia="仿宋" w:cs="仿宋"/>
          <w:color w:val="000000"/>
          <w:sz w:val="32"/>
          <w:szCs w:val="32"/>
        </w:rPr>
        <w:t xml:space="preserve">4、工程规划管理股（生态修复股、地质灾害和矿产资源管理股）负责牵头组织岳阳楼区范围内村庄规划的编制及技术审查；负责协助协调城市规划在我区的项目审查审批等业务工作；协助协调城市规划在我区除市工程外的市级项目审查审批等业务；负责协助岳阳楼区范围区级乡、村、社区、学校、基层医疗机构、社区养老机构等公益性规划建设项目的建设用地和工程及乡村规划许可初审；负责建设工程规划审批档案的形成和移交；负责组织用地核验核查和规划条件核实工作。负责 与编制国土空间生态修复规划，国土空间综合整治，土地整理复垦等工作；参与建立生态保护补偿制度，执行合理利用社会资金进行生态修复的政策措施，并提出区级备选项目。负责组织地质灾害防治规划的编制、年度防治方案；组织协调地质灾害调查评价；承担地质灾害的预防、预报，监督地质灾害治理工作，监督管理地下水过量开采及引发的地面沉降等地质问题；拟定矿产资源政策和规划并组织实施，监督指导矿产资源合理利用和保护；承担矿产资源储量备案、登记、统计和信息发布及压覆矿产资源的管理、矿产储备工作；实施矿山储量动态管理，建立矿产资源安全监测预警体系；监督地质资料汇交、保管和利用，监督管理古生物化石；组织指导全区绿色矿山建设；负责全区矿业权出让收益评估及管理。 </w:t>
      </w:r>
    </w:p>
    <w:p>
      <w:pPr>
        <w:spacing w:after="1"/>
        <w:ind w:firstLine="628"/>
        <w:rPr>
          <w:rFonts w:hint="eastAsia" w:ascii="仿宋" w:hAnsi="仿宋" w:eastAsia="仿宋" w:cs="仿宋"/>
          <w:color w:val="000000"/>
          <w:sz w:val="32"/>
          <w:szCs w:val="32"/>
        </w:rPr>
      </w:pPr>
      <w:r>
        <w:rPr>
          <w:rFonts w:hint="eastAsia" w:ascii="仿宋" w:hAnsi="仿宋" w:eastAsia="仿宋" w:cs="仿宋"/>
          <w:color w:val="000000"/>
          <w:sz w:val="32"/>
          <w:szCs w:val="32"/>
        </w:rPr>
        <w:t>5、自然资源所：负责辖区内协助相关股室部门进行国土空间综合整治、生态修复工程项目实施、辖区内城乡规划编制、各类项目选址与用地预审、规划条件核实和用地核验核查、拆迁安置等工作提供服务。</w:t>
      </w:r>
    </w:p>
    <w:p>
      <w:pPr>
        <w:spacing w:after="1"/>
        <w:ind w:firstLine="628"/>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（二）机构设置</w:t>
      </w:r>
    </w:p>
    <w:p>
      <w:pPr>
        <w:spacing w:after="1"/>
        <w:ind w:firstLine="628"/>
        <w:rPr>
          <w:rFonts w:hint="eastAsia" w:ascii="仿宋" w:hAnsi="仿宋" w:eastAsia="仿宋" w:cs="仿宋"/>
          <w:color w:val="000000"/>
          <w:sz w:val="32"/>
          <w:szCs w:val="32"/>
        </w:rPr>
      </w:pPr>
      <w:r>
        <w:rPr>
          <w:rFonts w:hint="eastAsia" w:ascii="仿宋" w:hAnsi="仿宋" w:eastAsia="仿宋" w:cs="仿宋"/>
          <w:color w:val="000000"/>
          <w:sz w:val="32"/>
          <w:szCs w:val="32"/>
        </w:rPr>
        <w:t>1、内设机构设置：办公室（财务股）、政策法规股（调查确权登记股）、用途管制股（开发利用股、耕地保护股）、工程规划管理股（生态修复股、地质灾害和矿产资源管理股）、区自然资源局设下列所属派出机构：梅溪自然资源所、郭镇自然资源所、城区自然资源所。</w:t>
      </w:r>
    </w:p>
    <w:p>
      <w:pPr>
        <w:spacing w:after="1"/>
        <w:ind w:firstLine="628"/>
        <w:rPr>
          <w:rFonts w:hint="eastAsia" w:ascii="仿宋" w:hAnsi="仿宋" w:eastAsia="仿宋" w:cs="仿宋"/>
          <w:color w:val="000000"/>
          <w:sz w:val="32"/>
          <w:szCs w:val="32"/>
        </w:rPr>
      </w:pPr>
      <w:r>
        <w:rPr>
          <w:rFonts w:hint="eastAsia" w:ascii="仿宋" w:hAnsi="仿宋" w:eastAsia="仿宋" w:cs="仿宋"/>
          <w:color w:val="000000"/>
          <w:sz w:val="32"/>
          <w:szCs w:val="32"/>
        </w:rPr>
        <w:t>2、本部门现有干部职工19人，其中参照公务员管理编制人数19人。</w:t>
      </w:r>
    </w:p>
    <w:p>
      <w:pPr>
        <w:spacing w:after="1"/>
        <w:ind w:firstLine="628"/>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w:t>
      </w:r>
      <w:bookmarkStart w:id="0" w:name="_Hlk113550911"/>
      <w:r>
        <w:rPr>
          <w:rFonts w:hint="eastAsia" w:ascii="仿宋" w:hAnsi="仿宋" w:eastAsia="仿宋" w:cs="仿宋"/>
          <w:b/>
          <w:bCs/>
          <w:color w:val="000000"/>
          <w:sz w:val="32"/>
          <w:szCs w:val="32"/>
        </w:rPr>
        <w:t>预算单位构成</w:t>
      </w:r>
      <w:bookmarkEnd w:id="0"/>
    </w:p>
    <w:p>
      <w:pPr>
        <w:spacing w:after="1"/>
        <w:ind w:firstLine="628"/>
        <w:rPr>
          <w:rFonts w:hint="eastAsia" w:ascii="仿宋" w:hAnsi="仿宋" w:eastAsia="仿宋" w:cs="仿宋"/>
          <w:color w:val="000000"/>
          <w:sz w:val="32"/>
          <w:szCs w:val="32"/>
        </w:rPr>
      </w:pPr>
      <w:r>
        <w:rPr>
          <w:rFonts w:hint="eastAsia" w:ascii="仿宋" w:hAnsi="仿宋" w:eastAsia="仿宋" w:cs="仿宋"/>
          <w:color w:val="000000"/>
          <w:sz w:val="32"/>
          <w:szCs w:val="32"/>
        </w:rPr>
        <w:t>本单位下属单位1个：岳阳市岳阳楼区自然资源事务中心，本次2023年单位整体绩效自评范围仅包含本单位本级。</w:t>
      </w:r>
    </w:p>
    <w:p>
      <w:pPr>
        <w:spacing w:after="1"/>
        <w:ind w:firstLine="628"/>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二、一般公共预算支出情况</w:t>
      </w:r>
    </w:p>
    <w:p>
      <w:pPr>
        <w:spacing w:after="1"/>
        <w:ind w:firstLine="628"/>
        <w:rPr>
          <w:rFonts w:hint="eastAsia" w:ascii="仿宋" w:hAnsi="仿宋" w:eastAsia="仿宋" w:cs="仿宋"/>
          <w:color w:val="000000"/>
          <w:sz w:val="32"/>
          <w:szCs w:val="32"/>
        </w:rPr>
      </w:pPr>
      <w:r>
        <w:rPr>
          <w:rFonts w:hint="eastAsia" w:ascii="仿宋" w:hAnsi="仿宋" w:eastAsia="仿宋" w:cs="仿宋"/>
          <w:color w:val="000000"/>
          <w:sz w:val="32"/>
          <w:szCs w:val="32"/>
        </w:rPr>
        <w:t>（一）基本支出情况：基本支出332.59万元，其中人员支出229.31万元，公用支出33.28万元。</w:t>
      </w:r>
    </w:p>
    <w:p>
      <w:pPr>
        <w:spacing w:after="1"/>
        <w:ind w:firstLine="628"/>
        <w:rPr>
          <w:rFonts w:hint="eastAsia" w:ascii="仿宋" w:hAnsi="仿宋" w:eastAsia="仿宋" w:cs="仿宋"/>
          <w:color w:val="000000"/>
          <w:sz w:val="32"/>
          <w:szCs w:val="32"/>
        </w:rPr>
      </w:pPr>
      <w:r>
        <w:rPr>
          <w:rFonts w:hint="eastAsia" w:ascii="仿宋" w:hAnsi="仿宋" w:eastAsia="仿宋" w:cs="仿宋"/>
          <w:color w:val="000000"/>
          <w:sz w:val="32"/>
          <w:szCs w:val="32"/>
        </w:rPr>
        <w:t>（二）项目支出情况：项目支出357.52万元。</w:t>
      </w:r>
    </w:p>
    <w:p>
      <w:pPr>
        <w:spacing w:after="1"/>
        <w:ind w:firstLine="628"/>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三、政府性基金预算支出情况（无）</w:t>
      </w:r>
    </w:p>
    <w:p>
      <w:pPr>
        <w:spacing w:after="1"/>
        <w:ind w:firstLine="628"/>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四、国有资本经营预算支出情况（无）</w:t>
      </w:r>
    </w:p>
    <w:p>
      <w:pPr>
        <w:spacing w:after="1"/>
        <w:ind w:firstLine="628"/>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五、社会保险基金预算支出情况（无）</w:t>
      </w:r>
    </w:p>
    <w:p>
      <w:pPr>
        <w:spacing w:after="1"/>
        <w:ind w:firstLine="628"/>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六、单位整体支出绩效情况</w:t>
      </w:r>
    </w:p>
    <w:p>
      <w:pPr>
        <w:spacing w:after="1"/>
        <w:ind w:firstLine="628"/>
        <w:rPr>
          <w:rFonts w:hint="eastAsia" w:ascii="仿宋" w:hAnsi="仿宋" w:eastAsia="仿宋" w:cs="仿宋"/>
          <w:color w:val="000000"/>
          <w:sz w:val="32"/>
          <w:szCs w:val="32"/>
        </w:rPr>
      </w:pPr>
      <w:r>
        <w:rPr>
          <w:rFonts w:hint="eastAsia" w:ascii="仿宋" w:hAnsi="仿宋" w:eastAsia="仿宋" w:cs="仿宋"/>
          <w:color w:val="000000"/>
          <w:sz w:val="32"/>
          <w:szCs w:val="32"/>
        </w:rPr>
        <w:t>1、本单位整体支出绩效目标完成情况：一般公共预算支出6</w:t>
      </w:r>
      <w:r>
        <w:rPr>
          <w:rFonts w:hint="eastAsia" w:ascii="仿宋" w:hAnsi="仿宋" w:eastAsia="仿宋" w:cs="仿宋"/>
          <w:color w:val="000000"/>
          <w:sz w:val="32"/>
          <w:szCs w:val="32"/>
          <w:lang w:val="en-US" w:eastAsia="zh-CN"/>
        </w:rPr>
        <w:t>89</w:t>
      </w:r>
      <w:r>
        <w:rPr>
          <w:rFonts w:hint="eastAsia" w:ascii="仿宋" w:hAnsi="仿宋" w:eastAsia="仿宋" w:cs="仿宋"/>
          <w:color w:val="000000"/>
          <w:sz w:val="32"/>
          <w:szCs w:val="32"/>
        </w:rPr>
        <w:t>.11万元，政府性基金拨款0元，纳入专户管理的非税收入拨款0元，其他资金0元；</w:t>
      </w:r>
    </w:p>
    <w:p>
      <w:pPr>
        <w:spacing w:after="1"/>
        <w:ind w:firstLine="628"/>
        <w:rPr>
          <w:rFonts w:hint="eastAsia" w:ascii="仿宋" w:hAnsi="仿宋" w:eastAsia="仿宋" w:cs="仿宋"/>
          <w:color w:val="000000"/>
          <w:sz w:val="32"/>
          <w:szCs w:val="32"/>
        </w:rPr>
      </w:pPr>
      <w:r>
        <w:rPr>
          <w:rFonts w:hint="eastAsia" w:ascii="仿宋" w:hAnsi="仿宋" w:eastAsia="仿宋" w:cs="仿宋"/>
          <w:color w:val="000000"/>
          <w:sz w:val="32"/>
          <w:szCs w:val="32"/>
        </w:rPr>
        <w:t>2、实现产出和取得效益的情况：保持了2台公务用车的运行，审查项目工作质量情况达到了100%，机关承担的自然资源业务工作在规定时间内按要求完成率达到了84%，项目执行过程中有效节约经济成本，但由于事权下放，部分工作职能职权市里未跟区里达到统一意见，工作进行较困难。</w:t>
      </w:r>
    </w:p>
    <w:p>
      <w:pPr>
        <w:spacing w:after="1"/>
        <w:ind w:firstLine="628"/>
        <w:rPr>
          <w:rFonts w:hint="eastAsia" w:ascii="仿宋" w:hAnsi="仿宋" w:eastAsia="仿宋" w:cs="仿宋"/>
          <w:color w:val="000000"/>
          <w:sz w:val="32"/>
          <w:szCs w:val="32"/>
        </w:rPr>
      </w:pPr>
      <w:r>
        <w:rPr>
          <w:rFonts w:hint="eastAsia" w:ascii="仿宋" w:hAnsi="仿宋" w:eastAsia="仿宋" w:cs="仿宋"/>
          <w:color w:val="000000"/>
          <w:sz w:val="32"/>
          <w:szCs w:val="32"/>
        </w:rPr>
        <w:t>3、围绕单位职责、行业发展规划，以预算资金管理为主线，总结单位资产管理和开展业务情况：我单位在资产管理中严格按照文件规定，不管是资产资金的使用及采购流程及资产管理上都做到了完整统一的管理目标；我单位在自然资源业务工作中，其主要涵盖的自然资源管理、城镇规划等都严格按照事权下放的要求，恪尽职守。</w:t>
      </w:r>
    </w:p>
    <w:p>
      <w:pPr>
        <w:spacing w:after="1"/>
        <w:ind w:firstLine="628"/>
        <w:rPr>
          <w:rFonts w:hint="eastAsia" w:ascii="仿宋" w:hAnsi="仿宋" w:eastAsia="仿宋" w:cs="仿宋"/>
          <w:color w:val="000000"/>
          <w:sz w:val="32"/>
          <w:szCs w:val="32"/>
        </w:rPr>
      </w:pPr>
      <w:r>
        <w:rPr>
          <w:rFonts w:hint="eastAsia" w:ascii="仿宋" w:hAnsi="仿宋" w:eastAsia="仿宋" w:cs="仿宋"/>
          <w:color w:val="000000"/>
          <w:sz w:val="32"/>
          <w:szCs w:val="32"/>
        </w:rPr>
        <w:t>4、从运行成本、管理效率、履职效能、社会效应、可持续发展能力和服务对象满意度等方面，衡量单位整体及核心业务实施效果：我局承担的自然资源工作具有促进发展的效益，有效保障机关正常运转，有效保障楼区范围内自然资源保护工作，自然资源政策宣传到位，社会公众满意度较高。</w:t>
      </w:r>
    </w:p>
    <w:p>
      <w:pPr>
        <w:spacing w:after="1"/>
        <w:ind w:firstLine="628"/>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七、存在的问题及原因分析</w:t>
      </w:r>
    </w:p>
    <w:p>
      <w:pPr>
        <w:spacing w:after="1"/>
        <w:ind w:firstLine="628"/>
        <w:rPr>
          <w:rFonts w:hint="eastAsia" w:ascii="仿宋" w:hAnsi="仿宋" w:eastAsia="仿宋" w:cs="仿宋"/>
          <w:color w:val="000000"/>
          <w:sz w:val="32"/>
          <w:szCs w:val="32"/>
        </w:rPr>
      </w:pPr>
      <w:r>
        <w:rPr>
          <w:rFonts w:hint="eastAsia" w:ascii="仿宋" w:hAnsi="仿宋" w:eastAsia="仿宋" w:cs="仿宋"/>
          <w:color w:val="000000"/>
          <w:sz w:val="32"/>
          <w:szCs w:val="32"/>
        </w:rPr>
        <w:t>1、事权下放承接较困难，人员和经费均不足，工作安排难度大；</w:t>
      </w:r>
    </w:p>
    <w:p>
      <w:pPr>
        <w:spacing w:after="1"/>
        <w:ind w:firstLine="628"/>
        <w:rPr>
          <w:rFonts w:hint="eastAsia" w:ascii="仿宋" w:hAnsi="仿宋" w:eastAsia="仿宋" w:cs="仿宋"/>
          <w:color w:val="000000"/>
          <w:sz w:val="32"/>
          <w:szCs w:val="32"/>
        </w:rPr>
      </w:pPr>
      <w:r>
        <w:rPr>
          <w:rFonts w:hint="eastAsia" w:ascii="仿宋" w:hAnsi="仿宋" w:eastAsia="仿宋" w:cs="仿宋"/>
          <w:color w:val="000000"/>
          <w:sz w:val="32"/>
          <w:szCs w:val="32"/>
        </w:rPr>
        <w:t>2、部分项目为当年中央或省市区临时下达，任务重时间紧，专项资金无法及时下拨到位。</w:t>
      </w:r>
    </w:p>
    <w:p>
      <w:pPr>
        <w:spacing w:after="1"/>
        <w:ind w:firstLine="628"/>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八、下一步改进措施</w:t>
      </w:r>
    </w:p>
    <w:p>
      <w:pPr>
        <w:spacing w:after="1"/>
        <w:ind w:firstLine="628"/>
        <w:rPr>
          <w:rFonts w:hint="eastAsia" w:ascii="仿宋" w:hAnsi="仿宋" w:eastAsia="仿宋" w:cs="仿宋"/>
          <w:color w:val="000000"/>
          <w:sz w:val="32"/>
          <w:szCs w:val="32"/>
        </w:rPr>
      </w:pPr>
      <w:r>
        <w:rPr>
          <w:rFonts w:hint="eastAsia" w:ascii="仿宋" w:hAnsi="仿宋" w:eastAsia="仿宋" w:cs="仿宋"/>
          <w:color w:val="000000"/>
          <w:sz w:val="32"/>
          <w:szCs w:val="32"/>
        </w:rPr>
        <w:t>1、合理补充相关股室人员，财政加大对自然资源业务的经费投入；</w:t>
      </w:r>
    </w:p>
    <w:p>
      <w:pPr>
        <w:spacing w:after="1"/>
        <w:ind w:firstLine="628"/>
        <w:rPr>
          <w:rFonts w:hint="eastAsia" w:ascii="仿宋" w:hAnsi="仿宋" w:eastAsia="仿宋" w:cs="仿宋"/>
          <w:color w:val="000000"/>
          <w:sz w:val="32"/>
          <w:szCs w:val="32"/>
        </w:rPr>
      </w:pPr>
      <w:r>
        <w:rPr>
          <w:rFonts w:hint="eastAsia" w:ascii="仿宋" w:hAnsi="仿宋" w:eastAsia="仿宋" w:cs="仿宋"/>
          <w:color w:val="000000"/>
          <w:sz w:val="32"/>
          <w:szCs w:val="32"/>
        </w:rPr>
        <w:t>2、多向业务股室宣传专项资金及时、有效使用的重要性，熟悉内部控制相关制度和流程。</w:t>
      </w:r>
    </w:p>
    <w:p>
      <w:pPr>
        <w:spacing w:after="1"/>
        <w:ind w:firstLine="628"/>
        <w:rPr>
          <w:rFonts w:hint="eastAsia" w:ascii="仿宋" w:hAnsi="仿宋" w:eastAsia="仿宋" w:cs="仿宋"/>
          <w:color w:val="000000"/>
          <w:sz w:val="32"/>
          <w:szCs w:val="32"/>
        </w:rPr>
      </w:pPr>
      <w:r>
        <w:rPr>
          <w:rFonts w:hint="eastAsia" w:ascii="仿宋" w:hAnsi="仿宋" w:eastAsia="仿宋" w:cs="仿宋"/>
          <w:color w:val="000000"/>
          <w:sz w:val="32"/>
          <w:szCs w:val="32"/>
        </w:rPr>
        <w:t>3、对接好事权下放工作。转变观念，理清思路，积极汇报，争取上级的重视和支持，搞好事权属地改革。</w:t>
      </w:r>
    </w:p>
    <w:p>
      <w:pPr>
        <w:spacing w:after="1"/>
        <w:ind w:firstLine="628"/>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九、单位整体支出绩效自评结果拟应用和公开情况</w:t>
      </w:r>
    </w:p>
    <w:p>
      <w:pPr>
        <w:spacing w:after="1"/>
        <w:ind w:firstLine="628"/>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按要求在规定时间内公开</w:t>
      </w:r>
    </w:p>
    <w:p>
      <w:pPr>
        <w:spacing w:after="1"/>
        <w:ind w:firstLine="628"/>
        <w:rPr>
          <w:rFonts w:ascii="仿宋_GB2312" w:hAnsi="仿宋_GB2312" w:eastAsia="仿宋_GB2312" w:cs="仿宋_GB2312"/>
          <w:sz w:val="32"/>
          <w:szCs w:val="32"/>
          <w:lang w:eastAsia="zh-CN"/>
        </w:rPr>
      </w:pPr>
      <w:r>
        <w:rPr>
          <w:rFonts w:hint="eastAsia" w:ascii="仿宋" w:hAnsi="仿宋" w:eastAsia="仿宋" w:cs="仿宋"/>
          <w:b/>
          <w:bCs/>
          <w:color w:val="000000"/>
          <w:sz w:val="32"/>
          <w:szCs w:val="32"/>
        </w:rPr>
        <w:t>十、其他需要说明的情况（无）</w:t>
      </w:r>
      <w:bookmarkStart w:id="1" w:name="_GoBack"/>
      <w:bookmarkEnd w:id="1"/>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_x0000_s1030" o:spid="_x0000_s1030"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54isUOAIAAG8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EH6+p91T3AFFoWNnpreUwTpfJ2eQiQNikeBepUQafiAXOYenbZmTjo&#10;f55T1NP/xO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DniKxQ4AgAAbwQAAA4AAAAAAAAA&#10;AQAgAAAANQEAAGRycy9lMm9Eb2MueG1sUEsFBgAAAAAGAAYAWQEAAN8FAAAAAA==&#10;">
          <v:path/>
          <v:fill on="f" focussize="0,0"/>
          <v:stroke on="f" weight="0.5pt" joinstyle="miter"/>
          <v:imagedata o:title=""/>
          <o:lock v:ext="edit"/>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_x0000_s1034" o:spid="_x0000_s1034"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54isUOAIAAG8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EH6+p91T3AFFoWNnpreUwTpfJ2eQiQNikeBepUQafiAXOYenbZmTjo&#10;f55T1NP/xO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DniKxQ4AgAAbwQAAA4AAAAAAAAA&#10;AQAgAAAANQEAAGRycy9lMm9Eb2MueG1sUEsFBgAAAAAGAAYAWQEAAN8FAAAAAA==&#10;">
          <v:path/>
          <v:fill on="f" focussize="0,0"/>
          <v:stroke on="f" weight="0.5pt" joinstyle="miter"/>
          <v:imagedata o:title=""/>
          <o:lock v:ext="edit"/>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before="1" w:line="174" w:lineRule="auto"/>
      <w:ind w:left="574"/>
      <w:jc w:val="both"/>
      <w:rPr>
        <w:rFonts w:ascii="仿宋" w:hAnsi="仿宋" w:eastAsia="仿宋" w:cs="仿宋"/>
        <w:kern w:val="2"/>
        <w:sz w:val="28"/>
        <w:szCs w:val="28"/>
        <w:lang w:val="en-US" w:eastAsia="en-US" w:bidi="ar-SA"/>
      </w:rPr>
    </w:pPr>
    <w:r>
      <w:rPr>
        <w:rFonts w:ascii="仿宋" w:hAnsi="仿宋" w:eastAsia="仿宋" w:cs="仿宋"/>
        <w:kern w:val="2"/>
        <w:sz w:val="28"/>
        <w:szCs w:val="35"/>
        <w:lang w:val="en-US" w:eastAsia="en-US" w:bidi="ar-SA"/>
      </w:rPr>
      <w:pict>
        <v:shape id="_x0000_s1035" o:spid="_x0000_s1035"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path/>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jc w:val="right"/>
      <w:rPr>
        <w:sz w:val="28"/>
        <w:szCs w:val="28"/>
      </w:rPr>
    </w:pPr>
    <w:r>
      <w:rPr>
        <w:sz w:val="28"/>
      </w:rPr>
      <w:pict>
        <v:shape id="_x0000_s1027" o:spid="_x0000_s1027"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path/>
          <v:fill on="f" focussize="0,0"/>
          <v:stroke on="f" weight="0.5pt" joinstyle="miter"/>
          <v:imagedata o:title=""/>
          <o:lock v:ext="edit"/>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ExM2I1Y2E5MTg1NzJhN2FkNjlmNDg5OTI5OGY3ZTQifQ=="/>
    <w:docVar w:name="KSO_WPS_MARK_KEY" w:val="048f6f7a-5b08-4825-b3ac-8de45c2cbd6b"/>
  </w:docVars>
  <w:rsids>
    <w:rsidRoot w:val="76284CE1"/>
    <w:rsid w:val="00001CFA"/>
    <w:rsid w:val="00006FDE"/>
    <w:rsid w:val="00026A88"/>
    <w:rsid w:val="00064E8D"/>
    <w:rsid w:val="000928FD"/>
    <w:rsid w:val="000A031A"/>
    <w:rsid w:val="000A3765"/>
    <w:rsid w:val="000F2C74"/>
    <w:rsid w:val="00111877"/>
    <w:rsid w:val="0011651C"/>
    <w:rsid w:val="0011742B"/>
    <w:rsid w:val="00147340"/>
    <w:rsid w:val="00161DE6"/>
    <w:rsid w:val="00172D48"/>
    <w:rsid w:val="00176167"/>
    <w:rsid w:val="001965FB"/>
    <w:rsid w:val="001D40B3"/>
    <w:rsid w:val="001D7282"/>
    <w:rsid w:val="001F2BBF"/>
    <w:rsid w:val="002758AF"/>
    <w:rsid w:val="002D1627"/>
    <w:rsid w:val="003001B0"/>
    <w:rsid w:val="00323398"/>
    <w:rsid w:val="00337FEA"/>
    <w:rsid w:val="00355386"/>
    <w:rsid w:val="003763A3"/>
    <w:rsid w:val="0037728D"/>
    <w:rsid w:val="00386BE2"/>
    <w:rsid w:val="0039081D"/>
    <w:rsid w:val="003E1079"/>
    <w:rsid w:val="003E5E4D"/>
    <w:rsid w:val="003E640D"/>
    <w:rsid w:val="003F1907"/>
    <w:rsid w:val="003F4632"/>
    <w:rsid w:val="00407A3A"/>
    <w:rsid w:val="0043037E"/>
    <w:rsid w:val="00430E84"/>
    <w:rsid w:val="0049022E"/>
    <w:rsid w:val="004D0F2A"/>
    <w:rsid w:val="004D39B3"/>
    <w:rsid w:val="005735B3"/>
    <w:rsid w:val="00574C92"/>
    <w:rsid w:val="005A67EA"/>
    <w:rsid w:val="005D5631"/>
    <w:rsid w:val="005E2AD6"/>
    <w:rsid w:val="005E6ECB"/>
    <w:rsid w:val="00606B46"/>
    <w:rsid w:val="00623A5B"/>
    <w:rsid w:val="00665E2F"/>
    <w:rsid w:val="0067207B"/>
    <w:rsid w:val="006B5224"/>
    <w:rsid w:val="006C6FF8"/>
    <w:rsid w:val="006D1783"/>
    <w:rsid w:val="006F523B"/>
    <w:rsid w:val="0071687A"/>
    <w:rsid w:val="00734411"/>
    <w:rsid w:val="00744EA1"/>
    <w:rsid w:val="00776758"/>
    <w:rsid w:val="0078552F"/>
    <w:rsid w:val="007B7AAC"/>
    <w:rsid w:val="007E108D"/>
    <w:rsid w:val="007E61FB"/>
    <w:rsid w:val="00825CD5"/>
    <w:rsid w:val="008336D9"/>
    <w:rsid w:val="00833947"/>
    <w:rsid w:val="008940BF"/>
    <w:rsid w:val="008A3A99"/>
    <w:rsid w:val="008B2B56"/>
    <w:rsid w:val="008D347A"/>
    <w:rsid w:val="008E3B21"/>
    <w:rsid w:val="00905EBD"/>
    <w:rsid w:val="009145DB"/>
    <w:rsid w:val="009225CA"/>
    <w:rsid w:val="00924AC6"/>
    <w:rsid w:val="009419CA"/>
    <w:rsid w:val="00955854"/>
    <w:rsid w:val="00982700"/>
    <w:rsid w:val="009B4A04"/>
    <w:rsid w:val="009C49A2"/>
    <w:rsid w:val="009C6AB0"/>
    <w:rsid w:val="009C7330"/>
    <w:rsid w:val="00A00FBB"/>
    <w:rsid w:val="00A04D3F"/>
    <w:rsid w:val="00A36249"/>
    <w:rsid w:val="00A434BB"/>
    <w:rsid w:val="00A64FB5"/>
    <w:rsid w:val="00A91531"/>
    <w:rsid w:val="00A9541C"/>
    <w:rsid w:val="00AD6B0E"/>
    <w:rsid w:val="00B03C5A"/>
    <w:rsid w:val="00B0495C"/>
    <w:rsid w:val="00B41D83"/>
    <w:rsid w:val="00B61222"/>
    <w:rsid w:val="00B71A3B"/>
    <w:rsid w:val="00B75BBB"/>
    <w:rsid w:val="00B9750B"/>
    <w:rsid w:val="00BB414E"/>
    <w:rsid w:val="00BC057D"/>
    <w:rsid w:val="00BF0721"/>
    <w:rsid w:val="00C03795"/>
    <w:rsid w:val="00CE3756"/>
    <w:rsid w:val="00D002EC"/>
    <w:rsid w:val="00D15956"/>
    <w:rsid w:val="00D27A74"/>
    <w:rsid w:val="00D61779"/>
    <w:rsid w:val="00DA024A"/>
    <w:rsid w:val="00DF0479"/>
    <w:rsid w:val="00E12B08"/>
    <w:rsid w:val="00E831C8"/>
    <w:rsid w:val="00EB4E52"/>
    <w:rsid w:val="00EF287A"/>
    <w:rsid w:val="00EF34D9"/>
    <w:rsid w:val="00F34C9F"/>
    <w:rsid w:val="00F8120A"/>
    <w:rsid w:val="00FD6995"/>
    <w:rsid w:val="00FF08F0"/>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20615"/>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7D7915"/>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84166C"/>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45AE6"/>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86C1A"/>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78015B"/>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Cs w:val="21"/>
      <w:lang w:eastAsia="en-US"/>
    </w:rPr>
  </w:style>
  <w:style w:type="paragraph" w:styleId="9">
    <w:name w:val="List Paragraph"/>
    <w:basedOn w:val="1"/>
    <w:unhideWhenUsed/>
    <w:qFormat/>
    <w:uiPriority w:val="99"/>
    <w:pPr>
      <w:ind w:firstLine="420" w:firstLineChars="200"/>
    </w:pPr>
  </w:style>
  <w:style w:type="paragraph" w:customStyle="1" w:styleId="10">
    <w:name w:val="18"/>
    <w:basedOn w:val="1"/>
    <w:qFormat/>
    <w:uiPriority w:val="0"/>
    <w:rPr>
      <w:rFonts w:hint="eastAsia" w:ascii="等线" w:hAnsi="等线" w:eastAsia="等线"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0"/>
    <customShpInfo spid="_x0000_s1034"/>
    <customShpInfo spid="_x0000_s1035"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4945</Words>
  <Characters>5331</Characters>
  <Lines>39</Lines>
  <Paragraphs>11</Paragraphs>
  <TotalTime>1</TotalTime>
  <ScaleCrop>false</ScaleCrop>
  <LinksUpToDate>false</LinksUpToDate>
  <CharactersWithSpaces>5424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Freedom</cp:lastModifiedBy>
  <dcterms:modified xsi:type="dcterms:W3CDTF">2025-10-31T03:29:09Z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4B5FDDC259FB49A4A0EBEC5A4BB60567_11</vt:lpwstr>
  </property>
</Properties>
</file>