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rFonts w:eastAsia="宋体"/>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lang w:val="en-US" w:eastAsia="zh-CN"/>
              </w:rPr>
            </w:pPr>
            <w:r>
              <w:rPr>
                <w:rFonts w:hint="eastAsia" w:ascii="宋体" w:hAnsi="宋体" w:eastAsia="宋体" w:cs="宋体"/>
                <w:color w:val="000000"/>
                <w:spacing w:val="2"/>
                <w:sz w:val="24"/>
                <w:szCs w:val="24"/>
                <w:lang w:val="en-US" w:eastAsia="zh-CN"/>
              </w:rPr>
              <w:t>岳阳市岳阳楼区东风湖新区建设工作部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eastAsia="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232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eastAsia="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0.06</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jc w:val="center"/>
              <w:rPr>
                <w:rFonts w:hint="eastAsia" w:ascii="宋体" w:hAnsi="宋体" w:eastAsia="宋体" w:cs="宋体"/>
                <w:color w:val="000000"/>
                <w:sz w:val="21"/>
                <w:lang w:val="en-US" w:eastAsia="zh-CN"/>
              </w:rPr>
            </w:pP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0.06</w:t>
            </w: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4</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center"/>
          </w:tcPr>
          <w:p>
            <w:pPr>
              <w:jc w:val="center"/>
              <w:rPr>
                <w:rFonts w:hint="eastAsia" w:ascii="宋体" w:hAnsi="宋体" w:eastAsia="宋体" w:cs="宋体"/>
                <w:color w:val="000000"/>
                <w:sz w:val="21"/>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pPr>
              <w:jc w:val="center"/>
              <w:rPr>
                <w:rFonts w:hint="eastAsia" w:ascii="宋体" w:hAnsi="宋体" w:eastAsia="宋体" w:cs="宋体"/>
                <w:color w:val="000000"/>
                <w:sz w:val="21"/>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p>
        </w:tc>
        <w:tc>
          <w:tcPr>
            <w:tcW w:w="1815" w:type="dxa"/>
            <w:gridSpan w:val="2"/>
            <w:noWrap w:val="0"/>
            <w:vAlign w:val="center"/>
          </w:tcPr>
          <w:p>
            <w:pPr>
              <w:jc w:val="center"/>
              <w:rPr>
                <w:rFonts w:hint="eastAsia" w:ascii="宋体" w:hAnsi="宋体" w:eastAsia="宋体" w:cs="宋体"/>
                <w:color w:val="000000"/>
                <w:sz w:val="21"/>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pPr>
              <w:jc w:val="center"/>
              <w:rPr>
                <w:rFonts w:hint="eastAsia" w:ascii="宋体" w:hAnsi="宋体" w:eastAsia="宋体" w:cs="宋体"/>
                <w:color w:val="000000"/>
                <w:sz w:val="21"/>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36.89</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14.98</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w:t>
            </w:r>
          </w:p>
        </w:tc>
        <w:tc>
          <w:tcPr>
            <w:tcW w:w="1679" w:type="dxa"/>
            <w:gridSpan w:val="2"/>
            <w:noWrap w:val="0"/>
            <w:vAlign w:val="center"/>
          </w:tcPr>
          <w:p>
            <w:pPr>
              <w:jc w:val="center"/>
              <w:rPr>
                <w:rFonts w:hint="default"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0.15</w:t>
            </w:r>
          </w:p>
        </w:tc>
        <w:tc>
          <w:tcPr>
            <w:tcW w:w="2325" w:type="dxa"/>
            <w:gridSpan w:val="2"/>
            <w:noWrap w:val="0"/>
            <w:vAlign w:val="center"/>
          </w:tcPr>
          <w:p>
            <w:pPr>
              <w:jc w:val="center"/>
              <w:rPr>
                <w:rFonts w:hint="eastAsia" w:ascii="宋体" w:hAnsi="宋体" w:eastAsia="宋体" w:cs="宋体"/>
                <w:color w:val="000000"/>
                <w:sz w:val="21"/>
                <w:lang w:val="en-US" w:eastAsia="zh-CN"/>
              </w:rPr>
            </w:pP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87.75</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43</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eastAsia="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rPr>
                <w:rFonts w:hint="eastAsia" w:ascii="宋体" w:hAnsi="宋体" w:eastAsia="宋体" w:cs="宋体"/>
                <w:color w:val="000000"/>
                <w:sz w:val="21"/>
              </w:rPr>
            </w:pPr>
          </w:p>
        </w:tc>
        <w:tc>
          <w:tcPr>
            <w:tcW w:w="990" w:type="dxa"/>
            <w:noWrap w:val="0"/>
            <w:vAlign w:val="top"/>
          </w:tcPr>
          <w:p>
            <w:pPr>
              <w:rPr>
                <w:rFonts w:hint="eastAsia" w:ascii="宋体" w:hAnsi="宋体" w:eastAsia="宋体" w:cs="宋体"/>
                <w:color w:val="000000"/>
                <w:sz w:val="21"/>
              </w:rPr>
            </w:pPr>
          </w:p>
        </w:tc>
        <w:tc>
          <w:tcPr>
            <w:tcW w:w="1140" w:type="dxa"/>
            <w:noWrap w:val="0"/>
            <w:vAlign w:val="top"/>
          </w:tcPr>
          <w:p>
            <w:pPr>
              <w:rPr>
                <w:rFonts w:hint="eastAsia" w:ascii="宋体" w:hAnsi="宋体" w:eastAsia="宋体" w:cs="宋体"/>
                <w:color w:val="000000"/>
                <w:sz w:val="21"/>
              </w:rPr>
            </w:pPr>
          </w:p>
        </w:tc>
        <w:tc>
          <w:tcPr>
            <w:tcW w:w="1185" w:type="dxa"/>
            <w:noWrap w:val="0"/>
            <w:vAlign w:val="top"/>
          </w:tcPr>
          <w:p>
            <w:pPr>
              <w:rPr>
                <w:rFonts w:hint="eastAsia" w:ascii="宋体" w:hAnsi="宋体" w:eastAsia="宋体" w:cs="宋体"/>
                <w:color w:val="000000"/>
                <w:sz w:val="21"/>
              </w:rPr>
            </w:pPr>
          </w:p>
        </w:tc>
        <w:tc>
          <w:tcPr>
            <w:tcW w:w="810" w:type="dxa"/>
            <w:noWrap w:val="0"/>
            <w:vAlign w:val="top"/>
          </w:tcPr>
          <w:p>
            <w:pPr>
              <w:rPr>
                <w:rFonts w:hint="eastAsia" w:ascii="宋体" w:hAnsi="宋体" w:eastAsia="宋体" w:cs="宋体"/>
                <w:color w:val="000000"/>
                <w:sz w:val="21"/>
              </w:rPr>
            </w:pPr>
          </w:p>
        </w:tc>
        <w:tc>
          <w:tcPr>
            <w:tcW w:w="869" w:type="dxa"/>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sz w:val="21"/>
                <w:lang w:val="en-US" w:eastAsia="zh-CN"/>
              </w:rPr>
              <w:t>缩减日常经费开支</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 xml:space="preserve">   </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rPr>
          <w:rFonts w:eastAsia="宋体"/>
        </w:rPr>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pPr>
              <w:pStyle w:val="9"/>
              <w:spacing w:line="239" w:lineRule="exact"/>
              <w:jc w:val="center"/>
              <w:rPr>
                <w:rFonts w:hint="eastAsia" w:ascii="宋体" w:hAnsi="宋体" w:eastAsia="宋体" w:cs="宋体"/>
                <w:sz w:val="18"/>
                <w:szCs w:val="20"/>
                <w:lang w:eastAsia="zh-CN"/>
              </w:rPr>
            </w:pPr>
            <w:r>
              <w:rPr>
                <w:rFonts w:hint="eastAsia" w:ascii="宋体" w:hAnsi="宋体" w:eastAsia="宋体" w:cs="宋体"/>
                <w:color w:val="000000"/>
                <w:spacing w:val="2"/>
                <w:sz w:val="18"/>
                <w:szCs w:val="18"/>
                <w:lang w:val="en-US" w:eastAsia="zh-CN"/>
              </w:rPr>
              <w:t>岳阳市岳阳楼区东风湖新区建设工作部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9"/>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9"/>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109.48</w:t>
            </w:r>
          </w:p>
        </w:tc>
        <w:tc>
          <w:tcPr>
            <w:tcW w:w="1310" w:type="dxa"/>
            <w:noWrap w:val="0"/>
            <w:vAlign w:val="center"/>
          </w:tcPr>
          <w:p>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113.58</w:t>
            </w:r>
          </w:p>
        </w:tc>
        <w:tc>
          <w:tcPr>
            <w:tcW w:w="1268" w:type="dxa"/>
            <w:noWrap w:val="0"/>
            <w:vAlign w:val="center"/>
          </w:tcPr>
          <w:p>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113.58</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10</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100.00%</w:t>
            </w:r>
          </w:p>
        </w:tc>
        <w:tc>
          <w:tcPr>
            <w:tcW w:w="1450" w:type="dxa"/>
            <w:noWrap w:val="0"/>
            <w:vAlign w:val="center"/>
          </w:tcPr>
          <w:p>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108</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113.58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5.58</w:t>
            </w:r>
          </w:p>
        </w:tc>
        <w:tc>
          <w:tcPr>
            <w:tcW w:w="4307" w:type="dxa"/>
            <w:gridSpan w:val="4"/>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9"/>
              <w:spacing w:line="242" w:lineRule="auto"/>
              <w:rPr>
                <w:rFonts w:hint="eastAsia" w:ascii="宋体" w:hAnsi="宋体" w:eastAsia="宋体" w:cs="宋体"/>
              </w:rPr>
            </w:pPr>
          </w:p>
          <w:p>
            <w:pPr>
              <w:pStyle w:val="9"/>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default" w:ascii="宋体" w:hAnsi="宋体" w:eastAsia="宋体" w:cs="宋体"/>
                <w:sz w:val="19"/>
                <w:szCs w:val="19"/>
                <w:lang w:val="en-US" w:eastAsia="zh-CN"/>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692" w:type="dxa"/>
            <w:gridSpan w:val="4"/>
            <w:noWrap w:val="0"/>
            <w:vAlign w:val="center"/>
          </w:tcPr>
          <w:p>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0"/>
                <w:szCs w:val="20"/>
                <w:u w:val="none"/>
                <w:lang w:val="en-US" w:eastAsia="zh-CN" w:bidi="ar"/>
              </w:rPr>
              <w:t>1、协调推进吉家湖</w:t>
            </w:r>
            <w:bookmarkStart w:id="0" w:name="_GoBack"/>
            <w:bookmarkEnd w:id="0"/>
            <w:r>
              <w:rPr>
                <w:rFonts w:hint="eastAsia" w:ascii="宋体" w:hAnsi="宋体" w:eastAsia="宋体" w:cs="宋体"/>
                <w:i w:val="0"/>
                <w:iCs w:val="0"/>
                <w:color w:val="000000"/>
                <w:kern w:val="0"/>
                <w:sz w:val="20"/>
                <w:szCs w:val="20"/>
                <w:u w:val="none"/>
                <w:lang w:val="en-US" w:eastAsia="zh-CN" w:bidi="ar"/>
              </w:rPr>
              <w:t>、凉亭山水库“海绵城市”建设。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2、配合开展已内酰胺片区征收拆迁工作。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3、配合东风湖片区各项目工作推进。</w:t>
            </w:r>
          </w:p>
        </w:tc>
        <w:tc>
          <w:tcPr>
            <w:tcW w:w="4307" w:type="dxa"/>
            <w:gridSpan w:val="4"/>
            <w:noWrap w:val="0"/>
            <w:vAlign w:val="center"/>
          </w:tcPr>
          <w:p>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18"/>
                <w:szCs w:val="18"/>
                <w:u w:val="none"/>
                <w:lang w:val="en-US" w:eastAsia="zh-CN" w:bidi="ar"/>
              </w:rPr>
              <w:t>1、组织建设抓紧抓实一是扎实开展了创新理论“六学” 活动，“一月一课一片一实践”主题党日。二是加强落实全面从严治党主体责任。三是大兴调查研究，深入开展“走基层、找问题、想办法、促发展”活动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项目建设稳步推进己内酰胺征收拆迁项目正在采取分片征收的方式，征收治理开发同步推进；“守护好一江碧水”展陈馆已建设完成并投入使用；宝德东堤湾A地块四期洋房因项目施工所需，借用东风湖生态公园绿化用地得到有效解决；岳阳市东风湖流域水生态修复工程（一期）EPC 总承包项目正稳步推进中。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环境整治提质增效我工作部始终牢固树立“绿水青山就是金山银山”理念，扛牢“守护好一江碧水”的政治责任，围绕“河畅、水清、岸绿、景美”的总体目标，始终把握“问题导向，精准施策”这个关键点，有力推动了东风湖生态环境治理升级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4、营商环境不断优化工作部牢固树立“企业发展我发展，我与企业共繁荣”的理念，把“让群众办事不求人，企业办事更便捷”作为工作目标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single" w:color="000000" w:sz="2" w:space="0"/>
            </w:tcBorders>
            <w:noWrap w:val="0"/>
            <w:textDirection w:val="tbRlV"/>
            <w:vAlign w:val="top"/>
          </w:tcPr>
          <w:p>
            <w:pPr>
              <w:pStyle w:val="9"/>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000000" w:sz="2"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000000" w:sz="2"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000000" w:sz="2" w:space="0"/>
            </w:tcBorders>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000000" w:sz="2"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bottom w:val="single" w:color="000000" w:sz="2" w:space="0"/>
            </w:tcBorders>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bottom w:val="single" w:color="000000" w:sz="2" w:space="0"/>
            </w:tcBorders>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000000" w:sz="2" w:space="0"/>
            </w:tcBorders>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bottom w:val="single" w:color="000000" w:sz="2" w:space="0"/>
            </w:tcBorders>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eastAsia="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产出指标</w:t>
            </w:r>
          </w:p>
        </w:tc>
        <w:tc>
          <w:tcPr>
            <w:tcW w:w="1034" w:type="dxa"/>
            <w:vMerge w:val="restart"/>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数量指标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单位财政供养人 数</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主动服务项目推动项目建设，协调会议次数</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≥4（每一季度一次）</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4</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vMerge w:val="continue"/>
            <w:tcBorders>
              <w:top w:val="single" w:color="000000" w:sz="2" w:space="0"/>
              <w:bottom w:val="single" w:color="000000" w:sz="2" w:space="0"/>
            </w:tcBorders>
            <w:noWrap w:val="0"/>
            <w:vAlign w:val="center"/>
          </w:tcPr>
          <w:p>
            <w:pPr>
              <w:rPr>
                <w:rFonts w:hint="eastAsia" w:ascii="宋体" w:hAnsi="宋体" w:eastAsia="宋体" w:cs="宋体"/>
                <w:sz w:val="19"/>
                <w:szCs w:val="19"/>
              </w:rPr>
            </w:pP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每季度完成一次巡湖</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质量指标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环境整治提质增效</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推动东风湖生态环境治理升级工作</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1、持续加压推动面源污染防控工作常态化。 2、推动东风湖蓝藻爆发后清理打捞整治等工作 3、协调处理三峡集团因施工失误，导致德胜北路污水管网破裂，污水溢流问题</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9</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时效指标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各项任务按时完成率</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履职工作任务完成时间</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6"/>
                <w:szCs w:val="16"/>
                <w:lang w:val="en-US" w:eastAsia="zh-CN" w:bidi="ar-SA"/>
              </w:rPr>
            </w:pPr>
            <w:r>
              <w:rPr>
                <w:rFonts w:hint="eastAsia" w:ascii="宋体" w:hAnsi="宋体" w:eastAsia="宋体" w:cs="宋体"/>
                <w:i w:val="0"/>
                <w:iCs w:val="0"/>
                <w:color w:val="000000"/>
                <w:kern w:val="0"/>
                <w:sz w:val="18"/>
                <w:szCs w:val="18"/>
                <w:u w:val="none"/>
                <w:lang w:val="en-US" w:eastAsia="zh-CN" w:bidi="ar"/>
              </w:rPr>
              <w:t>按时完成了区委区政府下达的各项目标任务</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pacing w:val="0"/>
                <w:kern w:val="2"/>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效益指标</w:t>
            </w: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经济效益指标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项目建设稳步推进率</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≥90%</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95%</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社会效益指标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社会治安稳定、无重大政治事件及安全生产事故</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≥90%</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100%</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10</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vMerge w:val="restart"/>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生态效益指标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生态环境宣传工作</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≥90%</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99%</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4.5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sz w:val="19"/>
                <w:szCs w:val="19"/>
              </w:rPr>
            </w:pPr>
          </w:p>
        </w:tc>
        <w:tc>
          <w:tcPr>
            <w:tcW w:w="1034" w:type="dxa"/>
            <w:vMerge w:val="continue"/>
            <w:tcBorders>
              <w:top w:val="single" w:color="000000" w:sz="2" w:space="0"/>
              <w:bottom w:val="single" w:color="000000" w:sz="2" w:space="0"/>
            </w:tcBorders>
            <w:noWrap w:val="0"/>
            <w:vAlign w:val="center"/>
          </w:tcPr>
          <w:p>
            <w:pPr>
              <w:rPr>
                <w:rFonts w:hint="eastAsia" w:ascii="宋体" w:hAnsi="宋体" w:eastAsia="宋体" w:cs="宋体"/>
                <w:sz w:val="19"/>
                <w:szCs w:val="19"/>
              </w:rPr>
            </w:pP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协调环境整治</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≥90%</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95%</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4.5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可持续影响指标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东风湖整治成效</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工作部围绕“河畅、水清、岸绿、景美”的总体目标</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持续巩固东风湖整治成效，紧盯荒家荡水塘周边污水直排、西瓜山电排黑臭水体整治及蓝藻爆发等重点难点问，守护好一江碧水”展陈馆已建设完成并投入使用；宝德东堤湾A地块四期洋房因项目施工所需，借用东风湖生态公园绿化用地得到有效解决；岳阳市东风湖流域水生态修复工程（一期）EPC 总承包项目正稳步推进中</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4.5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满意度指标</w:t>
            </w: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居民群众满意度</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≥90%</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≥99%</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rPr>
            </w:pPr>
            <w:r>
              <w:rPr>
                <w:rFonts w:hint="eastAsia" w:ascii="宋体" w:hAnsi="宋体" w:eastAsia="宋体" w:cs="宋体"/>
                <w:i w:val="0"/>
                <w:iCs w:val="0"/>
                <w:color w:val="000000"/>
                <w:kern w:val="0"/>
                <w:sz w:val="20"/>
                <w:szCs w:val="20"/>
                <w:u w:val="none"/>
                <w:lang w:val="en-US" w:eastAsia="zh-CN" w:bidi="ar"/>
              </w:rPr>
              <w:t>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成本指标</w:t>
            </w: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经济成本指标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不超全年预算数</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≤113.58万元</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113.58</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lang w:val="en-US"/>
              </w:rPr>
            </w:pPr>
            <w:r>
              <w:rPr>
                <w:rFonts w:hint="eastAsia" w:ascii="宋体" w:hAnsi="宋体" w:eastAsia="宋体" w:cs="宋体"/>
                <w:i w:val="0"/>
                <w:iCs w:val="0"/>
                <w:color w:val="000000"/>
                <w:kern w:val="0"/>
                <w:sz w:val="20"/>
                <w:szCs w:val="20"/>
                <w:u w:val="none"/>
                <w:lang w:val="en-US" w:eastAsia="zh-CN" w:bidi="ar"/>
              </w:rPr>
              <w:t>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社会成本指标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缩减开支</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办公成本比上年减少10%</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 xml:space="preserve">  比去年同期减少36%</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000000" w:sz="2" w:space="0"/>
              <w:bottom w:val="single" w:color="000000" w:sz="2" w:space="0"/>
            </w:tcBorders>
            <w:noWrap w:val="0"/>
            <w:vAlign w:val="center"/>
          </w:tcPr>
          <w:p>
            <w:pPr>
              <w:rPr>
                <w:rFonts w:hint="eastAsia" w:ascii="宋体" w:hAnsi="宋体" w:eastAsia="宋体" w:cs="宋体"/>
              </w:rPr>
            </w:pPr>
          </w:p>
        </w:tc>
        <w:tc>
          <w:tcPr>
            <w:tcW w:w="1034" w:type="dxa"/>
            <w:tcBorders>
              <w:top w:val="single" w:color="000000" w:sz="2" w:space="0"/>
              <w:bottom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生态环境成本指标</w:t>
            </w:r>
          </w:p>
        </w:tc>
        <w:tc>
          <w:tcPr>
            <w:tcW w:w="1269"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东风湖环境整治</w:t>
            </w:r>
          </w:p>
        </w:tc>
        <w:tc>
          <w:tcPr>
            <w:tcW w:w="1310"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优化营商环境</w:t>
            </w:r>
          </w:p>
        </w:tc>
        <w:tc>
          <w:tcPr>
            <w:tcW w:w="1268"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开展“湘商回归”活动，打好“乡音”“乡情”牌，激活乡友资源“一池春水”，汇集乡友之智、凝聚乡友之力助推家乡发展</w:t>
            </w:r>
          </w:p>
        </w:tc>
        <w:tc>
          <w:tcPr>
            <w:tcW w:w="716"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5</w:t>
            </w:r>
          </w:p>
        </w:tc>
        <w:tc>
          <w:tcPr>
            <w:tcW w:w="873" w:type="dxa"/>
            <w:tcBorders>
              <w:top w:val="single" w:color="000000" w:sz="2" w:space="0"/>
              <w:bottom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4</w:t>
            </w:r>
          </w:p>
        </w:tc>
        <w:tc>
          <w:tcPr>
            <w:tcW w:w="1450" w:type="dxa"/>
            <w:tcBorders>
              <w:top w:val="single" w:color="000000" w:sz="2" w:space="0"/>
              <w:bottom w:val="single" w:color="000000" w:sz="2" w:space="0"/>
            </w:tcBorders>
            <w:noWrap w:val="0"/>
            <w:vAlign w:val="center"/>
          </w:tcPr>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000000" w:sz="2"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000000" w:sz="2" w:space="0"/>
            </w:tcBorders>
            <w:noWrap w:val="0"/>
            <w:vAlign w:val="top"/>
          </w:tcPr>
          <w:p>
            <w:pPr>
              <w:spacing w:before="75" w:line="195" w:lineRule="auto"/>
              <w:ind w:left="230"/>
              <w:rPr>
                <w:rFonts w:hint="eastAsia"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tcBorders>
              <w:top w:val="single" w:color="000000" w:sz="2" w:space="0"/>
            </w:tcBorders>
            <w:noWrap w:val="0"/>
            <w:vAlign w:val="top"/>
          </w:tcPr>
          <w:p>
            <w:pPr>
              <w:pStyle w:val="9"/>
              <w:jc w:val="center"/>
              <w:rPr>
                <w:rFonts w:hint="default" w:ascii="宋体" w:hAnsi="宋体" w:eastAsia="宋体" w:cs="宋体"/>
                <w:lang w:val="en-US" w:eastAsia="zh-CN"/>
              </w:rPr>
            </w:pPr>
            <w:r>
              <w:rPr>
                <w:rFonts w:hint="eastAsia" w:ascii="宋体" w:hAnsi="宋体" w:eastAsia="宋体" w:cs="宋体"/>
                <w:sz w:val="20"/>
                <w:szCs w:val="20"/>
                <w:lang w:val="en-US" w:eastAsia="zh-CN"/>
              </w:rPr>
              <w:t>96.5</w:t>
            </w:r>
          </w:p>
        </w:tc>
        <w:tc>
          <w:tcPr>
            <w:tcW w:w="1450" w:type="dxa"/>
            <w:tcBorders>
              <w:top w:val="single" w:color="000000" w:sz="2" w:space="0"/>
            </w:tcBorders>
            <w:noWrap w:val="0"/>
            <w:vAlign w:val="top"/>
          </w:tcPr>
          <w:p>
            <w:pPr>
              <w:pStyle w:val="9"/>
              <w:jc w:val="center"/>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 xml:space="preserve">   </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eastAsia="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44"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673" w:type="dxa"/>
            <w:noWrap w:val="0"/>
            <w:vAlign w:val="top"/>
          </w:tcPr>
          <w:p>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pPr>
              <w:widowControl w:val="0"/>
              <w:jc w:val="both"/>
              <w:rPr>
                <w:rFonts w:hint="eastAsia" w:ascii="宋体" w:hAnsi="宋体" w:eastAsia="宋体" w:cs="宋体"/>
                <w:kern w:val="2"/>
                <w:sz w:val="21"/>
                <w:szCs w:val="21"/>
                <w:lang w:val="en-US" w:eastAsia="en-US" w:bidi="ar-SA"/>
              </w:rPr>
            </w:pPr>
          </w:p>
        </w:tc>
        <w:tc>
          <w:tcPr>
            <w:tcW w:w="4249" w:type="dxa"/>
            <w:gridSpan w:val="4"/>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widowControl w:val="0"/>
              <w:spacing w:line="366" w:lineRule="auto"/>
              <w:jc w:val="both"/>
              <w:rPr>
                <w:rFonts w:hint="eastAsia" w:ascii="宋体" w:hAnsi="宋体" w:eastAsia="宋体" w:cs="宋体"/>
                <w:kern w:val="2"/>
                <w:sz w:val="21"/>
                <w:szCs w:val="21"/>
                <w:lang w:val="en-US" w:eastAsia="en-US" w:bidi="ar-SA"/>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7" w:lineRule="auto"/>
              <w:jc w:val="both"/>
              <w:rPr>
                <w:rFonts w:hint="eastAsia" w:ascii="宋体" w:hAnsi="宋体" w:eastAsia="宋体" w:cs="宋体"/>
                <w:kern w:val="2"/>
                <w:sz w:val="21"/>
                <w:szCs w:val="21"/>
                <w:lang w:val="en-US" w:eastAsia="en-US" w:bidi="ar-SA"/>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pPr>
              <w:widowControl w:val="0"/>
              <w:spacing w:line="315" w:lineRule="auto"/>
              <w:jc w:val="both"/>
              <w:rPr>
                <w:rFonts w:hint="eastAsia" w:ascii="宋体" w:hAnsi="宋体" w:eastAsia="宋体" w:cs="宋体"/>
                <w:kern w:val="2"/>
                <w:sz w:val="21"/>
                <w:szCs w:val="21"/>
                <w:lang w:val="en-US" w:eastAsia="en-US" w:bidi="ar-SA"/>
              </w:rPr>
            </w:pPr>
          </w:p>
          <w:p>
            <w:pPr>
              <w:widowControl w:val="0"/>
              <w:spacing w:line="315" w:lineRule="auto"/>
              <w:jc w:val="both"/>
              <w:rPr>
                <w:rFonts w:hint="eastAsia" w:ascii="宋体" w:hAnsi="宋体" w:eastAsia="宋体" w:cs="宋体"/>
                <w:kern w:val="2"/>
                <w:sz w:val="21"/>
                <w:szCs w:val="21"/>
                <w:lang w:val="en-US" w:eastAsia="en-US" w:bidi="ar-SA"/>
              </w:rPr>
            </w:pPr>
          </w:p>
          <w:p>
            <w:pPr>
              <w:widowControl w:val="0"/>
              <w:spacing w:line="315" w:lineRule="auto"/>
              <w:jc w:val="both"/>
              <w:rPr>
                <w:rFonts w:hint="eastAsia" w:ascii="宋体" w:hAnsi="宋体" w:eastAsia="宋体" w:cs="宋体"/>
                <w:kern w:val="2"/>
                <w:sz w:val="21"/>
                <w:szCs w:val="21"/>
                <w:lang w:val="en-US" w:eastAsia="en-US" w:bidi="ar-SA"/>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tcBorders>
              <w:bottom w:val="nil"/>
              <w:right w:val="single" w:color="auto" w:sz="4" w:space="0"/>
            </w:tcBorders>
            <w:noWrap w:val="0"/>
            <w:vAlign w:val="top"/>
          </w:tcPr>
          <w:p>
            <w:pPr>
              <w:spacing w:before="26" w:line="213" w:lineRule="auto"/>
              <w:jc w:val="center"/>
              <w:rPr>
                <w:rFonts w:hint="eastAsia" w:ascii="宋体" w:hAnsi="宋体" w:eastAsia="宋体" w:cs="宋体"/>
                <w:sz w:val="19"/>
                <w:szCs w:val="19"/>
                <w:lang w:eastAsia="zh-CN"/>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spacing w:val="-2"/>
                <w:kern w:val="2"/>
                <w:position w:val="1"/>
                <w:sz w:val="19"/>
                <w:szCs w:val="19"/>
                <w:lang w:val="en-US" w:eastAsia="en-US" w:bidi="ar-SA"/>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pPr>
              <w:widowControl w:val="0"/>
              <w:jc w:val="center"/>
              <w:rPr>
                <w:rFonts w:hint="eastAsia" w:ascii="宋体" w:hAnsi="宋体" w:eastAsia="宋体" w:cs="宋体"/>
                <w:kern w:val="2"/>
                <w:sz w:val="21"/>
                <w:szCs w:val="21"/>
                <w:lang w:val="en-US" w:eastAsia="en-US" w:bidi="ar-SA"/>
              </w:rPr>
            </w:pPr>
          </w:p>
        </w:tc>
      </w:tr>
    </w:tbl>
    <w:p>
      <w:pPr>
        <w:spacing w:line="217" w:lineRule="auto"/>
        <w:rPr>
          <w:rFonts w:eastAsia="宋体" w:cs="Times New Roman"/>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pPr>
        <w:spacing w:line="250" w:lineRule="auto"/>
        <w:rPr>
          <w:rFonts w:ascii="Arial" w:eastAsia="宋体"/>
          <w:sz w:val="21"/>
        </w:rPr>
      </w:pPr>
    </w:p>
    <w:p>
      <w:pPr>
        <w:spacing w:line="250" w:lineRule="auto"/>
        <w:rPr>
          <w:rFonts w:ascii="Arial" w:eastAsia="宋体"/>
          <w:sz w:val="21"/>
        </w:rPr>
      </w:pPr>
    </w:p>
    <w:p>
      <w:pPr>
        <w:spacing w:line="250" w:lineRule="auto"/>
        <w:rPr>
          <w:rFonts w:ascii="Arial" w:eastAsia="宋体"/>
          <w:sz w:val="21"/>
        </w:rPr>
      </w:pPr>
    </w:p>
    <w:p>
      <w:pPr>
        <w:spacing w:line="250" w:lineRule="auto"/>
        <w:rPr>
          <w:rFonts w:ascii="Arial" w:eastAsia="宋体"/>
          <w:sz w:val="21"/>
        </w:rPr>
      </w:pPr>
    </w:p>
    <w:p>
      <w:pPr>
        <w:spacing w:line="251" w:lineRule="auto"/>
        <w:rPr>
          <w:rFonts w:ascii="Arial" w:eastAsia="宋体"/>
          <w:sz w:val="21"/>
        </w:rPr>
      </w:pPr>
    </w:p>
    <w:p>
      <w:pPr>
        <w:spacing w:line="251" w:lineRule="auto"/>
        <w:rPr>
          <w:rFonts w:ascii="Arial" w:eastAsia="宋体"/>
          <w:sz w:val="21"/>
        </w:rPr>
      </w:pPr>
    </w:p>
    <w:p>
      <w:pPr>
        <w:spacing w:line="251" w:lineRule="auto"/>
        <w:rPr>
          <w:rFonts w:ascii="Arial" w:eastAsia="宋体"/>
          <w:sz w:val="21"/>
        </w:rPr>
      </w:pPr>
    </w:p>
    <w:p>
      <w:pPr>
        <w:spacing w:line="251" w:lineRule="auto"/>
        <w:rPr>
          <w:rFonts w:ascii="Arial" w:eastAsia="宋体"/>
          <w:sz w:val="21"/>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4"/>
          <w:szCs w:val="44"/>
          <w:lang w:val="en-US" w:eastAsia="zh-CN"/>
        </w:rPr>
      </w:pPr>
      <w:r>
        <w:rPr>
          <w:rFonts w:hint="default" w:ascii="方正小标宋简体" w:hAnsi="方正小标宋简体" w:eastAsia="方正小标宋简体" w:cs="方正小标宋简体"/>
          <w:b w:val="0"/>
          <w:bCs w:val="0"/>
          <w:color w:val="000000"/>
          <w:spacing w:val="2"/>
          <w:sz w:val="44"/>
          <w:szCs w:val="44"/>
          <w:lang w:val="en-US" w:eastAsia="zh-CN"/>
        </w:rPr>
        <w:t>202</w:t>
      </w:r>
      <w:r>
        <w:rPr>
          <w:rFonts w:hint="eastAsia" w:ascii="方正小标宋简体" w:hAnsi="方正小标宋简体" w:eastAsia="方正小标宋简体" w:cs="方正小标宋简体"/>
          <w:b w:val="0"/>
          <w:bCs w:val="0"/>
          <w:color w:val="000000"/>
          <w:spacing w:val="2"/>
          <w:sz w:val="44"/>
          <w:szCs w:val="44"/>
          <w:lang w:val="en-US" w:eastAsia="zh-CN"/>
        </w:rPr>
        <w:t>3</w:t>
      </w:r>
      <w:r>
        <w:rPr>
          <w:rFonts w:hint="default" w:ascii="方正小标宋简体" w:hAnsi="方正小标宋简体" w:eastAsia="方正小标宋简体" w:cs="方正小标宋简体"/>
          <w:b w:val="0"/>
          <w:bCs w:val="0"/>
          <w:color w:val="000000"/>
          <w:spacing w:val="2"/>
          <w:sz w:val="44"/>
          <w:szCs w:val="44"/>
          <w:lang w:val="en-US" w:eastAsia="zh-CN"/>
        </w:rPr>
        <w:t>年度</w:t>
      </w:r>
      <w:r>
        <w:rPr>
          <w:rFonts w:hint="eastAsia" w:ascii="方正小标宋简体" w:hAnsi="方正小标宋简体" w:eastAsia="方正小标宋简体" w:cs="方正小标宋简体"/>
          <w:color w:val="000000"/>
          <w:spacing w:val="0"/>
          <w:position w:val="0"/>
          <w:sz w:val="44"/>
          <w:szCs w:val="44"/>
          <w:lang w:val="en-US" w:eastAsia="zh-CN"/>
        </w:rPr>
        <w:t>岳阳市岳阳楼区东风湖新区建设工作部</w:t>
      </w:r>
      <w:r>
        <w:rPr>
          <w:rFonts w:hint="default" w:ascii="方正小标宋简体" w:hAnsi="方正小标宋简体" w:eastAsia="方正小标宋简体" w:cs="方正小标宋简体"/>
          <w:b w:val="0"/>
          <w:bCs w:val="0"/>
          <w:color w:val="000000"/>
          <w:spacing w:val="2"/>
          <w:sz w:val="44"/>
          <w:szCs w:val="44"/>
          <w:lang w:val="en-US" w:eastAsia="zh-CN"/>
        </w:rPr>
        <w:t>单位整体支出绩效自评报告</w:t>
      </w: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3" w:lineRule="auto"/>
        <w:rPr>
          <w:rFonts w:ascii="Arial" w:eastAsia="宋体"/>
          <w:sz w:val="21"/>
        </w:rPr>
      </w:pPr>
    </w:p>
    <w:p>
      <w:pPr>
        <w:spacing w:line="244" w:lineRule="auto"/>
        <w:rPr>
          <w:rFonts w:ascii="Arial" w:eastAsia="宋体"/>
          <w:sz w:val="21"/>
        </w:rPr>
      </w:pPr>
    </w:p>
    <w:p>
      <w:pPr>
        <w:spacing w:line="244" w:lineRule="auto"/>
        <w:rPr>
          <w:rFonts w:ascii="Arial" w:eastAsia="宋体"/>
          <w:sz w:val="21"/>
        </w:rPr>
      </w:pPr>
    </w:p>
    <w:p>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  </w:t>
      </w:r>
      <w:r>
        <w:rPr>
          <w:rFonts w:ascii="楷体" w:hAnsi="楷体" w:eastAsia="楷体" w:cs="楷体"/>
          <w:spacing w:val="-8"/>
          <w:sz w:val="31"/>
          <w:szCs w:val="31"/>
        </w:rPr>
        <w:t>年</w:t>
      </w:r>
      <w:r>
        <w:rPr>
          <w:rFonts w:hint="eastAsia" w:ascii="楷体" w:hAnsi="楷体" w:eastAsia="楷体" w:cs="楷体"/>
          <w:spacing w:val="-8"/>
          <w:sz w:val="31"/>
          <w:szCs w:val="31"/>
          <w:lang w:val="en-US" w:eastAsia="zh-CN"/>
        </w:rPr>
        <w:t xml:space="preserve">    </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 xml:space="preserve">    </w:t>
      </w:r>
      <w:r>
        <w:rPr>
          <w:rFonts w:ascii="楷体" w:hAnsi="楷体" w:eastAsia="楷体" w:cs="楷体"/>
          <w:spacing w:val="-8"/>
          <w:sz w:val="31"/>
          <w:szCs w:val="31"/>
        </w:rPr>
        <w:t>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2023年度岳阳市岳阳楼区东风湖新区建设工作部单位整体支出绩效自评报告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spacing w:val="0"/>
          <w:position w:val="0"/>
          <w:sz w:val="32"/>
          <w:szCs w:val="32"/>
          <w:lang w:val="en-US" w:eastAsia="zh-CN"/>
        </w:rPr>
      </w:pPr>
      <w:r>
        <w:rPr>
          <w:rFonts w:hint="eastAsia" w:ascii="仿宋" w:hAnsi="仿宋" w:eastAsia="仿宋" w:cs="仿宋"/>
          <w:b/>
          <w:bCs/>
          <w:color w:val="000000"/>
          <w:spacing w:val="0"/>
          <w:position w:val="0"/>
          <w:sz w:val="32"/>
          <w:szCs w:val="32"/>
          <w:lang w:val="en-US" w:eastAsia="zh-CN"/>
        </w:rPr>
        <w:t>单位基本情况</w:t>
      </w:r>
    </w:p>
    <w:p>
      <w:pPr>
        <w:widowControl/>
        <w:spacing w:line="600" w:lineRule="exact"/>
        <w:ind w:firstLine="640" w:firstLineChars="200"/>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（一）职能职责</w:t>
      </w:r>
    </w:p>
    <w:p>
      <w:pPr>
        <w:pStyle w:val="2"/>
        <w:ind w:firstLine="800" w:firstLineChars="250"/>
        <w:rPr>
          <w:rFonts w:hint="eastAsia" w:ascii="仿宋" w:hAnsi="仿宋" w:eastAsia="仿宋" w:cs="仿宋"/>
          <w:kern w:val="0"/>
          <w:sz w:val="32"/>
          <w:szCs w:val="32"/>
        </w:rPr>
      </w:pPr>
      <w:r>
        <w:rPr>
          <w:rFonts w:hint="eastAsia" w:ascii="仿宋" w:hAnsi="仿宋" w:eastAsia="仿宋" w:cs="仿宋"/>
          <w:kern w:val="0"/>
          <w:sz w:val="32"/>
          <w:szCs w:val="32"/>
        </w:rPr>
        <w:t>负责做好东风湖新区范围内的拆迁、控违和涉及地方事务协调等工作的区政府直属公益一类事业单位。</w:t>
      </w:r>
    </w:p>
    <w:p>
      <w:pPr>
        <w:widowControl/>
        <w:spacing w:line="600" w:lineRule="exact"/>
        <w:ind w:firstLine="640" w:firstLineChars="200"/>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（二）机构设置</w:t>
      </w:r>
    </w:p>
    <w:p>
      <w:pPr>
        <w:spacing w:line="440" w:lineRule="exact"/>
        <w:ind w:firstLine="560" w:firstLineChars="200"/>
        <w:rPr>
          <w:rFonts w:hint="eastAsia" w:ascii="仿宋" w:hAnsi="仿宋" w:eastAsia="仿宋" w:cs="仿宋"/>
          <w:sz w:val="32"/>
          <w:szCs w:val="32"/>
        </w:rPr>
      </w:pPr>
      <w:r>
        <w:rPr>
          <w:rFonts w:hint="eastAsia" w:ascii="仿宋" w:hAnsi="仿宋" w:eastAsia="仿宋" w:cs="仿宋"/>
          <w:bCs/>
          <w:sz w:val="28"/>
          <w:szCs w:val="28"/>
        </w:rPr>
        <w:t>现</w:t>
      </w:r>
      <w:r>
        <w:rPr>
          <w:rFonts w:hint="eastAsia" w:ascii="仿宋" w:hAnsi="仿宋" w:eastAsia="仿宋" w:cs="仿宋"/>
          <w:kern w:val="0"/>
          <w:sz w:val="32"/>
          <w:szCs w:val="32"/>
        </w:rPr>
        <w:t>现有人数</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人，其中：在职编制</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人。机关设置3个股室：办公室、业务股、协调股</w:t>
      </w:r>
      <w:r>
        <w:rPr>
          <w:rFonts w:hint="eastAsia" w:ascii="仿宋" w:hAnsi="仿宋" w:eastAsia="仿宋" w:cs="仿宋"/>
          <w:bCs/>
          <w:sz w:val="28"/>
          <w:szCs w:val="28"/>
        </w:rPr>
        <w:t>。</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spacing w:val="0"/>
          <w:position w:val="0"/>
          <w:sz w:val="32"/>
          <w:szCs w:val="32"/>
          <w:lang w:val="en-US" w:eastAsia="zh-CN"/>
        </w:rPr>
      </w:pPr>
      <w:r>
        <w:rPr>
          <w:rFonts w:hint="eastAsia" w:ascii="仿宋" w:hAnsi="仿宋" w:eastAsia="仿宋" w:cs="仿宋"/>
          <w:b/>
          <w:bCs/>
          <w:color w:val="000000"/>
          <w:spacing w:val="0"/>
          <w:position w:val="0"/>
          <w:sz w:val="32"/>
          <w:szCs w:val="32"/>
          <w:lang w:val="en-US" w:eastAsia="zh-CN"/>
        </w:rPr>
        <w:t>二、一般公共预算支出情况</w:t>
      </w:r>
    </w:p>
    <w:p>
      <w:pPr>
        <w:spacing w:line="560" w:lineRule="exact"/>
        <w:ind w:firstLine="640" w:firstLineChars="200"/>
        <w:rPr>
          <w:rFonts w:hint="eastAsia" w:ascii="仿宋" w:hAnsi="仿宋" w:eastAsia="仿宋" w:cs="仿宋"/>
          <w:b w:val="0"/>
          <w:bCs w:val="0"/>
          <w:sz w:val="28"/>
          <w:szCs w:val="28"/>
        </w:rPr>
      </w:pPr>
      <w:r>
        <w:rPr>
          <w:rFonts w:hint="eastAsia" w:ascii="仿宋" w:hAnsi="仿宋" w:eastAsia="仿宋" w:cs="仿宋"/>
          <w:b w:val="0"/>
          <w:bCs w:val="0"/>
          <w:color w:val="000000"/>
          <w:spacing w:val="0"/>
          <w:position w:val="0"/>
          <w:sz w:val="32"/>
          <w:szCs w:val="32"/>
          <w:lang w:val="en-US" w:eastAsia="zh-CN"/>
        </w:rPr>
        <w:t>(一)基本支出情况</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20</w:t>
      </w:r>
      <w:r>
        <w:rPr>
          <w:rFonts w:hint="eastAsia" w:ascii="仿宋" w:hAnsi="仿宋" w:eastAsia="仿宋" w:cs="仿宋"/>
          <w:bCs/>
          <w:sz w:val="32"/>
          <w:szCs w:val="32"/>
          <w:lang w:val="en-US" w:eastAsia="zh-CN"/>
        </w:rPr>
        <w:t>23</w:t>
      </w:r>
      <w:r>
        <w:rPr>
          <w:rFonts w:hint="eastAsia" w:ascii="仿宋" w:hAnsi="仿宋" w:eastAsia="仿宋" w:cs="仿宋"/>
          <w:bCs/>
          <w:sz w:val="32"/>
          <w:szCs w:val="32"/>
        </w:rPr>
        <w:t>年保障单位机构正常运转、完成日常工作任务而发生的各项支出为</w:t>
      </w:r>
      <w:r>
        <w:rPr>
          <w:rFonts w:hint="eastAsia" w:ascii="仿宋" w:hAnsi="仿宋" w:eastAsia="仿宋" w:cs="仿宋"/>
          <w:color w:val="000000"/>
          <w:sz w:val="32"/>
          <w:szCs w:val="32"/>
          <w:lang w:val="en-US" w:eastAsia="zh-CN"/>
        </w:rPr>
        <w:t>113.58</w:t>
      </w:r>
      <w:r>
        <w:rPr>
          <w:rFonts w:hint="eastAsia" w:ascii="仿宋" w:hAnsi="仿宋" w:eastAsia="仿宋" w:cs="仿宋"/>
          <w:bCs/>
          <w:sz w:val="32"/>
          <w:szCs w:val="32"/>
        </w:rPr>
        <w:t>万元，包括人员基本工资、津贴补贴等人员经费以及办公费、印刷费、水电费、办公设备购置等。</w:t>
      </w:r>
    </w:p>
    <w:p>
      <w:pPr>
        <w:numPr>
          <w:ilvl w:val="0"/>
          <w:numId w:val="0"/>
        </w:numPr>
        <w:spacing w:line="560" w:lineRule="exact"/>
        <w:ind w:firstLine="640" w:firstLineChars="200"/>
        <w:rPr>
          <w:rFonts w:hint="eastAsia" w:ascii="仿宋" w:hAnsi="仿宋" w:eastAsia="仿宋" w:cs="仿宋"/>
          <w:b w:val="0"/>
          <w:bCs w:val="0"/>
          <w:sz w:val="28"/>
          <w:szCs w:val="28"/>
        </w:rPr>
      </w:pPr>
      <w:r>
        <w:rPr>
          <w:rFonts w:hint="eastAsia" w:ascii="仿宋" w:hAnsi="仿宋" w:eastAsia="仿宋" w:cs="仿宋"/>
          <w:b w:val="0"/>
          <w:bCs w:val="0"/>
          <w:color w:val="000000"/>
          <w:spacing w:val="0"/>
          <w:position w:val="0"/>
          <w:sz w:val="32"/>
          <w:szCs w:val="32"/>
          <w:lang w:val="en-US" w:eastAsia="zh-CN"/>
        </w:rPr>
        <w:t>(二)项目支出情况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bCs/>
          <w:color w:val="000000"/>
          <w:spacing w:val="0"/>
          <w:position w:val="0"/>
          <w:sz w:val="32"/>
          <w:szCs w:val="32"/>
          <w:lang w:val="en-US" w:eastAsia="zh-CN"/>
        </w:rPr>
      </w:pPr>
      <w:r>
        <w:rPr>
          <w:rFonts w:hint="eastAsia" w:ascii="仿宋" w:hAnsi="仿宋" w:eastAsia="仿宋" w:cs="仿宋"/>
          <w:bCs/>
          <w:sz w:val="32"/>
          <w:szCs w:val="32"/>
        </w:rPr>
        <w:t>20</w:t>
      </w:r>
      <w:r>
        <w:rPr>
          <w:rFonts w:hint="eastAsia" w:ascii="仿宋" w:hAnsi="仿宋" w:eastAsia="仿宋" w:cs="仿宋"/>
          <w:bCs/>
          <w:sz w:val="32"/>
          <w:szCs w:val="32"/>
          <w:lang w:val="en-US" w:eastAsia="zh-CN"/>
        </w:rPr>
        <w:t>23</w:t>
      </w:r>
      <w:r>
        <w:rPr>
          <w:rFonts w:hint="eastAsia" w:ascii="仿宋" w:hAnsi="仿宋" w:eastAsia="仿宋" w:cs="仿宋"/>
          <w:bCs/>
          <w:sz w:val="32"/>
          <w:szCs w:val="32"/>
        </w:rPr>
        <w:t>年本单位无专项支出</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color w:val="000000"/>
          <w:spacing w:val="0"/>
          <w:position w:val="0"/>
          <w:sz w:val="32"/>
          <w:szCs w:val="32"/>
          <w:lang w:val="en-US" w:eastAsia="zh-CN"/>
        </w:rPr>
      </w:pPr>
      <w:r>
        <w:rPr>
          <w:rFonts w:hint="eastAsia" w:ascii="仿宋" w:hAnsi="仿宋" w:eastAsia="仿宋" w:cs="仿宋"/>
          <w:b/>
          <w:bCs/>
          <w:color w:val="000000"/>
          <w:spacing w:val="0"/>
          <w:position w:val="0"/>
          <w:sz w:val="32"/>
          <w:szCs w:val="32"/>
          <w:lang w:val="en-US" w:eastAsia="zh-CN"/>
        </w:rPr>
        <w:t>三、政府性基金预算支出情况</w:t>
      </w:r>
    </w:p>
    <w:p>
      <w:p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20</w:t>
      </w:r>
      <w:r>
        <w:rPr>
          <w:rFonts w:hint="eastAsia" w:ascii="仿宋" w:hAnsi="仿宋" w:eastAsia="仿宋" w:cs="仿宋"/>
          <w:bCs/>
          <w:sz w:val="32"/>
          <w:szCs w:val="32"/>
          <w:lang w:val="en-US" w:eastAsia="zh-CN"/>
        </w:rPr>
        <w:t>23</w:t>
      </w:r>
      <w:r>
        <w:rPr>
          <w:rFonts w:hint="eastAsia" w:ascii="仿宋" w:hAnsi="仿宋" w:eastAsia="仿宋" w:cs="仿宋"/>
          <w:bCs/>
          <w:sz w:val="32"/>
          <w:szCs w:val="32"/>
        </w:rPr>
        <w:t>年本单位无</w:t>
      </w:r>
      <w:r>
        <w:rPr>
          <w:rFonts w:hint="eastAsia" w:ascii="仿宋" w:hAnsi="仿宋" w:eastAsia="仿宋" w:cs="仿宋"/>
          <w:bCs/>
          <w:sz w:val="32"/>
          <w:szCs w:val="32"/>
          <w:lang w:val="en-US" w:eastAsia="zh-CN"/>
        </w:rPr>
        <w:t>政府性基金预算支出。</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color w:val="000000"/>
          <w:spacing w:val="0"/>
          <w:position w:val="0"/>
          <w:sz w:val="32"/>
          <w:szCs w:val="32"/>
          <w:lang w:val="en-US" w:eastAsia="zh-CN"/>
        </w:rPr>
      </w:pPr>
      <w:r>
        <w:rPr>
          <w:rFonts w:hint="eastAsia" w:ascii="仿宋" w:hAnsi="仿宋" w:eastAsia="仿宋" w:cs="仿宋"/>
          <w:b/>
          <w:bCs/>
          <w:color w:val="000000"/>
          <w:spacing w:val="0"/>
          <w:position w:val="0"/>
          <w:sz w:val="32"/>
          <w:szCs w:val="32"/>
          <w:lang w:val="en-US" w:eastAsia="zh-CN"/>
        </w:rPr>
        <w:t>四、国有资本经营预算支出情况</w:t>
      </w:r>
    </w:p>
    <w:p>
      <w:p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20</w:t>
      </w:r>
      <w:r>
        <w:rPr>
          <w:rFonts w:hint="eastAsia" w:ascii="仿宋" w:hAnsi="仿宋" w:eastAsia="仿宋" w:cs="仿宋"/>
          <w:bCs/>
          <w:sz w:val="32"/>
          <w:szCs w:val="32"/>
          <w:lang w:val="en-US" w:eastAsia="zh-CN"/>
        </w:rPr>
        <w:t>23</w:t>
      </w:r>
      <w:r>
        <w:rPr>
          <w:rFonts w:hint="eastAsia" w:ascii="仿宋" w:hAnsi="仿宋" w:eastAsia="仿宋" w:cs="仿宋"/>
          <w:bCs/>
          <w:sz w:val="32"/>
          <w:szCs w:val="32"/>
        </w:rPr>
        <w:t>年本单位无</w:t>
      </w:r>
      <w:r>
        <w:rPr>
          <w:rFonts w:hint="eastAsia" w:ascii="仿宋" w:hAnsi="仿宋" w:eastAsia="仿宋" w:cs="仿宋"/>
          <w:bCs/>
          <w:sz w:val="32"/>
          <w:szCs w:val="32"/>
          <w:lang w:val="en-US" w:eastAsia="zh-CN"/>
        </w:rPr>
        <w:t>国有资本经营预算支出。</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color w:val="000000"/>
          <w:spacing w:val="0"/>
          <w:position w:val="0"/>
          <w:sz w:val="32"/>
          <w:szCs w:val="32"/>
          <w:lang w:val="en-US" w:eastAsia="zh-CN"/>
        </w:rPr>
      </w:pPr>
      <w:r>
        <w:rPr>
          <w:rFonts w:hint="eastAsia" w:ascii="仿宋" w:hAnsi="仿宋" w:eastAsia="仿宋" w:cs="仿宋"/>
          <w:b/>
          <w:bCs/>
          <w:color w:val="000000"/>
          <w:spacing w:val="0"/>
          <w:position w:val="0"/>
          <w:sz w:val="32"/>
          <w:szCs w:val="32"/>
          <w:lang w:val="en-US" w:eastAsia="zh-CN"/>
        </w:rPr>
        <w:t>五、社会保险基金预算支出情况</w:t>
      </w:r>
    </w:p>
    <w:p>
      <w:p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rPr>
        <w:t>20</w:t>
      </w:r>
      <w:r>
        <w:rPr>
          <w:rFonts w:hint="eastAsia" w:ascii="仿宋" w:hAnsi="仿宋" w:eastAsia="仿宋" w:cs="仿宋"/>
          <w:bCs/>
          <w:sz w:val="32"/>
          <w:szCs w:val="32"/>
          <w:lang w:val="en-US" w:eastAsia="zh-CN"/>
        </w:rPr>
        <w:t>23</w:t>
      </w:r>
      <w:r>
        <w:rPr>
          <w:rFonts w:hint="eastAsia" w:ascii="仿宋" w:hAnsi="仿宋" w:eastAsia="仿宋" w:cs="仿宋"/>
          <w:bCs/>
          <w:sz w:val="32"/>
          <w:szCs w:val="32"/>
        </w:rPr>
        <w:t>年本单位无</w:t>
      </w:r>
      <w:r>
        <w:rPr>
          <w:rFonts w:hint="eastAsia" w:ascii="仿宋" w:hAnsi="仿宋" w:eastAsia="仿宋" w:cs="仿宋"/>
          <w:bCs/>
          <w:sz w:val="32"/>
          <w:szCs w:val="32"/>
          <w:lang w:val="en-US" w:eastAsia="zh-CN"/>
        </w:rPr>
        <w:t>社会保险基金预算支出。</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spacing w:val="0"/>
          <w:position w:val="0"/>
          <w:sz w:val="32"/>
          <w:szCs w:val="32"/>
          <w:lang w:val="en-US" w:eastAsia="zh-CN"/>
        </w:rPr>
      </w:pPr>
      <w:r>
        <w:rPr>
          <w:rFonts w:hint="eastAsia" w:ascii="仿宋" w:hAnsi="仿宋" w:eastAsia="仿宋" w:cs="仿宋"/>
          <w:b/>
          <w:bCs/>
          <w:color w:val="000000"/>
          <w:spacing w:val="0"/>
          <w:position w:val="0"/>
          <w:sz w:val="32"/>
          <w:szCs w:val="32"/>
          <w:lang w:val="en-US" w:eastAsia="zh-CN"/>
        </w:rPr>
        <w:t>六、部门整体支出绩效情况</w:t>
      </w:r>
    </w:p>
    <w:p>
      <w:pPr>
        <w:spacing w:line="560" w:lineRule="exact"/>
        <w:ind w:firstLine="640" w:firstLineChars="20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经济性分析：2023年本单位支出总额控制在预算总额以内，本单位预算资金均按规定管理使用，本着控制成本，合理开支，厉行节约的原则，开展了一系列工作和活动。</w:t>
      </w:r>
    </w:p>
    <w:p>
      <w:pPr>
        <w:spacing w:line="560" w:lineRule="exact"/>
        <w:ind w:firstLine="640" w:firstLineChars="20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效率性分析：2023年本单位按照时效目标完成持续创优产业建设项目服务，督促落实环境治理工程征拆，协调推进绿化景观带及道路建设，高效保障新区开发建设各项工作顺利推进。</w:t>
      </w:r>
    </w:p>
    <w:p>
      <w:pPr>
        <w:spacing w:line="560" w:lineRule="exact"/>
        <w:ind w:firstLine="640" w:firstLineChars="20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有效性分析：加快推进重点项目建设对我区经济社会发展具有重要的引领、带动和辐射作用。项目推进方面：今年来，工作部坚持“产业优先、项目为王”的理念，明确推进项目建设是打造“首善之区”的迫切需要，坚持目标导向、问题导向、结果导向，进一步增强责任感、使命感和紧迫感，主动服务配合，加强沟通衔接，积极有效推动，切实解决好项目建设中存在的“急难愁盼”等难题，确保重点项目建设目标任务按时保质保量完成。目前，己内酰胺征收拆迁项目正在采取分片征收的方式，征收治理开发同步推进；“守护好一江碧水”展陈馆已建设完成并投入使用；宝德东堤湾A地块四期洋房因项目施工所需，借用东风湖生态公园绿化用地得到有效解决；岳阳市东风湖流域水生态修复工程（一期）EPC 总承包项目正稳步推进中。</w:t>
      </w:r>
    </w:p>
    <w:p>
      <w:pPr>
        <w:spacing w:line="560" w:lineRule="exact"/>
        <w:ind w:firstLine="640" w:firstLineChars="20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环境整治方面：我工作部始终牢固树立“绿水青山就是金山银山”理念，扛牢“守护好一江碧水”的政治责任，围绕“河畅、水清、岸绿、景美”的总体目标，始终把握“问题导向，精准施策”这个关键点，有力推动了东风湖生态环境治理升级工作。今年来，我工作部组织开展巡湖5次，持续加压推动面源污染防控工作常态化；协调配合东风湖公园运营管理公司，及时处理了水面保洁不到位、存在钓鱼等问题，推动东风湖蓝藻爆发后清理打捞整治等工作；协调处理三峡集团因施工失误，导致德胜北路污水管网破裂，污水溢流问题；对吉家湖水葫芦未清理问题进行了交办和整治。协调配合开展了团区委组织的“保护生态环境、提升生活品质”学习活动，区网信办开展的“网友看楼区、碧水展新姿”网友参观活动和湘潭大学“三湘四水，五年蝶变”青马工程卓越班赴岳暑期实践团学习调研，国家教育部思政课教师研修班调研以及岳阳开放大学在东风湖拍摄“一江碧水系列精品课程”宣传片等活动6次；同时，对破坏东风湖水环境的违法行为及时向社会公开，加强社会监督，扩大治理效果，推动我区生态文明建设再上新台阶。</w:t>
      </w:r>
    </w:p>
    <w:p>
      <w:pPr>
        <w:spacing w:line="560" w:lineRule="exact"/>
        <w:ind w:firstLine="640" w:firstLineChars="20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优化营商环境方面：工作部牢固树立“企业发展我发展，我与企业共繁荣”的理念，把“让群众办事不求人，企业办事更便捷”作为工作目标，采取多种措施，加强营商环境建设。一是主动走访调研企业，现场“把脉问诊”，为企业“送政策、解难题、优服务” 协助企业解决融资、用工、用能及要素保障等实际问题，推动企业稳产扩销，帮助困难企业渡过难关；二是严格落实“六联六包”责任制和《岳阳市优化营商环境100条》，积极宣传“只进一门、一窗办理、最多跑一次”改革，实行联办联动，让企业放心投资、舒心经营、安心发展。三是深入开展“湘商回归”活动，打好“乡音”“乡情”牌，激活乡友资源“一池春水”，汇集乡友之智、凝聚乡友之力助推家乡发展。</w:t>
      </w:r>
    </w:p>
    <w:p>
      <w:pPr>
        <w:spacing w:line="400" w:lineRule="exact"/>
        <w:ind w:firstLine="643" w:firstLineChars="200"/>
        <w:rPr>
          <w:rFonts w:hint="eastAsia" w:ascii="仿宋" w:hAnsi="仿宋" w:eastAsia="仿宋" w:cs="仿宋"/>
          <w:b/>
          <w:bCs/>
          <w:color w:val="000000"/>
          <w:spacing w:val="0"/>
          <w:position w:val="0"/>
          <w:sz w:val="32"/>
          <w:szCs w:val="32"/>
          <w:lang w:val="en-US" w:eastAsia="zh-CN"/>
        </w:rPr>
      </w:pPr>
      <w:r>
        <w:rPr>
          <w:rFonts w:hint="eastAsia" w:ascii="仿宋" w:hAnsi="仿宋" w:eastAsia="仿宋" w:cs="仿宋"/>
          <w:b/>
          <w:bCs/>
          <w:color w:val="000000"/>
          <w:spacing w:val="0"/>
          <w:position w:val="0"/>
          <w:sz w:val="32"/>
          <w:szCs w:val="32"/>
          <w:lang w:val="en-US" w:eastAsia="zh-CN"/>
        </w:rPr>
        <w:t>七、存在的问题及原因分析</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0" w:firstLineChars="200"/>
        <w:jc w:val="both"/>
        <w:textAlignment w:val="center"/>
        <w:outlineLvl w:val="9"/>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主要存在问题财务管理方面的内部制度需进一步完善，财务人员业务水平需进一步提升，预算根据可预见的工作任务编制，确定了部门年度预算目标，细化了预算指标，但因实际工作中有改动，未能严格按照预算执行。</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color w:val="000000"/>
          <w:spacing w:val="0"/>
          <w:position w:val="0"/>
          <w:sz w:val="32"/>
          <w:szCs w:val="32"/>
          <w:lang w:val="en-US" w:eastAsia="zh-CN"/>
        </w:rPr>
        <w:t>下一步改进措施</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0" w:firstLineChars="200"/>
        <w:jc w:val="both"/>
        <w:textAlignment w:val="center"/>
        <w:outlineLvl w:val="9"/>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一是加强财务人员的业务培训和能力提升。</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0" w:firstLineChars="200"/>
        <w:jc w:val="both"/>
        <w:textAlignment w:val="center"/>
        <w:outlineLvl w:val="9"/>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二是进一步提升预算编制的科学性、合理性、严谨性和可控性。</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spacing w:val="0"/>
          <w:position w:val="0"/>
          <w:sz w:val="32"/>
          <w:szCs w:val="32"/>
          <w:lang w:val="en-US" w:eastAsia="zh-CN"/>
        </w:rPr>
      </w:pPr>
      <w:r>
        <w:rPr>
          <w:rFonts w:hint="eastAsia" w:ascii="仿宋" w:hAnsi="仿宋" w:eastAsia="仿宋" w:cs="仿宋"/>
          <w:b/>
          <w:bCs/>
          <w:color w:val="000000"/>
          <w:spacing w:val="0"/>
          <w:position w:val="0"/>
          <w:sz w:val="32"/>
          <w:szCs w:val="32"/>
          <w:lang w:val="en-US" w:eastAsia="zh-CN"/>
        </w:rPr>
        <w:t>九、部门整体支出绩效自评结果拟应用和公开情况</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0" w:firstLineChars="200"/>
        <w:jc w:val="both"/>
        <w:textAlignment w:val="center"/>
        <w:outlineLvl w:val="9"/>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无其他需要说明的情况</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___WRD_EMBED_SUB_38">
    <w:altName w:val="宋体"/>
    <w:panose1 w:val="02010600030101010101"/>
    <w:charset w:val="86"/>
    <w:family w:val="moder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itka Small">
    <w:panose1 w:val="02000505000000020004"/>
    <w:charset w:val="00"/>
    <w:family w:val="auto"/>
    <w:pitch w:val="default"/>
    <w:sig w:usb0="A00002EF" w:usb1="4000204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eastAsia="宋体"/>
        <w:sz w:val="2"/>
      </w:rPr>
    </w:pPr>
    <w:r>
      <w:rPr>
        <w:rFonts w:eastAsia="宋体"/>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eastAsia="宋体" w:cs="Times New Roman"/>
        <w:sz w:val="2"/>
      </w:rPr>
    </w:pPr>
    <w:r>
      <w:rPr>
        <w:rFonts w:eastAsia="宋体" w:cs="Times New Roman"/>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before="1" w:line="174" w:lineRule="auto"/>
      <w:ind w:left="574"/>
      <w:jc w:val="both"/>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5BB84"/>
    <w:multiLevelType w:val="singleLevel"/>
    <w:tmpl w:val="EED5BB84"/>
    <w:lvl w:ilvl="0" w:tentative="0">
      <w:start w:val="8"/>
      <w:numFmt w:val="chineseCounting"/>
      <w:suff w:val="nothing"/>
      <w:lvlText w:val="%1、"/>
      <w:lvlJc w:val="left"/>
      <w:rPr>
        <w:rFonts w:hint="eastAsia"/>
      </w:rPr>
    </w:lvl>
  </w:abstractNum>
  <w:abstractNum w:abstractNumId="1">
    <w:nsid w:val="24935CFE"/>
    <w:multiLevelType w:val="singleLevel"/>
    <w:tmpl w:val="24935CF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s>
  <w:rsids>
    <w:rsidRoot w:val="35426AA7"/>
    <w:rsid w:val="14867895"/>
    <w:rsid w:val="1AE54791"/>
    <w:rsid w:val="1BE6171B"/>
    <w:rsid w:val="1D1F4C61"/>
    <w:rsid w:val="290821CB"/>
    <w:rsid w:val="35426AA7"/>
    <w:rsid w:val="3A6D579E"/>
    <w:rsid w:val="4F275AD4"/>
    <w:rsid w:val="548E30B9"/>
    <w:rsid w:val="57013D6D"/>
    <w:rsid w:val="589F3DF0"/>
    <w:rsid w:val="635263D8"/>
    <w:rsid w:val="6AB83AF1"/>
    <w:rsid w:val="6DF46B4F"/>
    <w:rsid w:val="724C532B"/>
    <w:rsid w:val="735B551C"/>
    <w:rsid w:val="74DA4575"/>
    <w:rsid w:val="7E2B51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sz w:val="24"/>
    </w:rPr>
  </w:style>
  <w:style w:type="paragraph" w:styleId="3">
    <w:name w:val="Body Text"/>
    <w:semiHidden/>
    <w:qFormat/>
    <w:uiPriority w:val="0"/>
    <w:pPr>
      <w:widowControl w:val="0"/>
      <w:jc w:val="both"/>
    </w:pPr>
    <w:rPr>
      <w:rFonts w:ascii="仿宋" w:hAnsi="仿宋" w:eastAsia="仿宋" w:cs="仿宋"/>
      <w:kern w:val="2"/>
      <w:sz w:val="35"/>
      <w:szCs w:val="35"/>
      <w:lang w:val="en-US" w:eastAsia="en-US"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Normal (Web)"/>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3862</Words>
  <Characters>4077</Characters>
  <Lines>0</Lines>
  <Paragraphs>0</Paragraphs>
  <TotalTime>1</TotalTime>
  <ScaleCrop>false</ScaleCrop>
  <LinksUpToDate>false</LinksUpToDate>
  <CharactersWithSpaces>4226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2024-05-28T09:11:00Z</dcterms:created>
  <dc:creator>wjh</dc:creator>
  <cp:lastModifiedBy>necrolyte</cp:lastModifiedBy>
  <dcterms:modified xsi:type="dcterms:W3CDTF">2025-06-25T08:39:33Z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FF3FF274E2A54B88AE66755733DF2E16_12</vt:lpwstr>
  </property>
</Properties>
</file>