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12"/>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岳阳市洞庭新城项目建设岳阳楼区工作部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32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49.55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城乡社区支出</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应急工作专项</w:t>
            </w:r>
          </w:p>
        </w:tc>
        <w:tc>
          <w:tcPr>
            <w:tcW w:w="1815" w:type="dxa"/>
            <w:gridSpan w:val="2"/>
            <w:noWrap w:val="0"/>
            <w:vAlign w:val="top"/>
          </w:tcPr>
          <w:p>
            <w:pPr>
              <w:jc w:val="left"/>
              <w:rPr>
                <w:rFonts w:hint="eastAsia" w:ascii="宋体" w:hAnsi="宋体" w:eastAsia="宋体" w:cs="宋体"/>
                <w:color w:val="000000"/>
                <w:sz w:val="24"/>
                <w:szCs w:val="24"/>
              </w:rPr>
            </w:pPr>
          </w:p>
        </w:tc>
        <w:tc>
          <w:tcPr>
            <w:tcW w:w="2325" w:type="dxa"/>
            <w:gridSpan w:val="2"/>
            <w:noWrap w:val="0"/>
            <w:vAlign w:val="top"/>
          </w:tcPr>
          <w:p>
            <w:pPr>
              <w:jc w:val="left"/>
              <w:rPr>
                <w:rFonts w:hint="eastAsia" w:ascii="宋体" w:hAnsi="宋体" w:eastAsia="宋体" w:cs="宋体"/>
                <w:color w:val="000000"/>
                <w:sz w:val="24"/>
                <w:szCs w:val="24"/>
              </w:rPr>
            </w:pP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医疗保险</w:t>
            </w:r>
          </w:p>
        </w:tc>
        <w:tc>
          <w:tcPr>
            <w:tcW w:w="1815" w:type="dxa"/>
            <w:gridSpan w:val="2"/>
            <w:noWrap w:val="0"/>
            <w:vAlign w:val="top"/>
          </w:tcPr>
          <w:p>
            <w:pPr>
              <w:jc w:val="left"/>
              <w:rPr>
                <w:rFonts w:hint="eastAsia" w:ascii="宋体" w:hAnsi="宋体" w:eastAsia="宋体" w:cs="宋体"/>
                <w:color w:val="000000"/>
                <w:sz w:val="24"/>
                <w:szCs w:val="24"/>
              </w:rPr>
            </w:pPr>
          </w:p>
        </w:tc>
        <w:tc>
          <w:tcPr>
            <w:tcW w:w="2325" w:type="dxa"/>
            <w:gridSpan w:val="2"/>
            <w:noWrap w:val="0"/>
            <w:vAlign w:val="top"/>
          </w:tcPr>
          <w:p>
            <w:pPr>
              <w:jc w:val="left"/>
              <w:rPr>
                <w:rFonts w:hint="eastAsia" w:ascii="宋体" w:hAnsi="宋体" w:eastAsia="宋体" w:cs="宋体"/>
                <w:color w:val="000000"/>
                <w:sz w:val="24"/>
                <w:szCs w:val="24"/>
              </w:rPr>
            </w:pP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事业单位基本养老保险</w:t>
            </w:r>
          </w:p>
        </w:tc>
        <w:tc>
          <w:tcPr>
            <w:tcW w:w="1815" w:type="dxa"/>
            <w:gridSpan w:val="2"/>
            <w:noWrap w:val="0"/>
            <w:vAlign w:val="top"/>
          </w:tcPr>
          <w:p>
            <w:pPr>
              <w:jc w:val="left"/>
              <w:rPr>
                <w:rFonts w:hint="eastAsia" w:ascii="宋体" w:hAnsi="宋体" w:eastAsia="宋体" w:cs="宋体"/>
                <w:color w:val="000000"/>
                <w:sz w:val="24"/>
                <w:szCs w:val="24"/>
              </w:rPr>
            </w:pPr>
          </w:p>
        </w:tc>
        <w:tc>
          <w:tcPr>
            <w:tcW w:w="2325" w:type="dxa"/>
            <w:gridSpan w:val="2"/>
            <w:noWrap w:val="0"/>
            <w:vAlign w:val="top"/>
          </w:tcPr>
          <w:p>
            <w:pPr>
              <w:jc w:val="left"/>
              <w:rPr>
                <w:rFonts w:hint="eastAsia" w:ascii="宋体" w:hAnsi="宋体" w:eastAsia="宋体" w:cs="宋体"/>
                <w:color w:val="000000"/>
                <w:sz w:val="24"/>
                <w:szCs w:val="24"/>
              </w:rPr>
            </w:pP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公积金支出</w:t>
            </w:r>
          </w:p>
        </w:tc>
        <w:tc>
          <w:tcPr>
            <w:tcW w:w="1815" w:type="dxa"/>
            <w:gridSpan w:val="2"/>
            <w:noWrap w:val="0"/>
            <w:vAlign w:val="top"/>
          </w:tcPr>
          <w:p>
            <w:pPr>
              <w:jc w:val="left"/>
              <w:rPr>
                <w:rFonts w:hint="eastAsia" w:ascii="宋体" w:hAnsi="宋体" w:eastAsia="宋体" w:cs="宋体"/>
                <w:color w:val="000000"/>
                <w:sz w:val="24"/>
                <w:szCs w:val="24"/>
              </w:rPr>
            </w:pPr>
          </w:p>
        </w:tc>
        <w:tc>
          <w:tcPr>
            <w:tcW w:w="2325" w:type="dxa"/>
            <w:gridSpan w:val="2"/>
            <w:noWrap w:val="0"/>
            <w:vAlign w:val="top"/>
          </w:tcPr>
          <w:p>
            <w:pPr>
              <w:jc w:val="left"/>
              <w:rPr>
                <w:rFonts w:hint="eastAsia" w:ascii="宋体" w:hAnsi="宋体" w:eastAsia="宋体" w:cs="宋体"/>
                <w:color w:val="000000"/>
                <w:sz w:val="24"/>
                <w:szCs w:val="24"/>
              </w:rPr>
            </w:pP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850" w:type="dxa"/>
            <w:noWrap w:val="0"/>
            <w:vAlign w:val="top"/>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工伤保险</w:t>
            </w:r>
          </w:p>
        </w:tc>
        <w:tc>
          <w:tcPr>
            <w:tcW w:w="1815" w:type="dxa"/>
            <w:gridSpan w:val="2"/>
            <w:noWrap w:val="0"/>
            <w:vAlign w:val="top"/>
          </w:tcPr>
          <w:p>
            <w:pPr>
              <w:jc w:val="left"/>
              <w:rPr>
                <w:rFonts w:hint="eastAsia" w:ascii="宋体" w:hAnsi="宋体" w:eastAsia="宋体" w:cs="宋体"/>
                <w:color w:val="000000"/>
                <w:sz w:val="24"/>
                <w:szCs w:val="24"/>
              </w:rPr>
            </w:pPr>
          </w:p>
        </w:tc>
        <w:tc>
          <w:tcPr>
            <w:tcW w:w="2325" w:type="dxa"/>
            <w:gridSpan w:val="2"/>
            <w:noWrap w:val="0"/>
            <w:vAlign w:val="top"/>
          </w:tcPr>
          <w:p>
            <w:pPr>
              <w:jc w:val="left"/>
              <w:rPr>
                <w:rFonts w:hint="eastAsia" w:ascii="宋体" w:hAnsi="宋体" w:eastAsia="宋体" w:cs="宋体"/>
                <w:color w:val="000000"/>
                <w:sz w:val="24"/>
                <w:szCs w:val="24"/>
              </w:rPr>
            </w:pP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16.17</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1.35</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default"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2.05</w:t>
            </w:r>
          </w:p>
        </w:tc>
        <w:tc>
          <w:tcPr>
            <w:tcW w:w="1679"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15.77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pPr>
              <w:jc w:val="center"/>
              <w:rPr>
                <w:rFonts w:hint="eastAsia" w:ascii="宋体" w:hAnsi="宋体" w:eastAsia="宋体" w:cs="宋体"/>
                <w:color w:val="000000"/>
                <w:sz w:val="21"/>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rPr>
                <w:rFonts w:hint="eastAsia" w:ascii="宋体" w:hAnsi="宋体" w:eastAsia="宋体" w:cs="宋体"/>
                <w:color w:val="000000"/>
                <w:sz w:val="21"/>
              </w:rPr>
            </w:pPr>
          </w:p>
        </w:tc>
        <w:tc>
          <w:tcPr>
            <w:tcW w:w="990" w:type="dxa"/>
            <w:noWrap w:val="0"/>
            <w:vAlign w:val="top"/>
          </w:tcPr>
          <w:p>
            <w:pPr>
              <w:rPr>
                <w:rFonts w:hint="eastAsia" w:ascii="宋体" w:hAnsi="宋体" w:eastAsia="宋体" w:cs="宋体"/>
                <w:color w:val="000000"/>
                <w:sz w:val="21"/>
              </w:rPr>
            </w:pPr>
          </w:p>
        </w:tc>
        <w:tc>
          <w:tcPr>
            <w:tcW w:w="1140" w:type="dxa"/>
            <w:noWrap w:val="0"/>
            <w:vAlign w:val="top"/>
          </w:tcPr>
          <w:p>
            <w:pPr>
              <w:rPr>
                <w:rFonts w:hint="eastAsia" w:ascii="宋体" w:hAnsi="宋体" w:eastAsia="宋体" w:cs="宋体"/>
                <w:color w:val="000000"/>
                <w:sz w:val="21"/>
              </w:rPr>
            </w:pPr>
          </w:p>
        </w:tc>
        <w:tc>
          <w:tcPr>
            <w:tcW w:w="1185" w:type="dxa"/>
            <w:noWrap w:val="0"/>
            <w:vAlign w:val="top"/>
          </w:tcPr>
          <w:p>
            <w:pPr>
              <w:rPr>
                <w:rFonts w:hint="eastAsia" w:ascii="宋体" w:hAnsi="宋体" w:eastAsia="宋体" w:cs="宋体"/>
                <w:color w:val="000000"/>
                <w:sz w:val="21"/>
              </w:rPr>
            </w:pPr>
          </w:p>
        </w:tc>
        <w:tc>
          <w:tcPr>
            <w:tcW w:w="810" w:type="dxa"/>
            <w:noWrap w:val="0"/>
            <w:vAlign w:val="top"/>
          </w:tcPr>
          <w:p>
            <w:pPr>
              <w:rPr>
                <w:rFonts w:hint="eastAsia" w:ascii="宋体" w:hAnsi="宋体" w:eastAsia="宋体" w:cs="宋体"/>
                <w:color w:val="000000"/>
                <w:sz w:val="21"/>
              </w:rPr>
            </w:pPr>
          </w:p>
        </w:tc>
        <w:tc>
          <w:tcPr>
            <w:tcW w:w="869" w:type="dxa"/>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009" w:right="1106" w:bottom="704"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填报日期：</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12"/>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13"/>
              <w:spacing w:line="239" w:lineRule="exact"/>
              <w:rPr>
                <w:rFonts w:hint="eastAsia" w:ascii="宋体" w:hAnsi="宋体" w:eastAsia="宋体" w:cs="宋体"/>
                <w:sz w:val="20"/>
              </w:rPr>
            </w:pPr>
            <w:r>
              <w:rPr>
                <w:rFonts w:hint="eastAsia" w:ascii="宋体" w:hAnsi="宋体" w:eastAsia="宋体" w:cs="宋体"/>
                <w:color w:val="000000"/>
                <w:spacing w:val="-2"/>
                <w:sz w:val="20"/>
                <w:szCs w:val="20"/>
              </w:rPr>
              <w:t>岳阳市洞庭新城项目建设岳阳楼区工作部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13"/>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13"/>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3"/>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pPr>
              <w:pStyle w:val="13"/>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142.64</w:t>
            </w:r>
          </w:p>
        </w:tc>
        <w:tc>
          <w:tcPr>
            <w:tcW w:w="1310" w:type="dxa"/>
            <w:noWrap w:val="0"/>
            <w:vAlign w:val="top"/>
          </w:tcPr>
          <w:p>
            <w:pPr>
              <w:pStyle w:val="13"/>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203.54</w:t>
            </w:r>
          </w:p>
        </w:tc>
        <w:tc>
          <w:tcPr>
            <w:tcW w:w="1268" w:type="dxa"/>
            <w:noWrap w:val="0"/>
            <w:vAlign w:val="top"/>
          </w:tcPr>
          <w:p>
            <w:pPr>
              <w:pStyle w:val="13"/>
              <w:spacing w:line="235" w:lineRule="exact"/>
              <w:jc w:val="center"/>
              <w:rPr>
                <w:rFonts w:hint="eastAsia" w:ascii="宋体" w:hAnsi="宋体" w:eastAsia="宋体" w:cs="宋体"/>
                <w:sz w:val="20"/>
              </w:rPr>
            </w:pPr>
            <w:r>
              <w:rPr>
                <w:rFonts w:hint="eastAsia" w:ascii="宋体" w:hAnsi="宋体" w:eastAsia="宋体" w:cs="宋体"/>
                <w:sz w:val="20"/>
                <w:lang w:val="en-US" w:eastAsia="zh-CN"/>
              </w:rPr>
              <w:t>203.54</w:t>
            </w:r>
          </w:p>
        </w:tc>
        <w:tc>
          <w:tcPr>
            <w:tcW w:w="716" w:type="dxa"/>
            <w:noWrap w:val="0"/>
            <w:vAlign w:val="top"/>
          </w:tcPr>
          <w:p>
            <w:pPr>
              <w:pStyle w:val="13"/>
              <w:spacing w:before="54" w:line="194" w:lineRule="auto"/>
              <w:ind w:left="270"/>
              <w:jc w:val="center"/>
              <w:rPr>
                <w:rFonts w:hint="eastAsia" w:ascii="宋体" w:hAnsi="宋体" w:eastAsia="宋体" w:cs="宋体"/>
                <w:sz w:val="19"/>
                <w:szCs w:val="19"/>
              </w:rPr>
            </w:pPr>
            <w:r>
              <w:rPr>
                <w:rFonts w:hint="eastAsia" w:ascii="宋体" w:hAnsi="宋体" w:eastAsia="宋体" w:cs="宋体"/>
                <w:b w:val="0"/>
                <w:bCs w:val="0"/>
                <w:spacing w:val="-10"/>
                <w:sz w:val="19"/>
                <w:szCs w:val="19"/>
              </w:rPr>
              <w:t>10</w:t>
            </w:r>
          </w:p>
        </w:tc>
        <w:tc>
          <w:tcPr>
            <w:tcW w:w="873" w:type="dxa"/>
            <w:noWrap w:val="0"/>
            <w:vAlign w:val="top"/>
          </w:tcPr>
          <w:p>
            <w:pPr>
              <w:pStyle w:val="13"/>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pPr>
              <w:pStyle w:val="13"/>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3"/>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3"/>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182.26</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132.71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3"/>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70.83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3"/>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13"/>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21.28</w:t>
            </w:r>
          </w:p>
        </w:tc>
        <w:tc>
          <w:tcPr>
            <w:tcW w:w="4307" w:type="dxa"/>
            <w:gridSpan w:val="4"/>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13"/>
              <w:spacing w:line="242" w:lineRule="auto"/>
              <w:rPr>
                <w:rFonts w:hint="eastAsia" w:ascii="宋体" w:hAnsi="宋体" w:eastAsia="宋体" w:cs="宋体"/>
              </w:rPr>
            </w:pPr>
          </w:p>
          <w:p>
            <w:pPr>
              <w:pStyle w:val="13"/>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pPr>
              <w:pStyle w:val="13"/>
              <w:rPr>
                <w:rFonts w:hint="eastAsia" w:ascii="宋体" w:hAnsi="宋体" w:eastAsia="宋体" w:cs="宋体"/>
              </w:rPr>
            </w:pPr>
          </w:p>
        </w:tc>
        <w:tc>
          <w:tcPr>
            <w:tcW w:w="4692" w:type="dxa"/>
            <w:gridSpan w:val="4"/>
            <w:tcBorders>
              <w:bottom w:val="single" w:color="auto" w:sz="4" w:space="0"/>
            </w:tcBorders>
            <w:noWrap w:val="0"/>
            <w:vAlign w:val="top"/>
          </w:tcPr>
          <w:p>
            <w:pPr>
              <w:pStyle w:val="13"/>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完成32户门面回购和置换工作；</w:t>
            </w:r>
          </w:p>
          <w:p>
            <w:pPr>
              <w:pStyle w:val="13"/>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完成颜氏旧改项目54户私房征收及后续的安置维稳等工作；</w:t>
            </w:r>
          </w:p>
          <w:p>
            <w:pPr>
              <w:pStyle w:val="13"/>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引进1000万元招商投资项目；</w:t>
            </w:r>
          </w:p>
          <w:p>
            <w:pPr>
              <w:pStyle w:val="13"/>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党建学习教育进行三次专题讨论。</w:t>
            </w:r>
          </w:p>
        </w:tc>
        <w:tc>
          <w:tcPr>
            <w:tcW w:w="4307" w:type="dxa"/>
            <w:gridSpan w:val="4"/>
            <w:tcBorders>
              <w:bottom w:val="single" w:color="auto" w:sz="4"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0" w:lineRule="atLeast"/>
              <w:ind w:left="0" w:leftChars="0" w:firstLine="400" w:firstLineChars="200"/>
              <w:textAlignment w:val="auto"/>
              <w:rPr>
                <w:rFonts w:hint="default" w:ascii="宋体" w:hAnsi="宋体" w:eastAsia="宋体" w:cs="宋体"/>
                <w:lang w:val="en-US"/>
              </w:rPr>
            </w:pPr>
            <w:r>
              <w:rPr>
                <w:rFonts w:hint="eastAsia" w:ascii="宋体" w:hAnsi="宋体" w:eastAsia="宋体" w:cs="宋体"/>
                <w:sz w:val="20"/>
                <w:lang w:val="en-US" w:eastAsia="zh-CN"/>
              </w:rPr>
              <w:t>1、全面完成了32户门面回购和置换工作，同时妥善处置了门面交付所发生的各类矛盾纠纷；2、全面完成颜氏旧改项目54户私房征收及后续的安置维稳等工作。同时完成了该小区安置户的办证相关手续，办证工作已接近尾声；3、通过多渠道、全方位的跟进，成功引进利都中环名座幼儿园420万元、欢悦玩国娱乐有限公司800万元的投资项目，超额完成今年1000万招商引资工作任务。4、坚持一把手、党支部书记讲党课、党员同志带头学等形式进行学习教育，进行了三次专题讨论，使党员干部政治意识、责任意识、纪律意识不断提升和增强</w:t>
            </w:r>
            <w:r>
              <w:rPr>
                <w:rFonts w:hint="eastAsia" w:ascii="宋体" w:hAnsi="宋体" w:cs="宋体"/>
                <w:sz w:val="20"/>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13"/>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13"/>
              <w:spacing w:line="272" w:lineRule="auto"/>
              <w:rPr>
                <w:rFonts w:hint="eastAsia" w:ascii="宋体" w:hAnsi="宋体" w:eastAsia="宋体" w:cs="宋体"/>
              </w:rPr>
            </w:pPr>
          </w:p>
          <w:p>
            <w:pPr>
              <w:pStyle w:val="13"/>
              <w:spacing w:line="272" w:lineRule="auto"/>
              <w:rPr>
                <w:rFonts w:hint="eastAsia" w:ascii="宋体" w:hAnsi="宋体" w:eastAsia="宋体" w:cs="宋体"/>
              </w:rPr>
            </w:pPr>
          </w:p>
          <w:p>
            <w:pPr>
              <w:pStyle w:val="13"/>
              <w:spacing w:line="272" w:lineRule="auto"/>
              <w:rPr>
                <w:rFonts w:hint="eastAsia" w:ascii="宋体" w:hAnsi="宋体" w:eastAsia="宋体" w:cs="宋体"/>
              </w:rPr>
            </w:pPr>
          </w:p>
          <w:p>
            <w:pPr>
              <w:pStyle w:val="13"/>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r>
              <w:rPr>
                <w:rFonts w:hint="eastAsia" w:ascii="宋体" w:hAnsi="宋体" w:eastAsia="宋体" w:cs="宋体"/>
                <w:sz w:val="20"/>
                <w:lang w:val="en-US" w:eastAsia="zh-CN"/>
              </w:rPr>
              <w:t>门面回购和置换工作</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32户</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r>
              <w:rPr>
                <w:rFonts w:hint="eastAsia" w:ascii="宋体" w:hAnsi="宋体" w:eastAsia="宋体" w:cs="宋体"/>
                <w:sz w:val="20"/>
                <w:lang w:val="en-US" w:eastAsia="zh-CN"/>
              </w:rPr>
              <w:t>32户</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rPr>
            </w:pPr>
            <w:r>
              <w:rPr>
                <w:rFonts w:hint="eastAsia" w:ascii="宋体" w:hAnsi="宋体" w:eastAsia="宋体" w:cs="宋体"/>
                <w:sz w:val="20"/>
                <w:lang w:val="en-US" w:eastAsia="zh-CN"/>
              </w:rPr>
              <w:t>颜氏旧改项目，私房征收及后续的安置维稳户数</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54户</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r>
              <w:rPr>
                <w:rFonts w:hint="eastAsia" w:ascii="宋体" w:hAnsi="宋体" w:eastAsia="宋体" w:cs="宋体"/>
                <w:sz w:val="20"/>
                <w:lang w:val="en-US" w:eastAsia="zh-CN"/>
              </w:rPr>
              <w:t>54户</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党建学习教育专题会议次数</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三次</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r>
              <w:rPr>
                <w:rFonts w:hint="eastAsia" w:ascii="宋体" w:hAnsi="宋体" w:eastAsia="宋体" w:cs="宋体"/>
                <w:sz w:val="20"/>
                <w:lang w:val="en-US" w:eastAsia="zh-CN"/>
              </w:rPr>
              <w:t>三次</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门面教育矛盾纠纷发生率</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r>
              <w:rPr>
                <w:rFonts w:hint="eastAsia" w:ascii="宋体" w:hAnsi="宋体" w:eastAsia="宋体" w:cs="宋体"/>
                <w:sz w:val="20"/>
                <w:lang w:val="en-US" w:eastAsia="zh-CN"/>
              </w:rPr>
              <w:t>0%</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党建学习教育专题会议职工参与率</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2023年度完成招商投资工作</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2023年度完成</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2023年度完成重点项目协调工作</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2023年度完成</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总成本控制</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不超过年初预算投入</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rPr>
            </w:pPr>
            <w:r>
              <w:rPr>
                <w:rFonts w:hint="eastAsia" w:ascii="宋体" w:hAnsi="宋体" w:eastAsia="宋体" w:cs="宋体"/>
                <w:sz w:val="20"/>
                <w:lang w:val="en-US" w:eastAsia="zh-CN"/>
              </w:rPr>
              <w:t>203.54万元</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因为年初预算没有包含单位临聘人员经费和单位其他资金预算。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13"/>
              <w:spacing w:line="256" w:lineRule="auto"/>
              <w:rPr>
                <w:rFonts w:hint="eastAsia" w:ascii="宋体" w:hAnsi="宋体" w:eastAsia="宋体" w:cs="宋体"/>
              </w:rPr>
            </w:pPr>
          </w:p>
          <w:p>
            <w:pPr>
              <w:pStyle w:val="13"/>
              <w:spacing w:line="256" w:lineRule="auto"/>
              <w:rPr>
                <w:rFonts w:hint="eastAsia" w:ascii="宋体" w:hAnsi="宋体" w:eastAsia="宋体" w:cs="宋体"/>
              </w:rPr>
            </w:pPr>
          </w:p>
          <w:p>
            <w:pPr>
              <w:pStyle w:val="13"/>
              <w:spacing w:line="256" w:lineRule="auto"/>
              <w:rPr>
                <w:rFonts w:hint="eastAsia" w:ascii="宋体" w:hAnsi="宋体" w:eastAsia="宋体" w:cs="宋体"/>
              </w:rPr>
            </w:pPr>
          </w:p>
          <w:p>
            <w:pPr>
              <w:pStyle w:val="13"/>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rPr>
            </w:pPr>
            <w:r>
              <w:rPr>
                <w:rFonts w:hint="eastAsia" w:ascii="宋体" w:hAnsi="宋体" w:eastAsia="宋体" w:cs="宋体"/>
                <w:sz w:val="20"/>
                <w:lang w:val="en-US" w:eastAsia="zh-CN"/>
              </w:rPr>
              <w:t>引进招商投资项目</w:t>
            </w:r>
          </w:p>
        </w:tc>
        <w:tc>
          <w:tcPr>
            <w:tcW w:w="1310" w:type="dxa"/>
            <w:tcBorders>
              <w:top w:val="single" w:color="auto" w:sz="4" w:space="0"/>
              <w:left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1000万元</w:t>
            </w:r>
          </w:p>
        </w:tc>
        <w:tc>
          <w:tcPr>
            <w:tcW w:w="1268" w:type="dxa"/>
            <w:tcBorders>
              <w:top w:val="single" w:color="auto" w:sz="4" w:space="0"/>
              <w:left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1220万元</w:t>
            </w:r>
          </w:p>
        </w:tc>
        <w:tc>
          <w:tcPr>
            <w:tcW w:w="716" w:type="dxa"/>
            <w:tcBorders>
              <w:top w:val="single" w:color="auto" w:sz="4" w:space="0"/>
              <w:left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firstLine="202" w:firstLineChars="100"/>
              <w:rPr>
                <w:rFonts w:hint="eastAsia" w:ascii="宋体" w:hAnsi="宋体" w:eastAsia="宋体" w:cs="宋体"/>
                <w:sz w:val="19"/>
                <w:szCs w:val="19"/>
              </w:rPr>
            </w:pPr>
            <w:r>
              <w:rPr>
                <w:rFonts w:hint="eastAsia" w:ascii="宋体" w:hAnsi="宋体" w:eastAsia="宋体" w:cs="宋体"/>
                <w:spacing w:val="6"/>
                <w:sz w:val="19"/>
                <w:szCs w:val="19"/>
              </w:rPr>
              <w:t>社会效</w:t>
            </w:r>
          </w:p>
          <w:p>
            <w:pPr>
              <w:pStyle w:val="13"/>
              <w:ind w:firstLine="196" w:firstLineChars="100"/>
              <w:rPr>
                <w:rFonts w:hint="eastAsia" w:ascii="宋体" w:hAnsi="宋体" w:eastAsia="宋体" w:cs="宋体"/>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项目遗留问题处理</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重点加强</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通过努力成功协调处理徐新辉、罗建强两件类似的诉讼案</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1268" w:type="dxa"/>
            <w:tcBorders>
              <w:top w:val="single" w:color="auto" w:sz="4" w:space="0"/>
              <w:left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716" w:type="dxa"/>
            <w:tcBorders>
              <w:top w:val="single" w:color="auto" w:sz="4" w:space="0"/>
              <w:left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党员干部政治意识、责任意识、纪律意识</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显著提升和增强</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显著提升和增强</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居民爱护、自治环境卫生的责任意识</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显著提高</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显著提高</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rPr>
                <w:rFonts w:hint="default" w:ascii="宋体" w:hAnsi="宋体" w:eastAsia="宋体" w:cs="宋体"/>
                <w:lang w:val="en-US" w:eastAsia="zh-CN"/>
              </w:rPr>
            </w:pPr>
            <w:r>
              <w:rPr>
                <w:rFonts w:hint="eastAsia" w:ascii="宋体" w:hAnsi="宋体" w:eastAsia="宋体" w:cs="宋体"/>
                <w:lang w:val="en-US" w:eastAsia="zh-CN"/>
              </w:rPr>
              <w:t>群众满意度</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13"/>
              <w:rPr>
                <w:rFonts w:hint="default" w:ascii="宋体" w:hAnsi="宋体" w:eastAsia="宋体" w:cs="宋体"/>
                <w:lang w:val="en-US" w:eastAsia="zh-CN"/>
              </w:rPr>
            </w:pPr>
            <w:r>
              <w:rPr>
                <w:rFonts w:hint="eastAsia" w:ascii="宋体" w:hAnsi="宋体" w:eastAsia="宋体" w:cs="宋体"/>
                <w:lang w:val="en-US" w:eastAsia="zh-CN"/>
              </w:rPr>
              <w:t>职工满意度</w:t>
            </w:r>
          </w:p>
        </w:tc>
        <w:tc>
          <w:tcPr>
            <w:tcW w:w="1310" w:type="dxa"/>
            <w:tcBorders>
              <w:top w:val="single" w:color="auto" w:sz="4" w:space="0"/>
              <w:left w:val="single" w:color="auto" w:sz="4" w:space="0"/>
              <w:bottom w:val="single" w:color="auto" w:sz="4" w:space="0"/>
              <w:right w:val="single" w:color="auto" w:sz="4" w:space="0"/>
            </w:tcBorders>
            <w:noWrap w:val="0"/>
            <w:vAlign w:val="top"/>
          </w:tcPr>
          <w:p>
            <w:pPr>
              <w:pStyle w:val="13"/>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13"/>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13"/>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填报日期：</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2"/>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13"/>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13"/>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pPr>
              <w:pStyle w:val="13"/>
              <w:rPr>
                <w:rFonts w:hint="eastAsia" w:ascii="宋体" w:hAnsi="宋体" w:eastAsia="宋体" w:cs="宋体"/>
                <w:lang w:val="en-US" w:eastAsia="zh-CN"/>
              </w:rPr>
            </w:pPr>
            <w:r>
              <w:rPr>
                <w:rFonts w:hint="eastAsia" w:ascii="宋体" w:hAnsi="宋体" w:eastAsia="宋体" w:cs="宋体"/>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13"/>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13"/>
              <w:rPr>
                <w:rFonts w:hint="eastAsia" w:ascii="宋体" w:hAnsi="宋体" w:eastAsia="宋体" w:cs="宋体"/>
              </w:rPr>
            </w:pPr>
          </w:p>
        </w:tc>
        <w:tc>
          <w:tcPr>
            <w:tcW w:w="1244" w:type="dxa"/>
            <w:noWrap w:val="0"/>
            <w:vAlign w:val="top"/>
          </w:tcPr>
          <w:p>
            <w:pPr>
              <w:pStyle w:val="13"/>
              <w:rPr>
                <w:rFonts w:hint="eastAsia" w:ascii="宋体" w:hAnsi="宋体" w:eastAsia="宋体" w:cs="宋体"/>
              </w:rPr>
            </w:pPr>
          </w:p>
        </w:tc>
        <w:tc>
          <w:tcPr>
            <w:tcW w:w="1281" w:type="dxa"/>
            <w:noWrap w:val="0"/>
            <w:vAlign w:val="top"/>
          </w:tcPr>
          <w:p>
            <w:pPr>
              <w:pStyle w:val="13"/>
              <w:rPr>
                <w:rFonts w:hint="eastAsia" w:ascii="宋体" w:hAnsi="宋体" w:eastAsia="宋体" w:cs="宋体"/>
              </w:rPr>
            </w:pPr>
          </w:p>
        </w:tc>
        <w:tc>
          <w:tcPr>
            <w:tcW w:w="673" w:type="dxa"/>
            <w:noWrap w:val="0"/>
            <w:vAlign w:val="top"/>
          </w:tcPr>
          <w:p>
            <w:pPr>
              <w:pStyle w:val="13"/>
              <w:rPr>
                <w:rFonts w:hint="eastAsia" w:ascii="宋体" w:hAnsi="宋体" w:eastAsia="宋体" w:cs="宋体"/>
              </w:rPr>
            </w:pPr>
          </w:p>
        </w:tc>
        <w:tc>
          <w:tcPr>
            <w:tcW w:w="873" w:type="dxa"/>
            <w:noWrap w:val="0"/>
            <w:vAlign w:val="top"/>
          </w:tcPr>
          <w:p>
            <w:pPr>
              <w:pStyle w:val="13"/>
              <w:rPr>
                <w:rFonts w:hint="eastAsia" w:ascii="宋体" w:hAnsi="宋体" w:eastAsia="宋体" w:cs="宋体"/>
              </w:rPr>
            </w:pPr>
          </w:p>
        </w:tc>
        <w:tc>
          <w:tcPr>
            <w:tcW w:w="1422" w:type="dxa"/>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13"/>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13"/>
              <w:rPr>
                <w:rFonts w:hint="eastAsia" w:ascii="宋体" w:hAnsi="宋体" w:eastAsia="宋体" w:cs="宋体"/>
              </w:rPr>
            </w:pPr>
          </w:p>
        </w:tc>
        <w:tc>
          <w:tcPr>
            <w:tcW w:w="1244" w:type="dxa"/>
            <w:noWrap w:val="0"/>
            <w:vAlign w:val="top"/>
          </w:tcPr>
          <w:p>
            <w:pPr>
              <w:pStyle w:val="13"/>
              <w:rPr>
                <w:rFonts w:hint="eastAsia" w:ascii="宋体" w:hAnsi="宋体" w:eastAsia="宋体" w:cs="宋体"/>
              </w:rPr>
            </w:pPr>
          </w:p>
        </w:tc>
        <w:tc>
          <w:tcPr>
            <w:tcW w:w="1281" w:type="dxa"/>
            <w:noWrap w:val="0"/>
            <w:vAlign w:val="top"/>
          </w:tcPr>
          <w:p>
            <w:pPr>
              <w:pStyle w:val="13"/>
              <w:rPr>
                <w:rFonts w:hint="eastAsia" w:ascii="宋体" w:hAnsi="宋体" w:eastAsia="宋体" w:cs="宋体"/>
              </w:rPr>
            </w:pPr>
          </w:p>
        </w:tc>
        <w:tc>
          <w:tcPr>
            <w:tcW w:w="673" w:type="dxa"/>
            <w:noWrap w:val="0"/>
            <w:vAlign w:val="top"/>
          </w:tcPr>
          <w:p>
            <w:pPr>
              <w:pStyle w:val="13"/>
              <w:rPr>
                <w:rFonts w:hint="eastAsia" w:ascii="宋体" w:hAnsi="宋体" w:eastAsia="宋体" w:cs="宋体"/>
              </w:rPr>
            </w:pPr>
          </w:p>
        </w:tc>
        <w:tc>
          <w:tcPr>
            <w:tcW w:w="873" w:type="dxa"/>
            <w:noWrap w:val="0"/>
            <w:vAlign w:val="top"/>
          </w:tcPr>
          <w:p>
            <w:pPr>
              <w:pStyle w:val="13"/>
              <w:rPr>
                <w:rFonts w:hint="eastAsia" w:ascii="宋体" w:hAnsi="宋体" w:eastAsia="宋体" w:cs="宋体"/>
              </w:rPr>
            </w:pPr>
          </w:p>
        </w:tc>
        <w:tc>
          <w:tcPr>
            <w:tcW w:w="1422" w:type="dxa"/>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13"/>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13"/>
              <w:rPr>
                <w:rFonts w:hint="eastAsia" w:ascii="宋体" w:hAnsi="宋体" w:eastAsia="宋体" w:cs="宋体"/>
              </w:rPr>
            </w:pPr>
          </w:p>
        </w:tc>
        <w:tc>
          <w:tcPr>
            <w:tcW w:w="1244" w:type="dxa"/>
            <w:noWrap w:val="0"/>
            <w:vAlign w:val="top"/>
          </w:tcPr>
          <w:p>
            <w:pPr>
              <w:pStyle w:val="13"/>
              <w:rPr>
                <w:rFonts w:hint="eastAsia" w:ascii="宋体" w:hAnsi="宋体" w:eastAsia="宋体" w:cs="宋体"/>
              </w:rPr>
            </w:pPr>
          </w:p>
        </w:tc>
        <w:tc>
          <w:tcPr>
            <w:tcW w:w="1281" w:type="dxa"/>
            <w:noWrap w:val="0"/>
            <w:vAlign w:val="top"/>
          </w:tcPr>
          <w:p>
            <w:pPr>
              <w:pStyle w:val="13"/>
              <w:rPr>
                <w:rFonts w:hint="eastAsia" w:ascii="宋体" w:hAnsi="宋体" w:eastAsia="宋体" w:cs="宋体"/>
              </w:rPr>
            </w:pPr>
          </w:p>
        </w:tc>
        <w:tc>
          <w:tcPr>
            <w:tcW w:w="673" w:type="dxa"/>
            <w:noWrap w:val="0"/>
            <w:vAlign w:val="top"/>
          </w:tcPr>
          <w:p>
            <w:pPr>
              <w:pStyle w:val="13"/>
              <w:rPr>
                <w:rFonts w:hint="eastAsia" w:ascii="宋体" w:hAnsi="宋体" w:eastAsia="宋体" w:cs="宋体"/>
              </w:rPr>
            </w:pPr>
          </w:p>
        </w:tc>
        <w:tc>
          <w:tcPr>
            <w:tcW w:w="873" w:type="dxa"/>
            <w:noWrap w:val="0"/>
            <w:vAlign w:val="top"/>
          </w:tcPr>
          <w:p>
            <w:pPr>
              <w:pStyle w:val="13"/>
              <w:rPr>
                <w:rFonts w:hint="eastAsia" w:ascii="宋体" w:hAnsi="宋体" w:eastAsia="宋体" w:cs="宋体"/>
              </w:rPr>
            </w:pPr>
          </w:p>
        </w:tc>
        <w:tc>
          <w:tcPr>
            <w:tcW w:w="1422" w:type="dxa"/>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13"/>
              <w:rPr>
                <w:rFonts w:hint="eastAsia" w:ascii="宋体" w:hAnsi="宋体" w:eastAsia="宋体" w:cs="宋体"/>
              </w:rPr>
            </w:pPr>
          </w:p>
        </w:tc>
        <w:tc>
          <w:tcPr>
            <w:tcW w:w="4522" w:type="dxa"/>
            <w:gridSpan w:val="4"/>
            <w:noWrap w:val="0"/>
            <w:vAlign w:val="top"/>
          </w:tcPr>
          <w:p>
            <w:pPr>
              <w:pStyle w:val="13"/>
              <w:rPr>
                <w:rFonts w:hint="eastAsia" w:ascii="宋体" w:hAnsi="宋体" w:eastAsia="宋体" w:cs="宋体"/>
              </w:rPr>
            </w:pPr>
          </w:p>
        </w:tc>
        <w:tc>
          <w:tcPr>
            <w:tcW w:w="4249" w:type="dxa"/>
            <w:gridSpan w:val="4"/>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13"/>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restart"/>
            <w:tcBorders>
              <w:bottom w:val="nil"/>
            </w:tcBorders>
            <w:noWrap w:val="0"/>
            <w:vAlign w:val="top"/>
          </w:tcPr>
          <w:p>
            <w:pPr>
              <w:pStyle w:val="13"/>
              <w:spacing w:line="256" w:lineRule="auto"/>
              <w:rPr>
                <w:rFonts w:hint="eastAsia" w:ascii="宋体" w:hAnsi="宋体" w:eastAsia="宋体" w:cs="宋体"/>
              </w:rPr>
            </w:pPr>
          </w:p>
          <w:p>
            <w:pPr>
              <w:pStyle w:val="13"/>
              <w:spacing w:line="256" w:lineRule="auto"/>
              <w:rPr>
                <w:rFonts w:hint="eastAsia" w:ascii="宋体" w:hAnsi="宋体" w:eastAsia="宋体" w:cs="宋体"/>
              </w:rPr>
            </w:pPr>
          </w:p>
          <w:p>
            <w:pPr>
              <w:pStyle w:val="13"/>
              <w:spacing w:line="256" w:lineRule="auto"/>
              <w:rPr>
                <w:rFonts w:hint="eastAsia" w:ascii="宋体" w:hAnsi="宋体" w:eastAsia="宋体" w:cs="宋体"/>
              </w:rPr>
            </w:pPr>
          </w:p>
          <w:p>
            <w:pPr>
              <w:pStyle w:val="13"/>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continue"/>
            <w:tcBorders>
              <w:top w:val="nil"/>
              <w:bottom w:val="nil"/>
            </w:tcBorders>
            <w:noWrap w:val="0"/>
            <w:vAlign w:val="top"/>
          </w:tcPr>
          <w:p>
            <w:pPr>
              <w:pStyle w:val="13"/>
              <w:rPr>
                <w:rFonts w:hint="eastAsia" w:ascii="宋体" w:hAnsi="宋体" w:eastAsia="宋体" w:cs="宋体"/>
              </w:rPr>
            </w:pP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continue"/>
            <w:tcBorders>
              <w:top w:val="nil"/>
            </w:tcBorders>
            <w:noWrap w:val="0"/>
            <w:vAlign w:val="top"/>
          </w:tcPr>
          <w:p>
            <w:pPr>
              <w:pStyle w:val="13"/>
              <w:rPr>
                <w:rFonts w:hint="eastAsia" w:ascii="宋体" w:hAnsi="宋体" w:eastAsia="宋体" w:cs="宋体"/>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continue"/>
            <w:tcBorders>
              <w:top w:val="nil"/>
              <w:bottom w:val="nil"/>
            </w:tcBorders>
            <w:noWrap w:val="0"/>
            <w:vAlign w:val="top"/>
          </w:tcPr>
          <w:p>
            <w:pPr>
              <w:pStyle w:val="13"/>
              <w:rPr>
                <w:rFonts w:hint="eastAsia" w:ascii="宋体" w:hAnsi="宋体" w:eastAsia="宋体" w:cs="宋体"/>
              </w:rPr>
            </w:pP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continue"/>
            <w:tcBorders>
              <w:top w:val="nil"/>
            </w:tcBorders>
            <w:noWrap w:val="0"/>
            <w:vAlign w:val="top"/>
          </w:tcPr>
          <w:p>
            <w:pPr>
              <w:pStyle w:val="13"/>
              <w:rPr>
                <w:rFonts w:hint="eastAsia" w:ascii="宋体" w:hAnsi="宋体" w:eastAsia="宋体" w:cs="宋体"/>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top"/>
          </w:tcPr>
          <w:p>
            <w:pPr>
              <w:pStyle w:val="13"/>
              <w:spacing w:line="224" w:lineRule="exact"/>
              <w:rPr>
                <w:rFonts w:hint="eastAsia" w:ascii="宋体" w:hAnsi="宋体" w:eastAsia="宋体" w:cs="宋体"/>
                <w:sz w:val="19"/>
              </w:rPr>
            </w:pPr>
          </w:p>
        </w:tc>
        <w:tc>
          <w:tcPr>
            <w:tcW w:w="1244" w:type="dxa"/>
            <w:noWrap w:val="0"/>
            <w:vAlign w:val="top"/>
          </w:tcPr>
          <w:p>
            <w:pPr>
              <w:pStyle w:val="13"/>
              <w:spacing w:line="224" w:lineRule="exact"/>
              <w:rPr>
                <w:rFonts w:hint="eastAsia" w:ascii="宋体" w:hAnsi="宋体" w:eastAsia="宋体" w:cs="宋体"/>
                <w:sz w:val="19"/>
              </w:rPr>
            </w:pPr>
          </w:p>
        </w:tc>
        <w:tc>
          <w:tcPr>
            <w:tcW w:w="1281" w:type="dxa"/>
            <w:noWrap w:val="0"/>
            <w:vAlign w:val="top"/>
          </w:tcPr>
          <w:p>
            <w:pPr>
              <w:pStyle w:val="13"/>
              <w:spacing w:line="224" w:lineRule="exact"/>
              <w:rPr>
                <w:rFonts w:hint="eastAsia" w:ascii="宋体" w:hAnsi="宋体" w:eastAsia="宋体" w:cs="宋体"/>
                <w:sz w:val="19"/>
              </w:rPr>
            </w:pPr>
          </w:p>
        </w:tc>
        <w:tc>
          <w:tcPr>
            <w:tcW w:w="673" w:type="dxa"/>
            <w:noWrap w:val="0"/>
            <w:vAlign w:val="top"/>
          </w:tcPr>
          <w:p>
            <w:pPr>
              <w:pStyle w:val="13"/>
              <w:spacing w:line="224" w:lineRule="exact"/>
              <w:rPr>
                <w:rFonts w:hint="eastAsia" w:ascii="宋体" w:hAnsi="宋体" w:eastAsia="宋体" w:cs="宋体"/>
                <w:sz w:val="19"/>
              </w:rPr>
            </w:pPr>
          </w:p>
        </w:tc>
        <w:tc>
          <w:tcPr>
            <w:tcW w:w="873" w:type="dxa"/>
            <w:noWrap w:val="0"/>
            <w:vAlign w:val="top"/>
          </w:tcPr>
          <w:p>
            <w:pPr>
              <w:pStyle w:val="13"/>
              <w:spacing w:line="224" w:lineRule="exact"/>
              <w:rPr>
                <w:rFonts w:hint="eastAsia" w:ascii="宋体" w:hAnsi="宋体" w:eastAsia="宋体" w:cs="宋体"/>
                <w:sz w:val="19"/>
              </w:rPr>
            </w:pPr>
          </w:p>
        </w:tc>
        <w:tc>
          <w:tcPr>
            <w:tcW w:w="1422" w:type="dxa"/>
            <w:noWrap w:val="0"/>
            <w:vAlign w:val="top"/>
          </w:tcPr>
          <w:p>
            <w:pPr>
              <w:pStyle w:val="13"/>
              <w:spacing w:line="224"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continue"/>
            <w:tcBorders>
              <w:top w:val="nil"/>
              <w:bottom w:val="nil"/>
            </w:tcBorders>
            <w:noWrap w:val="0"/>
            <w:vAlign w:val="top"/>
          </w:tcPr>
          <w:p>
            <w:pPr>
              <w:pStyle w:val="13"/>
              <w:rPr>
                <w:rFonts w:hint="eastAsia" w:ascii="宋体" w:hAnsi="宋体" w:eastAsia="宋体" w:cs="宋体"/>
              </w:rPr>
            </w:pP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continue"/>
            <w:tcBorders>
              <w:top w:val="nil"/>
            </w:tcBorders>
            <w:noWrap w:val="0"/>
            <w:vAlign w:val="top"/>
          </w:tcPr>
          <w:p>
            <w:pPr>
              <w:pStyle w:val="13"/>
              <w:rPr>
                <w:rFonts w:hint="eastAsia" w:ascii="宋体" w:hAnsi="宋体" w:eastAsia="宋体" w:cs="宋体"/>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restart"/>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nil"/>
            </w:tcBorders>
            <w:noWrap w:val="0"/>
            <w:vAlign w:val="top"/>
          </w:tcPr>
          <w:p>
            <w:pPr>
              <w:pStyle w:val="13"/>
              <w:rPr>
                <w:rFonts w:hint="eastAsia" w:ascii="宋体" w:hAnsi="宋体" w:eastAsia="宋体" w:cs="宋体"/>
              </w:rPr>
            </w:pPr>
          </w:p>
        </w:tc>
        <w:tc>
          <w:tcPr>
            <w:tcW w:w="955" w:type="dxa"/>
            <w:vMerge w:val="continue"/>
            <w:tcBorders>
              <w:top w:val="nil"/>
              <w:bottom w:val="nil"/>
            </w:tcBorders>
            <w:noWrap w:val="0"/>
            <w:vAlign w:val="top"/>
          </w:tcPr>
          <w:p>
            <w:pPr>
              <w:pStyle w:val="13"/>
              <w:rPr>
                <w:rFonts w:hint="eastAsia" w:ascii="宋体" w:hAnsi="宋体" w:eastAsia="宋体" w:cs="宋体"/>
              </w:rPr>
            </w:pP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nil"/>
              <w:bottom w:val="single" w:color="auto" w:sz="4" w:space="0"/>
            </w:tcBorders>
            <w:noWrap w:val="0"/>
            <w:vAlign w:val="top"/>
          </w:tcPr>
          <w:p>
            <w:pPr>
              <w:pStyle w:val="13"/>
              <w:rPr>
                <w:rFonts w:hint="eastAsia" w:ascii="宋体" w:hAnsi="宋体" w:eastAsia="宋体" w:cs="宋体"/>
              </w:rPr>
            </w:pPr>
          </w:p>
        </w:tc>
        <w:tc>
          <w:tcPr>
            <w:tcW w:w="955" w:type="dxa"/>
            <w:vMerge w:val="continue"/>
            <w:tcBorders>
              <w:top w:val="nil"/>
              <w:bottom w:val="single" w:color="auto" w:sz="4" w:space="0"/>
            </w:tcBorders>
            <w:noWrap w:val="0"/>
            <w:vAlign w:val="top"/>
          </w:tcPr>
          <w:p>
            <w:pPr>
              <w:pStyle w:val="13"/>
              <w:rPr>
                <w:rFonts w:hint="eastAsia" w:ascii="宋体" w:hAnsi="宋体" w:eastAsia="宋体" w:cs="宋体"/>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pPr>
              <w:pStyle w:val="13"/>
              <w:spacing w:line="315" w:lineRule="auto"/>
              <w:rPr>
                <w:rFonts w:hint="eastAsia" w:ascii="宋体" w:hAnsi="宋体" w:eastAsia="宋体" w:cs="宋体"/>
              </w:rPr>
            </w:pPr>
          </w:p>
          <w:p>
            <w:pPr>
              <w:pStyle w:val="13"/>
              <w:spacing w:line="315" w:lineRule="auto"/>
              <w:rPr>
                <w:rFonts w:hint="eastAsia" w:ascii="宋体" w:hAnsi="宋体" w:eastAsia="宋体" w:cs="宋体"/>
              </w:rPr>
            </w:pPr>
          </w:p>
          <w:p>
            <w:pPr>
              <w:pStyle w:val="13"/>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13"/>
              <w:rPr>
                <w:rFonts w:hint="eastAsia" w:ascii="宋体" w:hAnsi="宋体" w:eastAsia="宋体" w:cs="宋体"/>
              </w:rPr>
            </w:pP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13"/>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vMerge w:val="restart"/>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13"/>
              <w:rPr>
                <w:rFonts w:hint="eastAsia" w:ascii="宋体" w:hAnsi="宋体" w:eastAsia="宋体" w:cs="宋体"/>
              </w:rPr>
            </w:pP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13"/>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vMerge w:val="restart"/>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13"/>
              <w:rPr>
                <w:rFonts w:hint="eastAsia" w:ascii="宋体" w:hAnsi="宋体" w:eastAsia="宋体" w:cs="宋体"/>
              </w:rPr>
            </w:pP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13"/>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3"/>
              <w:rPr>
                <w:rFonts w:hint="eastAsia" w:ascii="宋体" w:hAnsi="宋体" w:eastAsia="宋体" w:cs="宋体"/>
              </w:rPr>
            </w:pPr>
          </w:p>
        </w:tc>
        <w:tc>
          <w:tcPr>
            <w:tcW w:w="955" w:type="dxa"/>
            <w:tcBorders>
              <w:bottom w:val="nil"/>
              <w:right w:val="single" w:color="auto" w:sz="4" w:space="0"/>
            </w:tcBorders>
            <w:noWrap w:val="0"/>
            <w:vAlign w:val="top"/>
          </w:tcPr>
          <w:p>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pPr>
              <w:pStyle w:val="13"/>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pPr>
              <w:pStyle w:val="13"/>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pPr>
              <w:pStyle w:val="13"/>
              <w:rPr>
                <w:rFonts w:hint="eastAsia" w:ascii="宋体" w:hAnsi="宋体" w:eastAsia="宋体" w:cs="宋体"/>
              </w:rPr>
            </w:pPr>
          </w:p>
        </w:tc>
        <w:tc>
          <w:tcPr>
            <w:tcW w:w="1244" w:type="dxa"/>
            <w:tcBorders>
              <w:left w:val="single" w:color="auto" w:sz="4" w:space="0"/>
            </w:tcBorders>
            <w:noWrap w:val="0"/>
            <w:vAlign w:val="top"/>
          </w:tcPr>
          <w:p>
            <w:pPr>
              <w:pStyle w:val="13"/>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13"/>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pPr>
              <w:pStyle w:val="13"/>
              <w:rPr>
                <w:rFonts w:hint="eastAsia" w:ascii="宋体" w:hAnsi="宋体" w:eastAsia="宋体" w:cs="宋体"/>
              </w:rPr>
            </w:pPr>
          </w:p>
        </w:tc>
        <w:tc>
          <w:tcPr>
            <w:tcW w:w="1244" w:type="dxa"/>
            <w:noWrap w:val="0"/>
            <w:vAlign w:val="top"/>
          </w:tcPr>
          <w:p>
            <w:pPr>
              <w:pStyle w:val="13"/>
              <w:spacing w:line="225" w:lineRule="exact"/>
              <w:rPr>
                <w:rFonts w:hint="eastAsia" w:ascii="宋体" w:hAnsi="宋体" w:eastAsia="宋体" w:cs="宋体"/>
                <w:sz w:val="19"/>
              </w:rPr>
            </w:pPr>
          </w:p>
        </w:tc>
        <w:tc>
          <w:tcPr>
            <w:tcW w:w="1244" w:type="dxa"/>
            <w:noWrap w:val="0"/>
            <w:vAlign w:val="top"/>
          </w:tcPr>
          <w:p>
            <w:pPr>
              <w:pStyle w:val="13"/>
              <w:spacing w:line="225" w:lineRule="exact"/>
              <w:rPr>
                <w:rFonts w:hint="eastAsia" w:ascii="宋体" w:hAnsi="宋体" w:eastAsia="宋体" w:cs="宋体"/>
                <w:sz w:val="19"/>
              </w:rPr>
            </w:pPr>
          </w:p>
        </w:tc>
        <w:tc>
          <w:tcPr>
            <w:tcW w:w="1281" w:type="dxa"/>
            <w:noWrap w:val="0"/>
            <w:vAlign w:val="top"/>
          </w:tcPr>
          <w:p>
            <w:pPr>
              <w:pStyle w:val="13"/>
              <w:spacing w:line="225" w:lineRule="exact"/>
              <w:rPr>
                <w:rFonts w:hint="eastAsia" w:ascii="宋体" w:hAnsi="宋体" w:eastAsia="宋体" w:cs="宋体"/>
                <w:sz w:val="19"/>
              </w:rPr>
            </w:pPr>
          </w:p>
        </w:tc>
        <w:tc>
          <w:tcPr>
            <w:tcW w:w="673" w:type="dxa"/>
            <w:noWrap w:val="0"/>
            <w:vAlign w:val="top"/>
          </w:tcPr>
          <w:p>
            <w:pPr>
              <w:pStyle w:val="13"/>
              <w:spacing w:line="225" w:lineRule="exact"/>
              <w:rPr>
                <w:rFonts w:hint="eastAsia" w:ascii="宋体" w:hAnsi="宋体" w:eastAsia="宋体" w:cs="宋体"/>
                <w:sz w:val="19"/>
              </w:rPr>
            </w:pPr>
          </w:p>
        </w:tc>
        <w:tc>
          <w:tcPr>
            <w:tcW w:w="873" w:type="dxa"/>
            <w:noWrap w:val="0"/>
            <w:vAlign w:val="top"/>
          </w:tcPr>
          <w:p>
            <w:pPr>
              <w:pStyle w:val="13"/>
              <w:spacing w:line="225" w:lineRule="exact"/>
              <w:rPr>
                <w:rFonts w:hint="eastAsia" w:ascii="宋体" w:hAnsi="宋体" w:eastAsia="宋体" w:cs="宋体"/>
                <w:sz w:val="19"/>
              </w:rPr>
            </w:pPr>
          </w:p>
        </w:tc>
        <w:tc>
          <w:tcPr>
            <w:tcW w:w="1422" w:type="dxa"/>
            <w:noWrap w:val="0"/>
            <w:vAlign w:val="top"/>
          </w:tcPr>
          <w:p>
            <w:pPr>
              <w:pStyle w:val="13"/>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pPr>
              <w:pStyle w:val="13"/>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13"/>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pPr>
              <w:pStyle w:val="13"/>
              <w:rPr>
                <w:rFonts w:hint="eastAsia" w:ascii="宋体" w:hAnsi="宋体" w:eastAsia="宋体" w:cs="宋体"/>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3"/>
              <w:rPr>
                <w:rFonts w:hint="eastAsia" w:ascii="宋体" w:hAnsi="宋体" w:eastAsia="宋体" w:cs="宋体"/>
              </w:rPr>
            </w:pPr>
          </w:p>
        </w:tc>
        <w:tc>
          <w:tcPr>
            <w:tcW w:w="1281" w:type="dxa"/>
            <w:noWrap w:val="0"/>
            <w:vAlign w:val="top"/>
          </w:tcPr>
          <w:p>
            <w:pPr>
              <w:pStyle w:val="13"/>
              <w:rPr>
                <w:rFonts w:hint="eastAsia" w:ascii="宋体" w:hAnsi="宋体" w:eastAsia="宋体" w:cs="宋体"/>
              </w:rPr>
            </w:pPr>
          </w:p>
        </w:tc>
        <w:tc>
          <w:tcPr>
            <w:tcW w:w="673" w:type="dxa"/>
            <w:noWrap w:val="0"/>
            <w:vAlign w:val="top"/>
          </w:tcPr>
          <w:p>
            <w:pPr>
              <w:pStyle w:val="13"/>
              <w:rPr>
                <w:rFonts w:hint="eastAsia" w:ascii="宋体" w:hAnsi="宋体" w:eastAsia="宋体" w:cs="宋体"/>
              </w:rPr>
            </w:pPr>
          </w:p>
        </w:tc>
        <w:tc>
          <w:tcPr>
            <w:tcW w:w="873" w:type="dxa"/>
            <w:noWrap w:val="0"/>
            <w:vAlign w:val="top"/>
          </w:tcPr>
          <w:p>
            <w:pPr>
              <w:pStyle w:val="13"/>
              <w:rPr>
                <w:rFonts w:hint="eastAsia" w:ascii="宋体" w:hAnsi="宋体" w:eastAsia="宋体" w:cs="宋体"/>
              </w:rPr>
            </w:pPr>
          </w:p>
        </w:tc>
        <w:tc>
          <w:tcPr>
            <w:tcW w:w="1422" w:type="dxa"/>
            <w:noWrap w:val="0"/>
            <w:vAlign w:val="top"/>
          </w:tcPr>
          <w:p>
            <w:pPr>
              <w:pStyle w:val="13"/>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13"/>
              <w:rPr>
                <w:rFonts w:hint="eastAsia" w:ascii="宋体" w:hAnsi="宋体" w:eastAsia="宋体" w:cs="宋体"/>
              </w:rPr>
            </w:pPr>
          </w:p>
        </w:tc>
        <w:tc>
          <w:tcPr>
            <w:tcW w:w="1422" w:type="dxa"/>
            <w:noWrap w:val="0"/>
            <w:vAlign w:val="top"/>
          </w:tcPr>
          <w:p>
            <w:pPr>
              <w:pStyle w:val="13"/>
              <w:rPr>
                <w:rFonts w:hint="eastAsia" w:ascii="宋体" w:hAnsi="宋体" w:eastAsia="宋体" w:cs="宋体"/>
              </w:rPr>
            </w:pPr>
          </w:p>
        </w:tc>
      </w:tr>
    </w:tbl>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年度岳阳市洞庭新城项目建设岳阳楼区工作部单位整体支出绩效自评报告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4"/>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  </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 xml:space="preserve">   </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 xml:space="preserve">   </w:t>
      </w:r>
      <w:bookmarkStart w:id="0" w:name="_GoBack"/>
      <w:bookmarkEnd w:id="0"/>
      <w:r>
        <w:rPr>
          <w:rFonts w:ascii="楷体" w:hAnsi="楷体" w:eastAsia="楷体" w:cs="楷体"/>
          <w:spacing w:val="-8"/>
          <w:sz w:val="31"/>
          <w:szCs w:val="31"/>
        </w:rPr>
        <w:t>日</w:t>
      </w:r>
    </w:p>
    <w:p>
      <w:pPr>
        <w:spacing w:line="335" w:lineRule="auto"/>
        <w:rPr>
          <w:rFonts w:ascii="Arial"/>
          <w:sz w:val="21"/>
        </w:rPr>
      </w:pPr>
    </w:p>
    <w:p>
      <w:pPr>
        <w:pStyle w:val="4"/>
        <w:spacing w:before="102" w:line="224" w:lineRule="auto"/>
        <w:ind w:left="3216"/>
      </w:pP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val="0"/>
          <w:bCs w:val="0"/>
          <w:color w:val="000000"/>
          <w:spacing w:val="2"/>
          <w:sz w:val="42"/>
          <w:szCs w:val="42"/>
          <w:lang w:eastAsia="zh-CN"/>
        </w:rPr>
        <w:t>岳阳市洞庭新城项目建设岳阳楼区工作部</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both"/>
        <w:textAlignment w:val="center"/>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（一）职能职责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贯彻、落实关于洞庭新城建设拆迁方针、政策和法律、法规，并监督执行，研究拟定洞庭新城建设项目拆迁发展的重点、规模、速度和步骤，负责相关社会事务的管理和协调。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负责岳阳市洞庭新城项目建设内有关社会事务的管理和协调；负责岳阳市洞庭新城项目建设内危房改造、征地拆迁、安置房建设的协调与落实；负责协调做好岳阳市洞庭新城项目建设内禁建拆违工作。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（二）机构设置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岳阳市洞庭新城项目建设岳阳楼区工作部内设机构股室四个，分别为综合办公室、财务统计科、拆迁征收科、安置保障科。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both"/>
        <w:textAlignment w:val="center"/>
        <w:rPr>
          <w:rFonts w:ascii="黑体" w:hAnsi="黑体" w:eastAsia="黑体" w:cs="黑体"/>
          <w:spacing w:val="5"/>
          <w:sz w:val="31"/>
          <w:szCs w:val="31"/>
        </w:rPr>
      </w:pPr>
      <w:r>
        <w:rPr>
          <w:rFonts w:hint="eastAsia" w:ascii="楷体" w:hAnsi="楷体" w:eastAsia="楷体" w:cs="楷体"/>
          <w:spacing w:val="9"/>
          <w:kern w:val="2"/>
          <w:position w:val="21"/>
          <w:sz w:val="31"/>
          <w:szCs w:val="31"/>
          <w:lang w:val="en-US" w:eastAsia="zh-CN" w:bidi="ar-SA"/>
        </w:rPr>
        <w:t>　　人员构成：人员编制数10人，实有人数9人。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我单位的基本支出数为132.71万元，其中：人员经费114.24万元，占基本支出的86.08%，主要包括：基本工资、津贴补贴、奖金、绩效工资、伙食补助费、机关事业单位基本养老保险缴费、职工基本医疗保险缴费、其他社会保障缴费、住房公积金、退休费、其他对个人和家庭的补助；日常公用经费18.47万元，占基本支出的13.92%，主要包括：办公费、水费、电费、劳务费、其他交通费、其他商品和服务支出。</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2023年我单位项目支出总数为49.55万元，其中：1、应急工作专项5.00万元；2、工伤保险0.17万元；3、公积金支出0.54万元；4、事业单位基本养老保险0.67万元；5、医疗保险0.71万元；6、城乡社区支出42.47万元。</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我单位2023年度无政府性基金预算。</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我单位2023年度无国有资本经营预算支出。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我单位2023年度无社会保险基金预算。</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今年来，在区委、区政府的正确领导下，我部深入贯彻落实习近平新时代中国特色社会主义思想教育和二十大会议精神，切实加强全面从严治党，坚持高质量全面发展，坚决贯彻落实区委区政府的决策部署，坚持奋进十律，不断提高产业发展再升级，超额完成招商引资任务。去年我部被区委区政府评为产业发展“先进单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（一）强化党建意识、夯实政治建设基础强作风。</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政治学习方面。坚持把政治建设摆在首位，进一步认真学习贯彻落实习近平新时代中国特色社会主义思想教育和二十大会议精神，时刻组织全体干部职工传达学习市、区重要的会议精神。坚持一把手、党支部书记讲党课、党员同志带头学等形式进行学习教育，进行了三次专题讨论，使党员干部政治意识、责任意识、纪律意识不断提升和增强；二是党组织建设方面。坚持以党的建设为统领，以产业发展为契机，有效夯实党建基础，以基层党建工作推动工作部高质量全面发展，构筑党建引领基层新格局。认真开展党组织生活，充分利用“三会一课”和组织生活会、主题党日活动强化对党员干部的教育。继续抓好中央八项规定精神，进一步转变干部作风，要求党员干部勇于担责，充分发挥基层党员先锋模范作用；三是党风廉政建设方面。坚持利用会议和集中学习机会推送廉洁文化理念，传达学习了《领导干部利用职权或影响力为亲友牟利专项整治》、《关于深化整治利用领导干部职权或影响力“打牌子”“提篮子”牟取利益问题的工作提示》《关于开展“两带头五整治”纠风防腐专项行动的实施方案》等文件精神，组织全体干职工观看相关警示教育片，参观廉政教育基地等，警醒、教育引导全体干部职工不断筑牢清廉自律工作意识，增强拒腐防变的免疫力。</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（二）强化宣传意识，营造良好舆论氛围。</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工作部班子高度重视意识形态工作，多次召开专题会，加强对意识形态领域重大问题和重大任务的研究分析，始终保持意识形态各项工作正确的政治方向。严格落实领导班子主体责任，切实将意识形态工作纳入重要议事日程，与各项业务工作和党建工作紧密结合，确保各项决策部署落到实处、取得实效。利用媒体加强互联网正面宣传，积极开展舆论引导，所有信息公开内容经审签后再发表和上报。坚持微信公众号、QQ群等网络平台只用于工作交流，信息发布应坚持“上网不涉密、涉密不上网”的原则，不谈论涉密和敏感话题，不传播小道消息，虚拟消息，不把群内动态扩散至群外或互联网，确保正确的舆论导向。</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（三）强化责任意识、落实爱卫工作任务。</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8月随着文明卫生城市创建工作的开始。工作部及时动员，及时与社区进行对接，制定文明卫生城市创建打桩定位责任表，积极参加社区组织的每月爱卫清扫活动。对上路劝导进行定期督查、对参加爱卫活动进行合理安排，确保每次活动不缺席。配合社区开展文明卫生劝导20余天，开展每月爱卫活动，对办公楼大扫除2次，对联点的无物业搬运社小区开展每周五大扫除活动。有效的保证了小区的环境卫生干净、整洁，提高了居民爱护、自治环境卫生的责任意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（四）强化担当意识、助推重点项目协调工作。</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全面完成铁西项目门面置换工作。根据原铁西一期项目协议约定，有32户还建户须安置置换门面。结合还建户意见和新建门面实际情况，我部与市城投公司制定了自愿回购、负一楼门面补差和返租等置换方案。通过努力，全面完成了32户门面回购和置换工作，同时妥善处置了门面交付所发生的各类矛盾纠纷。</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2.全面完成颜氏项目住房置换工作。年初，我部积极对接市洞庭新城公司，全面完成颜氏旧改项目54户私房征收及后续的安置维稳等工作。同时完成了该小区安置户的办证相关手续，办证工作已接近尾声。</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全面协调洞庭南路旧改项目的遗留问题。目前，我部将重点加强项目遗留问题处理。针对前期项目租赁户方润五等三户诉讼行政强制执行及行政赔偿案问题。工作部转变思路，改变方法，从诉讼转化为协调处理，通过努力成功协调处理徐新辉、罗建强两件类似的诉讼案。</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二、特色亮点工作。</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全面推进民生实事项目。去年九月份，我部将坐落在洞庭南路157号，原糖酒副食品公司门店改造后作为办公用房。为确保该资产完整性和消除安全隐患，不断改善周边居民居住环境。今年将收购办公楼后院仓库纳入了年度计划，在区委区政府和洞庭新城公司的大力支持下，以参照市场价值采取评估的办法将后面仓库收购。通过多次沟通协商，已进入收购程序且基本上达成一致，明年将着重考虑仓库建设改造工作，切实解决消防通道及停车难等人居环境问题。</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全面完成年度招商引资工作任务。年度，区政府下发招商引资任务后，工作部及时安排部署、全面分工、逢会必谈，及时对接市城投、洞庭新城公司，全面发动党员干部力量，领导班子牵头抓招商的工作目标。通过多渠道、全方位的跟进，成功引进利都中环名座幼儿园420万元、欢悦玩国娱乐有限公司800万元的投资项目，超额完成今年1000万招商引资工作任务。</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pPr>
      <w:r>
        <w:rPr>
          <w:rFonts w:hint="eastAsia" w:ascii="楷体" w:hAnsi="楷体" w:eastAsia="楷体" w:cs="楷体"/>
          <w:spacing w:val="9"/>
          <w:kern w:val="2"/>
          <w:position w:val="21"/>
          <w:sz w:val="31"/>
          <w:szCs w:val="31"/>
          <w:lang w:val="en-US" w:eastAsia="zh-CN" w:bidi="ar-SA"/>
        </w:rPr>
        <w:t>一是对党建工作重视不够。工作部工作性质以协调项目为主，有时存在重业务而轻党务的现象，尤其在开展党日活动上不及时。二是宣传意识缺乏。存在自身宣传意识缺乏，挖掘报道正能量信息不多，信息宣传力量不够的问题。三是创新意识不够。工作有时候方法简单，处理事情方法没有创新精神，工作作风还不够扎实，对问题不能作深层次的分析，不能智慧的拿出具体的实施方法。结合不做之处，我们将在下一步的工作中，弥补不足，不断改进，为我部后期工作进一步上水平、上台阶做出新的贡献。</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抓统筹协调，进一步强化服务意识。进一步强化主动服务、全面服务、高质量服务意识，积极参与洞庭南路文化街区范围内各类项目建设，做好统筹协调。充分利用办公楼后面仓库的升级改造，真正办一件民生实事项目，为核心引领区和首善之区建设做出更大贡献。</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抓队伍建设，进一步提升服务能力。持续加强党的建设，认真落实党内制度、开展党内活动。持之以恒抓好党风廉政建设和作风建设，坚持用制度管人管事管权，突出领导班子示范带动作用，进一步完善跟踪问效机制，不断激发干部职工干事创业热情。</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3.抓项目推进，进一步提升服务实效。加强工作责任心，切实转变工作作风，以优化营商环境为目标，积极协调市城建投、市洞庭新城公司在项目建设过程中的矛盾纠纷问题，为项目建设开发保驾护航。</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抓经济建设，进一步为经济发展助力。按照区委区政府经济指标任务，结合工作实际，持续开展招商引资工作，将一如既往发挥党员干部的社会关系和实力，真正做到走出去、引进来，有效发现并接触一批有资质有实力的企业、公司等，充分运用首善之区的地理优势让其在楼区范围内投资兴业。</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sz w:val="32"/>
          <w:szCs w:val="32"/>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E9E68"/>
    <w:multiLevelType w:val="singleLevel"/>
    <w:tmpl w:val="980E9E68"/>
    <w:lvl w:ilvl="0" w:tentative="0">
      <w:start w:val="6"/>
      <w:numFmt w:val="chineseCounting"/>
      <w:suff w:val="nothing"/>
      <w:lvlText w:val="%1、"/>
      <w:lvlJc w:val="left"/>
      <w:rPr>
        <w:rFonts w:hint="eastAsia"/>
      </w:rPr>
    </w:lvl>
  </w:abstractNum>
  <w:abstractNum w:abstractNumId="1">
    <w:nsid w:val="F3FB02F1"/>
    <w:multiLevelType w:val="singleLevel"/>
    <w:tmpl w:val="F3FB02F1"/>
    <w:lvl w:ilvl="0" w:tentative="0">
      <w:start w:val="1"/>
      <w:numFmt w:val="decimal"/>
      <w:suff w:val="nothing"/>
      <w:lvlText w:val="%1、"/>
      <w:lvlJc w:val="left"/>
    </w:lvl>
  </w:abstractNum>
  <w:abstractNum w:abstractNumId="2">
    <w:nsid w:val="3C408B27"/>
    <w:multiLevelType w:val="singleLevel"/>
    <w:tmpl w:val="3C408B2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 w:name="KSO_WPS_MARK_KEY" w:val="7969e475-1781-4835-a392-5596de6c9ae9"/>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33C2A"/>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A948BC"/>
    <w:rsid w:val="05B525CA"/>
    <w:rsid w:val="05BD57AA"/>
    <w:rsid w:val="05C4448F"/>
    <w:rsid w:val="05C861BC"/>
    <w:rsid w:val="05E616EC"/>
    <w:rsid w:val="05EC1380"/>
    <w:rsid w:val="06146BAF"/>
    <w:rsid w:val="06286BB6"/>
    <w:rsid w:val="062D6FF3"/>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D373CC"/>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30001"/>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73678"/>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454B"/>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A2BF5"/>
    <w:rsid w:val="102D74F0"/>
    <w:rsid w:val="102E6601"/>
    <w:rsid w:val="103D5CB0"/>
    <w:rsid w:val="1043497A"/>
    <w:rsid w:val="104B6B58"/>
    <w:rsid w:val="10733B4F"/>
    <w:rsid w:val="107C029A"/>
    <w:rsid w:val="108449FF"/>
    <w:rsid w:val="108A0CDB"/>
    <w:rsid w:val="108B34B0"/>
    <w:rsid w:val="108F1E83"/>
    <w:rsid w:val="109E2943"/>
    <w:rsid w:val="10C8346E"/>
    <w:rsid w:val="10DF0BC6"/>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14D7D"/>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A7068"/>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AF3B81"/>
    <w:rsid w:val="19C17BC9"/>
    <w:rsid w:val="19C17E7E"/>
    <w:rsid w:val="19CC1CA7"/>
    <w:rsid w:val="19D37D58"/>
    <w:rsid w:val="19DD0438"/>
    <w:rsid w:val="1A035F2C"/>
    <w:rsid w:val="1A056605"/>
    <w:rsid w:val="1A0A04E6"/>
    <w:rsid w:val="1A1B07E2"/>
    <w:rsid w:val="1A213466"/>
    <w:rsid w:val="1A3F3F76"/>
    <w:rsid w:val="1A442663"/>
    <w:rsid w:val="1A4B4BAE"/>
    <w:rsid w:val="1A5F35C0"/>
    <w:rsid w:val="1A734275"/>
    <w:rsid w:val="1A7C4FE0"/>
    <w:rsid w:val="1A8006B2"/>
    <w:rsid w:val="1A8439F7"/>
    <w:rsid w:val="1A8D640E"/>
    <w:rsid w:val="1A974192"/>
    <w:rsid w:val="1AAC2E83"/>
    <w:rsid w:val="1AB73785"/>
    <w:rsid w:val="1ACA62AD"/>
    <w:rsid w:val="1ACF41BD"/>
    <w:rsid w:val="1AD8126C"/>
    <w:rsid w:val="1ADA675E"/>
    <w:rsid w:val="1AE11CDA"/>
    <w:rsid w:val="1AF22AE0"/>
    <w:rsid w:val="1AF761DE"/>
    <w:rsid w:val="1B051CF0"/>
    <w:rsid w:val="1B0818E3"/>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B52DC3"/>
    <w:rsid w:val="1CDA4D56"/>
    <w:rsid w:val="1CDD3551"/>
    <w:rsid w:val="1CE1063D"/>
    <w:rsid w:val="1CF57C45"/>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BD456F"/>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0B6D73"/>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AF45BB"/>
    <w:rsid w:val="21C12688"/>
    <w:rsid w:val="21C25E7D"/>
    <w:rsid w:val="21CC4855"/>
    <w:rsid w:val="21D5565C"/>
    <w:rsid w:val="21E233A3"/>
    <w:rsid w:val="21E23F6C"/>
    <w:rsid w:val="21E345FD"/>
    <w:rsid w:val="21EA057E"/>
    <w:rsid w:val="21ED1832"/>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35170"/>
    <w:rsid w:val="27C33BB0"/>
    <w:rsid w:val="27C55F98"/>
    <w:rsid w:val="27CC0CD0"/>
    <w:rsid w:val="27CC5A46"/>
    <w:rsid w:val="27D071BC"/>
    <w:rsid w:val="27D108B2"/>
    <w:rsid w:val="27D4538F"/>
    <w:rsid w:val="27DD3821"/>
    <w:rsid w:val="27DE15AE"/>
    <w:rsid w:val="27DF39CB"/>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610D"/>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B92255"/>
    <w:rsid w:val="29C535D7"/>
    <w:rsid w:val="29C65905"/>
    <w:rsid w:val="29CD16A4"/>
    <w:rsid w:val="29D478FA"/>
    <w:rsid w:val="29DA5777"/>
    <w:rsid w:val="29DF2425"/>
    <w:rsid w:val="29E40890"/>
    <w:rsid w:val="29E46D67"/>
    <w:rsid w:val="2A0E6FDD"/>
    <w:rsid w:val="2A142C99"/>
    <w:rsid w:val="2A1E4871"/>
    <w:rsid w:val="2A2102CB"/>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D03A9F"/>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0E3D9A"/>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D06D32"/>
    <w:rsid w:val="32FA2D7F"/>
    <w:rsid w:val="32FC6C4E"/>
    <w:rsid w:val="330326BB"/>
    <w:rsid w:val="33085CC5"/>
    <w:rsid w:val="33100DE3"/>
    <w:rsid w:val="33262CBA"/>
    <w:rsid w:val="332B323C"/>
    <w:rsid w:val="332E3189"/>
    <w:rsid w:val="3333740C"/>
    <w:rsid w:val="334B460B"/>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77505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7198A"/>
    <w:rsid w:val="378E3E66"/>
    <w:rsid w:val="37AC0E75"/>
    <w:rsid w:val="37AC63CE"/>
    <w:rsid w:val="37AF5F49"/>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AB0B58"/>
    <w:rsid w:val="38AC5B4C"/>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505F8E"/>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3B6368"/>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C231C"/>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69F2"/>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042F65"/>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B4DDF"/>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667B6"/>
    <w:rsid w:val="4F9753D7"/>
    <w:rsid w:val="4F9A078D"/>
    <w:rsid w:val="4F9D5157"/>
    <w:rsid w:val="4FA54804"/>
    <w:rsid w:val="4FBF34BA"/>
    <w:rsid w:val="4FC633C3"/>
    <w:rsid w:val="4FCA2B98"/>
    <w:rsid w:val="4FCB218A"/>
    <w:rsid w:val="4FCE7BAE"/>
    <w:rsid w:val="4FDD7B67"/>
    <w:rsid w:val="4FDF25A5"/>
    <w:rsid w:val="4FE42FCB"/>
    <w:rsid w:val="4FFB4FE1"/>
    <w:rsid w:val="4FFE393B"/>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87CEA"/>
    <w:rsid w:val="50BB317D"/>
    <w:rsid w:val="50C76AEB"/>
    <w:rsid w:val="50D06E68"/>
    <w:rsid w:val="50D37C72"/>
    <w:rsid w:val="50E466DC"/>
    <w:rsid w:val="50E75A57"/>
    <w:rsid w:val="50E81293"/>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B5B09"/>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B41BB8"/>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612BE"/>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12D95"/>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B42F40"/>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86432"/>
    <w:rsid w:val="62893709"/>
    <w:rsid w:val="629105C7"/>
    <w:rsid w:val="62A07F3E"/>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A4104A"/>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274C8"/>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C005C"/>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22888"/>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53185F"/>
    <w:rsid w:val="6C613F45"/>
    <w:rsid w:val="6C756221"/>
    <w:rsid w:val="6C7B08BB"/>
    <w:rsid w:val="6C816AF9"/>
    <w:rsid w:val="6C846694"/>
    <w:rsid w:val="6C9003BD"/>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DE8606E"/>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A75FE"/>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7C169B"/>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C66C7"/>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DD1AAA"/>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086A92"/>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4C77FE"/>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DF777E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7E3ADB"/>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after="330" w:line="576" w:lineRule="auto"/>
      <w:jc w:val="both"/>
      <w:outlineLvl w:val="0"/>
    </w:pPr>
    <w:rPr>
      <w:rFonts w:ascii="Calibri" w:hAnsi="Calibri" w:eastAsia="宋体" w:cs="宋体"/>
      <w:b/>
      <w:bCs/>
      <w:kern w:val="44"/>
      <w:sz w:val="44"/>
      <w:szCs w:val="4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Body Text Indent 2"/>
    <w:unhideWhenUsed/>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next w:val="1"/>
    <w:link w:val="14"/>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character" w:customStyle="1" w:styleId="14">
    <w:name w:val="标题 Char"/>
    <w:link w:val="9"/>
    <w:qFormat/>
    <w:uiPriority w:val="0"/>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5061</Words>
  <Characters>5366</Characters>
  <Lines>0</Lines>
  <Paragraphs>0</Paragraphs>
  <TotalTime>3</TotalTime>
  <ScaleCrop>false</ScaleCrop>
  <LinksUpToDate>false</LinksUpToDate>
  <CharactersWithSpaces>5507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necrolyte</cp:lastModifiedBy>
  <dcterms:modified xsi:type="dcterms:W3CDTF">2025-06-26T06:11:48Z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26EA791A61B343A3B5B6B561FEAAFDD4_13</vt:lpwstr>
  </property>
</Properties>
</file>