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82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07643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5DA9A995">
      <w:pPr>
        <w:spacing w:line="115" w:lineRule="exact"/>
        <w:rPr>
          <w:color w:val="000000"/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249E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A0AFC2F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C62080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岳阳市岳阳楼区财政资金服务中心</w:t>
            </w:r>
          </w:p>
        </w:tc>
      </w:tr>
      <w:tr w14:paraId="013E0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AE802F9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33CA9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3B4C5D7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6B75DCD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382BA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C683AA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45D9F7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88C41A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F53E9E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100.00%</w:t>
            </w:r>
          </w:p>
        </w:tc>
      </w:tr>
      <w:tr w14:paraId="4EA71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02FFE5BB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9D0D1D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034D7F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82C44E4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460A5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0632428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“三公”经费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2B92BC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BCE6A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A54F39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3A0EB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2A52F59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A42B09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D06B6F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99FEBF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74743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202C340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3D94E3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63F410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7DDC33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7C327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9E9375A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C6082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3B7CBC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474D6C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201FE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6902021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DF80C5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04DCFB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427C7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6DBAA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A2CBC01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5DF507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D8195D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230EAE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27A6F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289C498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DDC043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875897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7C70F6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4.41</w:t>
            </w:r>
          </w:p>
        </w:tc>
      </w:tr>
      <w:tr w14:paraId="642AF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6FDE467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66C9F8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A67742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388AA7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2.83</w:t>
            </w:r>
          </w:p>
        </w:tc>
      </w:tr>
      <w:tr w14:paraId="291C4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CA8B431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6BD09E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719FC7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6FA9AB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1.58</w:t>
            </w:r>
          </w:p>
        </w:tc>
      </w:tr>
      <w:tr w14:paraId="1EF6A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850" w:type="dxa"/>
            <w:noWrap w:val="0"/>
            <w:vAlign w:val="top"/>
          </w:tcPr>
          <w:p w14:paraId="7F12BEA1">
            <w:pPr>
              <w:ind w:firstLine="726" w:firstLineChars="3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zh-CN"/>
              </w:rPr>
              <w:t>补充工资调整数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B7DCA0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64C178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EB242B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1.58</w:t>
            </w:r>
          </w:p>
        </w:tc>
      </w:tr>
      <w:tr w14:paraId="12DA1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F66D268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5BD43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7E8DB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B42061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59DAF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 w14:paraId="7690AB8B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D01F5C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A0C313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6A303B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1145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6A47511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5C51C0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4.52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6032E1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3.60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F8BAA9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3.60</w:t>
            </w:r>
          </w:p>
        </w:tc>
      </w:tr>
      <w:tr w14:paraId="160FF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EAE9080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CB8094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1.96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3BFE65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0.24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B29365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0.24</w:t>
            </w:r>
          </w:p>
        </w:tc>
      </w:tr>
      <w:tr w14:paraId="0979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E33BC3E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3ACF23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E7B12A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0.92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C28E42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0.92</w:t>
            </w:r>
          </w:p>
        </w:tc>
      </w:tr>
      <w:tr w14:paraId="28F04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216950B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DE613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1749B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FB804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2530A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7F7F4D4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DA4FB9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2.60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561F08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B3A0F1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2.80</w:t>
            </w:r>
          </w:p>
        </w:tc>
      </w:tr>
      <w:tr w14:paraId="356A6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3107480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425DC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D349D5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DB44A3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7925A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162A798C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1B86B7C1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5" w:type="dxa"/>
            <w:noWrap w:val="0"/>
            <w:vAlign w:val="center"/>
          </w:tcPr>
          <w:p w14:paraId="61A1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6357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EA8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73258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m²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 w14:paraId="45A2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763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23BD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0" w:type="dxa"/>
            <w:noWrap w:val="0"/>
            <w:vAlign w:val="center"/>
          </w:tcPr>
          <w:p w14:paraId="2471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1091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48DD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9" w:type="dxa"/>
            <w:noWrap w:val="0"/>
            <w:vAlign w:val="center"/>
          </w:tcPr>
          <w:p w14:paraId="1542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563C6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440F5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540D6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5EC006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B388EF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990" w:type="dxa"/>
            <w:noWrap w:val="0"/>
            <w:vAlign w:val="center"/>
          </w:tcPr>
          <w:p w14:paraId="38A0E63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40" w:type="dxa"/>
            <w:noWrap w:val="0"/>
            <w:vAlign w:val="center"/>
          </w:tcPr>
          <w:p w14:paraId="5D70B55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 w14:paraId="09848BA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 w14:paraId="51E5C1B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869" w:type="dxa"/>
            <w:noWrap w:val="0"/>
            <w:vAlign w:val="center"/>
          </w:tcPr>
          <w:p w14:paraId="356F1D4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</w:tr>
      <w:tr w14:paraId="20A66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212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2D88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2DFE9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2E860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16572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黄婉婷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15107308422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2024.05.20</w:t>
      </w:r>
    </w:p>
    <w:p w14:paraId="68DCD55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4D65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6DE71DAE">
      <w:pPr>
        <w:spacing w:line="132" w:lineRule="exact"/>
      </w:pPr>
    </w:p>
    <w:tbl>
      <w:tblPr>
        <w:tblStyle w:val="7"/>
        <w:tblW w:w="97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26"/>
        <w:gridCol w:w="1009"/>
        <w:gridCol w:w="1347"/>
        <w:gridCol w:w="1310"/>
        <w:gridCol w:w="1268"/>
        <w:gridCol w:w="716"/>
        <w:gridCol w:w="873"/>
        <w:gridCol w:w="1086"/>
      </w:tblGrid>
      <w:tr w14:paraId="7A1D0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119" w:type="dxa"/>
            <w:gridSpan w:val="3"/>
            <w:noWrap w:val="0"/>
            <w:vAlign w:val="center"/>
          </w:tcPr>
          <w:p w14:paraId="1E3549CD">
            <w:pPr>
              <w:spacing w:before="24" w:line="208" w:lineRule="auto"/>
              <w:ind w:left="120" w:firstLine="412" w:firstLineChars="20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600" w:type="dxa"/>
            <w:gridSpan w:val="6"/>
            <w:noWrap w:val="0"/>
            <w:vAlign w:val="center"/>
          </w:tcPr>
          <w:p w14:paraId="43829101">
            <w:pPr>
              <w:pStyle w:val="8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岳阳市岳阳楼区财政资金服务中心</w:t>
            </w:r>
          </w:p>
        </w:tc>
      </w:tr>
      <w:tr w14:paraId="6C4BC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DE79885">
            <w:pPr>
              <w:pStyle w:val="8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138E2BA3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035" w:type="dxa"/>
            <w:gridSpan w:val="2"/>
            <w:noWrap w:val="0"/>
            <w:vAlign w:val="top"/>
          </w:tcPr>
          <w:p w14:paraId="10AD1C59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152F372A">
            <w:pPr>
              <w:spacing w:before="20" w:line="208" w:lineRule="auto"/>
              <w:ind w:left="14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center"/>
          </w:tcPr>
          <w:p w14:paraId="3EB5EF3E">
            <w:pPr>
              <w:spacing w:before="20" w:line="208" w:lineRule="auto"/>
              <w:ind w:left="15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center"/>
          </w:tcPr>
          <w:p w14:paraId="746F3120">
            <w:pPr>
              <w:spacing w:before="20" w:line="208" w:lineRule="auto"/>
              <w:ind w:left="13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center"/>
          </w:tcPr>
          <w:p w14:paraId="290F1561">
            <w:pPr>
              <w:spacing w:before="20" w:line="208" w:lineRule="auto"/>
              <w:ind w:left="16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266C5BB4">
            <w:pPr>
              <w:spacing w:before="20" w:line="208" w:lineRule="auto"/>
              <w:ind w:left="14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086" w:type="dxa"/>
            <w:noWrap w:val="0"/>
            <w:vAlign w:val="center"/>
          </w:tcPr>
          <w:p w14:paraId="6FE157BF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0D76C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E8AFC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5" w:type="dxa"/>
            <w:gridSpan w:val="2"/>
            <w:noWrap w:val="0"/>
            <w:vAlign w:val="top"/>
          </w:tcPr>
          <w:p w14:paraId="6A0782A7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347" w:type="dxa"/>
            <w:noWrap w:val="0"/>
            <w:vAlign w:val="center"/>
          </w:tcPr>
          <w:p w14:paraId="60F460CF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34.07</w:t>
            </w:r>
          </w:p>
        </w:tc>
        <w:tc>
          <w:tcPr>
            <w:tcW w:w="1310" w:type="dxa"/>
            <w:noWrap w:val="0"/>
            <w:vAlign w:val="center"/>
          </w:tcPr>
          <w:p w14:paraId="2DB477C7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35.41</w:t>
            </w:r>
          </w:p>
        </w:tc>
        <w:tc>
          <w:tcPr>
            <w:tcW w:w="1268" w:type="dxa"/>
            <w:noWrap w:val="0"/>
            <w:vAlign w:val="center"/>
          </w:tcPr>
          <w:p w14:paraId="6AA4B810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35.41</w:t>
            </w:r>
          </w:p>
        </w:tc>
        <w:tc>
          <w:tcPr>
            <w:tcW w:w="716" w:type="dxa"/>
            <w:noWrap w:val="0"/>
            <w:vAlign w:val="center"/>
          </w:tcPr>
          <w:p w14:paraId="44E9FF52">
            <w:pPr>
              <w:pStyle w:val="8"/>
              <w:spacing w:before="54" w:line="194" w:lineRule="auto"/>
              <w:ind w:left="27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283AF3E0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100.00%</w:t>
            </w:r>
          </w:p>
        </w:tc>
        <w:tc>
          <w:tcPr>
            <w:tcW w:w="1086" w:type="dxa"/>
            <w:noWrap w:val="0"/>
            <w:vAlign w:val="center"/>
          </w:tcPr>
          <w:p w14:paraId="0465119F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4C243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92FBF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7779910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3943" w:type="dxa"/>
            <w:gridSpan w:val="4"/>
            <w:noWrap w:val="0"/>
            <w:vAlign w:val="center"/>
          </w:tcPr>
          <w:p w14:paraId="2499997F">
            <w:pPr>
              <w:spacing w:before="22" w:line="206" w:lineRule="auto"/>
              <w:ind w:left="116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23A6A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83369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E2171DE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35.41</w:t>
            </w:r>
          </w:p>
        </w:tc>
        <w:tc>
          <w:tcPr>
            <w:tcW w:w="3943" w:type="dxa"/>
            <w:gridSpan w:val="4"/>
            <w:noWrap w:val="0"/>
            <w:vAlign w:val="center"/>
          </w:tcPr>
          <w:p w14:paraId="483B3EA6">
            <w:pPr>
              <w:spacing w:before="21" w:line="207" w:lineRule="auto"/>
              <w:ind w:left="115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31.00</w:t>
            </w:r>
          </w:p>
        </w:tc>
      </w:tr>
      <w:tr w14:paraId="7B4E1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96853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4E6D1A4">
            <w:pPr>
              <w:spacing w:before="21" w:line="207" w:lineRule="auto"/>
              <w:ind w:left="91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3943" w:type="dxa"/>
            <w:gridSpan w:val="4"/>
            <w:noWrap w:val="0"/>
            <w:vAlign w:val="center"/>
          </w:tcPr>
          <w:p w14:paraId="5C0ECD83">
            <w:pPr>
              <w:spacing w:before="21" w:line="207" w:lineRule="auto"/>
              <w:ind w:left="717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4.41</w:t>
            </w:r>
          </w:p>
        </w:tc>
      </w:tr>
      <w:tr w14:paraId="033A6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12484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045395F4">
            <w:pPr>
              <w:spacing w:before="20" w:line="208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3943" w:type="dxa"/>
            <w:gridSpan w:val="4"/>
            <w:noWrap w:val="0"/>
            <w:vAlign w:val="center"/>
          </w:tcPr>
          <w:p w14:paraId="60A81B74">
            <w:pPr>
              <w:pStyle w:val="8"/>
              <w:spacing w:line="235" w:lineRule="exact"/>
              <w:jc w:val="both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A68B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2BBF5D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CAA9732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3943" w:type="dxa"/>
            <w:gridSpan w:val="4"/>
            <w:noWrap w:val="0"/>
            <w:vAlign w:val="top"/>
          </w:tcPr>
          <w:p w14:paraId="2B9D6C11">
            <w:pPr>
              <w:pStyle w:val="8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995A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0C48868">
            <w:pPr>
              <w:pStyle w:val="8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773680C5">
            <w:pPr>
              <w:pStyle w:val="8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141A1B16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18028887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3943" w:type="dxa"/>
            <w:gridSpan w:val="4"/>
            <w:noWrap w:val="0"/>
            <w:vAlign w:val="top"/>
          </w:tcPr>
          <w:p w14:paraId="3D5360DB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9333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9D9699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12DE8CA5">
            <w:pPr>
              <w:pStyle w:val="8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根据授权，负责审核城建项目建设资金年度收支计划草案；负责城建项目资金结算的调度方案，监管项目月度收支计划，监督项目资金的结算、汇总和竣工决算及财务决算；负责对区人民政府城建投资项目举债的可行性研究；监督城建项目融资；负责组织城建项目概算、预算与结算的审查。</w:t>
            </w:r>
          </w:p>
        </w:tc>
        <w:tc>
          <w:tcPr>
            <w:tcW w:w="3943" w:type="dxa"/>
            <w:gridSpan w:val="4"/>
            <w:noWrap w:val="0"/>
            <w:vAlign w:val="center"/>
          </w:tcPr>
          <w:p w14:paraId="0C374035">
            <w:pPr>
              <w:pStyle w:val="8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已按时按质完成项目资金下拨、汇总，每月出具资金情况报表。</w:t>
            </w:r>
          </w:p>
        </w:tc>
      </w:tr>
      <w:tr w14:paraId="00F79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123BBB71">
            <w:pPr>
              <w:pStyle w:val="8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54A61CE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26" w:type="dxa"/>
            <w:noWrap w:val="0"/>
            <w:vAlign w:val="top"/>
          </w:tcPr>
          <w:p w14:paraId="6CCD4C79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noWrap w:val="0"/>
            <w:vAlign w:val="top"/>
          </w:tcPr>
          <w:p w14:paraId="3CCEE69A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347" w:type="dxa"/>
            <w:noWrap w:val="0"/>
            <w:vAlign w:val="top"/>
          </w:tcPr>
          <w:p w14:paraId="13176E96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09DA97FC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5C17878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003286AC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E14501D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086" w:type="dxa"/>
            <w:noWrap w:val="0"/>
            <w:vAlign w:val="top"/>
          </w:tcPr>
          <w:p w14:paraId="1B3B5FD7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6C66A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080F5C6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D862D3F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C6FEB05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0E9F5136">
            <w:pPr>
              <w:pStyle w:val="8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6D688D0B">
            <w:pPr>
              <w:pStyle w:val="8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27DA7C41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67DA8B5F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36C9">
            <w:pPr>
              <w:spacing w:before="274" w:line="226" w:lineRule="auto"/>
              <w:ind w:left="12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noWrap w:val="0"/>
            <w:vAlign w:val="center"/>
          </w:tcPr>
          <w:p w14:paraId="7B82579C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/>
                <w:sz w:val="20"/>
              </w:rPr>
              <w:t>审查资金月度计划</w:t>
            </w:r>
          </w:p>
        </w:tc>
        <w:tc>
          <w:tcPr>
            <w:tcW w:w="1310" w:type="dxa"/>
            <w:noWrap w:val="0"/>
            <w:vAlign w:val="center"/>
          </w:tcPr>
          <w:p w14:paraId="536CC139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12次</w:t>
            </w:r>
          </w:p>
        </w:tc>
        <w:tc>
          <w:tcPr>
            <w:tcW w:w="1268" w:type="dxa"/>
            <w:noWrap w:val="0"/>
            <w:vAlign w:val="center"/>
          </w:tcPr>
          <w:p w14:paraId="32C0393A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12次</w:t>
            </w:r>
          </w:p>
        </w:tc>
        <w:tc>
          <w:tcPr>
            <w:tcW w:w="716" w:type="dxa"/>
            <w:noWrap w:val="0"/>
            <w:vAlign w:val="center"/>
          </w:tcPr>
          <w:p w14:paraId="74230ADC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8E22439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086" w:type="dxa"/>
            <w:noWrap w:val="0"/>
            <w:vAlign w:val="center"/>
          </w:tcPr>
          <w:p w14:paraId="0858D0B7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BD49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3BF7A40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4FF4D7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61F48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47" w:type="dxa"/>
            <w:tcBorders>
              <w:left w:val="single" w:color="auto" w:sz="4" w:space="0"/>
            </w:tcBorders>
            <w:noWrap w:val="0"/>
            <w:vAlign w:val="center"/>
          </w:tcPr>
          <w:p w14:paraId="0378A4AB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/>
                <w:sz w:val="20"/>
              </w:rPr>
              <w:t>出具城建项目资金管理财务报表</w:t>
            </w:r>
          </w:p>
        </w:tc>
        <w:tc>
          <w:tcPr>
            <w:tcW w:w="1310" w:type="dxa"/>
            <w:noWrap w:val="0"/>
            <w:vAlign w:val="center"/>
          </w:tcPr>
          <w:p w14:paraId="6A5A8408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12次</w:t>
            </w:r>
          </w:p>
        </w:tc>
        <w:tc>
          <w:tcPr>
            <w:tcW w:w="1268" w:type="dxa"/>
            <w:noWrap w:val="0"/>
            <w:vAlign w:val="center"/>
          </w:tcPr>
          <w:p w14:paraId="2B451EB8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12次</w:t>
            </w:r>
          </w:p>
        </w:tc>
        <w:tc>
          <w:tcPr>
            <w:tcW w:w="716" w:type="dxa"/>
            <w:noWrap w:val="0"/>
            <w:vAlign w:val="center"/>
          </w:tcPr>
          <w:p w14:paraId="51530703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98271DA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086" w:type="dxa"/>
            <w:noWrap w:val="0"/>
            <w:vAlign w:val="center"/>
          </w:tcPr>
          <w:p w14:paraId="74B4748E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E607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25270A7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3A329F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7EE1">
            <w:pPr>
              <w:spacing w:before="273" w:line="226" w:lineRule="auto"/>
              <w:ind w:left="12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noWrap w:val="0"/>
            <w:vAlign w:val="center"/>
          </w:tcPr>
          <w:p w14:paraId="17C7C73E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/>
                <w:sz w:val="20"/>
              </w:rPr>
              <w:t>财务报表出错率</w:t>
            </w:r>
          </w:p>
        </w:tc>
        <w:tc>
          <w:tcPr>
            <w:tcW w:w="1310" w:type="dxa"/>
            <w:noWrap w:val="0"/>
            <w:vAlign w:val="center"/>
          </w:tcPr>
          <w:p w14:paraId="532170D6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/>
                <w:sz w:val="20"/>
                <w:lang w:val="en-US" w:eastAsia="zh-CN"/>
              </w:rPr>
              <w:t>≤5%</w:t>
            </w:r>
          </w:p>
        </w:tc>
        <w:tc>
          <w:tcPr>
            <w:tcW w:w="1268" w:type="dxa"/>
            <w:noWrap w:val="0"/>
            <w:vAlign w:val="center"/>
          </w:tcPr>
          <w:p w14:paraId="5A5700B1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/>
                <w:sz w:val="20"/>
                <w:lang w:val="en-US" w:eastAsia="zh-CN"/>
              </w:rPr>
              <w:t>≤5%</w:t>
            </w:r>
          </w:p>
        </w:tc>
        <w:tc>
          <w:tcPr>
            <w:tcW w:w="716" w:type="dxa"/>
            <w:noWrap w:val="0"/>
            <w:vAlign w:val="center"/>
          </w:tcPr>
          <w:p w14:paraId="3398B5BC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27896234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086" w:type="dxa"/>
            <w:noWrap w:val="0"/>
            <w:vAlign w:val="center"/>
          </w:tcPr>
          <w:p w14:paraId="029258FF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75F0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713A419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3BF5D2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3BED">
            <w:pPr>
              <w:spacing w:before="274" w:line="226" w:lineRule="auto"/>
              <w:ind w:left="13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noWrap w:val="0"/>
            <w:vAlign w:val="center"/>
          </w:tcPr>
          <w:p w14:paraId="5D0B9B9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/>
                <w:sz w:val="20"/>
              </w:rPr>
              <w:t>重点工作任务完成时间</w:t>
            </w:r>
          </w:p>
        </w:tc>
        <w:tc>
          <w:tcPr>
            <w:tcW w:w="1310" w:type="dxa"/>
            <w:noWrap w:val="0"/>
            <w:vAlign w:val="center"/>
          </w:tcPr>
          <w:p w14:paraId="15A66CF4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全年</w:t>
            </w:r>
          </w:p>
        </w:tc>
        <w:tc>
          <w:tcPr>
            <w:tcW w:w="1268" w:type="dxa"/>
            <w:noWrap w:val="0"/>
            <w:vAlign w:val="center"/>
          </w:tcPr>
          <w:p w14:paraId="1C609F0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全年</w:t>
            </w:r>
          </w:p>
        </w:tc>
        <w:tc>
          <w:tcPr>
            <w:tcW w:w="716" w:type="dxa"/>
            <w:noWrap w:val="0"/>
            <w:vAlign w:val="center"/>
          </w:tcPr>
          <w:p w14:paraId="6A660BCE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CFEFA71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086" w:type="dxa"/>
            <w:noWrap w:val="0"/>
            <w:vAlign w:val="center"/>
          </w:tcPr>
          <w:p w14:paraId="0F7E723C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0BF0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0FD39DB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AE62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4A4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34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9F7C0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/>
                <w:sz w:val="20"/>
              </w:rPr>
              <w:t>成本节约率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 w14:paraId="442EC429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center"/>
          </w:tcPr>
          <w:p w14:paraId="412DA5EC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20524F18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2EAB758A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086" w:type="dxa"/>
            <w:noWrap w:val="0"/>
            <w:vAlign w:val="center"/>
          </w:tcPr>
          <w:p w14:paraId="1EE6AA4C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C7DE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08057B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44A7C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B1E0D22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69543B3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AB411A7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093C00C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0E1C8688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4922C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B16B222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6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A4A1C3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不适用</w:t>
            </w:r>
          </w:p>
        </w:tc>
      </w:tr>
      <w:tr w14:paraId="17A15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24D1E78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E848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6B3C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997164B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D8B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/>
                <w:sz w:val="20"/>
              </w:rPr>
              <w:t>资金管理制度是否健全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C9B8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健全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6FAA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健全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07063B53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 w14:paraId="67C5359A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1086" w:type="dxa"/>
            <w:noWrap w:val="0"/>
            <w:vAlign w:val="center"/>
          </w:tcPr>
          <w:p w14:paraId="53D59BA7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A176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165FB5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4846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0CCD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99E1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/>
                <w:sz w:val="20"/>
              </w:rPr>
              <w:t>项目资金管理安全率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9029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0342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249D40C6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 w14:paraId="5D3123B1">
            <w:pPr>
              <w:pStyle w:val="8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1086" w:type="dxa"/>
            <w:noWrap w:val="0"/>
            <w:vAlign w:val="center"/>
          </w:tcPr>
          <w:p w14:paraId="60926B13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DF6A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43FE59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9F83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4320">
            <w:pPr>
              <w:spacing w:before="154" w:line="233" w:lineRule="auto"/>
              <w:ind w:left="23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6ED31162">
            <w:pPr>
              <w:spacing w:line="225" w:lineRule="auto"/>
              <w:ind w:left="2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6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1AC0DB">
            <w:pPr>
              <w:pStyle w:val="8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不适用</w:t>
            </w:r>
          </w:p>
        </w:tc>
      </w:tr>
      <w:tr w14:paraId="5FF27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000FD0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5B92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D214">
            <w:pPr>
              <w:spacing w:before="207" w:line="230" w:lineRule="auto"/>
              <w:ind w:left="227" w:right="116" w:hanging="98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6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F90E83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不适用</w:t>
            </w:r>
          </w:p>
        </w:tc>
      </w:tr>
      <w:tr w14:paraId="2CC1C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45EA3A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36D2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BD91565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9E7E010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3E86">
            <w:pPr>
              <w:spacing w:before="110" w:line="226" w:lineRule="auto"/>
              <w:ind w:left="12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642A406C">
            <w:pPr>
              <w:spacing w:before="7" w:line="226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21AFF6F">
            <w:pPr>
              <w:spacing w:before="7" w:line="226" w:lineRule="auto"/>
              <w:ind w:left="41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D15E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/>
                <w:sz w:val="20"/>
              </w:rPr>
              <w:t>社会公众满意度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BA56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FE6C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center"/>
          </w:tcPr>
          <w:p w14:paraId="5C0700D5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8930483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1086" w:type="dxa"/>
            <w:noWrap w:val="0"/>
            <w:vAlign w:val="center"/>
          </w:tcPr>
          <w:p w14:paraId="513DEBBA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8A86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AA3CD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noWrap w:val="0"/>
            <w:vAlign w:val="top"/>
          </w:tcPr>
          <w:p w14:paraId="072C2DAB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69CE7F5E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1086" w:type="dxa"/>
            <w:noWrap w:val="0"/>
            <w:vAlign w:val="top"/>
          </w:tcPr>
          <w:p w14:paraId="2C7089AF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 w14:paraId="0697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3A35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69134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黄婉婷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15107308422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2024.05.20</w:t>
      </w:r>
    </w:p>
    <w:p w14:paraId="7DF86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 w14:paraId="3F836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6F1A3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7"/>
        <w:tblW w:w="96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198"/>
      </w:tblGrid>
      <w:tr w14:paraId="12184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118" w:type="dxa"/>
            <w:gridSpan w:val="3"/>
            <w:noWrap w:val="0"/>
            <w:vAlign w:val="center"/>
          </w:tcPr>
          <w:p w14:paraId="7AFDE88D">
            <w:pPr>
              <w:spacing w:before="41" w:line="211" w:lineRule="auto"/>
              <w:ind w:left="96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513" w:type="dxa"/>
            <w:gridSpan w:val="6"/>
            <w:noWrap w:val="0"/>
            <w:vAlign w:val="center"/>
          </w:tcPr>
          <w:p w14:paraId="008B7F33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  <w:t>岳阳市岳阳楼区财政资金服务中心</w:t>
            </w:r>
          </w:p>
        </w:tc>
      </w:tr>
      <w:tr w14:paraId="7037B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1FF6F9EB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D66B0D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2D79005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744" w:type="dxa"/>
            <w:gridSpan w:val="3"/>
            <w:noWrap w:val="0"/>
            <w:vAlign w:val="top"/>
          </w:tcPr>
          <w:p w14:paraId="3898E6CD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24BF2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BAC05B0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1D3FBA98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1117734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3753786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E0F1547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7216C82D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15E25AC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2BCC89F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198" w:type="dxa"/>
            <w:noWrap w:val="0"/>
            <w:vAlign w:val="top"/>
          </w:tcPr>
          <w:p w14:paraId="3FE907ED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6EC40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82EB6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B3299A2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 w14:paraId="07CD6DBF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3.00</w:t>
            </w:r>
          </w:p>
        </w:tc>
        <w:tc>
          <w:tcPr>
            <w:tcW w:w="1244" w:type="dxa"/>
            <w:noWrap w:val="0"/>
            <w:vAlign w:val="center"/>
          </w:tcPr>
          <w:p w14:paraId="4D572013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4.41</w:t>
            </w:r>
          </w:p>
        </w:tc>
        <w:tc>
          <w:tcPr>
            <w:tcW w:w="1281" w:type="dxa"/>
            <w:noWrap w:val="0"/>
            <w:vAlign w:val="center"/>
          </w:tcPr>
          <w:p w14:paraId="7F9B993B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4.41</w:t>
            </w:r>
          </w:p>
        </w:tc>
        <w:tc>
          <w:tcPr>
            <w:tcW w:w="673" w:type="dxa"/>
            <w:noWrap w:val="0"/>
            <w:vAlign w:val="center"/>
          </w:tcPr>
          <w:p w14:paraId="69A9A76C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3A9444AA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100.00%</w:t>
            </w:r>
          </w:p>
        </w:tc>
        <w:tc>
          <w:tcPr>
            <w:tcW w:w="1198" w:type="dxa"/>
            <w:noWrap w:val="0"/>
            <w:vAlign w:val="center"/>
          </w:tcPr>
          <w:p w14:paraId="7E185DD8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</w:tr>
      <w:tr w14:paraId="2EDCF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7B9F3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5DE6469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center"/>
          </w:tcPr>
          <w:p w14:paraId="23CB1941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3.00</w:t>
            </w:r>
          </w:p>
        </w:tc>
        <w:tc>
          <w:tcPr>
            <w:tcW w:w="1244" w:type="dxa"/>
            <w:noWrap w:val="0"/>
            <w:vAlign w:val="center"/>
          </w:tcPr>
          <w:p w14:paraId="0A57D926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4.41</w:t>
            </w:r>
          </w:p>
        </w:tc>
        <w:tc>
          <w:tcPr>
            <w:tcW w:w="1281" w:type="dxa"/>
            <w:noWrap w:val="0"/>
            <w:vAlign w:val="center"/>
          </w:tcPr>
          <w:p w14:paraId="50C43A13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4.41</w:t>
            </w:r>
          </w:p>
        </w:tc>
        <w:tc>
          <w:tcPr>
            <w:tcW w:w="673" w:type="dxa"/>
            <w:noWrap w:val="0"/>
            <w:vAlign w:val="center"/>
          </w:tcPr>
          <w:p w14:paraId="0536C35E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2F6C156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4FA22A3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057C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D75D5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217E9A1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center"/>
          </w:tcPr>
          <w:p w14:paraId="3473FA3D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304794BF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814615F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center"/>
          </w:tcPr>
          <w:p w14:paraId="711E84C8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center"/>
          </w:tcPr>
          <w:p w14:paraId="35522BAE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34897303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4D3A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179FE3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6C03947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center"/>
          </w:tcPr>
          <w:p w14:paraId="40ACBA45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7FE86711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228E5ED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center"/>
          </w:tcPr>
          <w:p w14:paraId="2D4DA0EC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59D27EF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24B705BC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918C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93D2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2F29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742F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85155A2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025" w:type="dxa"/>
            <w:gridSpan w:val="4"/>
            <w:noWrap w:val="0"/>
            <w:vAlign w:val="top"/>
          </w:tcPr>
          <w:p w14:paraId="5D97796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A3C8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6C0BF6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center"/>
          </w:tcPr>
          <w:p w14:paraId="54AA0D60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3.00</w:t>
            </w:r>
          </w:p>
        </w:tc>
        <w:tc>
          <w:tcPr>
            <w:tcW w:w="4025" w:type="dxa"/>
            <w:gridSpan w:val="4"/>
            <w:noWrap w:val="0"/>
            <w:vAlign w:val="center"/>
          </w:tcPr>
          <w:p w14:paraId="208EF5A8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4.41</w:t>
            </w:r>
          </w:p>
        </w:tc>
      </w:tr>
      <w:tr w14:paraId="32193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68B072F6">
            <w:pPr>
              <w:pStyle w:val="8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178A3BFE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DB9BA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6E7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65877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24B6C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248220D5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32E69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6A6EABF7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top"/>
          </w:tcPr>
          <w:p w14:paraId="341BC818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FE6EFEC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198" w:type="dxa"/>
            <w:noWrap w:val="0"/>
            <w:vAlign w:val="top"/>
          </w:tcPr>
          <w:p w14:paraId="47FEF915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5FE46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0FC1D7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459C6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6A52878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AC330B4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8585F4A">
            <w:pPr>
              <w:pStyle w:val="8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78EE5511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B27F7D4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50分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ED9C1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07D5F316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9161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审查资金月度计划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BC1C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≥12次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36E4"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12次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 w14:paraId="0CA26057"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2483339"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198" w:type="dxa"/>
            <w:noWrap w:val="0"/>
            <w:vAlign w:val="center"/>
          </w:tcPr>
          <w:p w14:paraId="6AD126F1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4317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7BAEAD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6232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66E2C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020ED220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07F6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城建项目资金管理安全率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4E42"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E336"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 w14:paraId="499F1F26"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 w14:paraId="49C02F6D"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20</w:t>
            </w:r>
          </w:p>
        </w:tc>
        <w:tc>
          <w:tcPr>
            <w:tcW w:w="1198" w:type="dxa"/>
            <w:noWrap w:val="0"/>
            <w:vAlign w:val="center"/>
          </w:tcPr>
          <w:p w14:paraId="6009F439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0A1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AFB956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5E72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D22F2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68101C81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E03B">
            <w:pPr>
              <w:pStyle w:val="8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城建项目资金拨付及时率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9974">
            <w:pPr>
              <w:pStyle w:val="8"/>
              <w:spacing w:line="224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E9C6">
            <w:pPr>
              <w:pStyle w:val="8"/>
              <w:spacing w:line="224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 w14:paraId="607B0673">
            <w:pPr>
              <w:pStyle w:val="8"/>
              <w:spacing w:line="224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 w14:paraId="342B0544">
            <w:pPr>
              <w:pStyle w:val="8"/>
              <w:spacing w:line="224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20</w:t>
            </w:r>
          </w:p>
        </w:tc>
        <w:tc>
          <w:tcPr>
            <w:tcW w:w="1198" w:type="dxa"/>
            <w:noWrap w:val="0"/>
            <w:vAlign w:val="center"/>
          </w:tcPr>
          <w:p w14:paraId="6D4D084E">
            <w:pPr>
              <w:pStyle w:val="8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5C17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1E5A2D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4FDB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E76F5">
            <w:pPr>
              <w:spacing w:before="273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6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907A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不适用</w:t>
            </w:r>
          </w:p>
        </w:tc>
      </w:tr>
      <w:tr w14:paraId="7E456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489CC8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67185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0F503DE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A9CF100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88C06B6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6A4D2CB6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95520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29466E10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6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50F5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不适用</w:t>
            </w:r>
          </w:p>
        </w:tc>
      </w:tr>
      <w:tr w14:paraId="78580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E7075D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E2C3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40D0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AE4153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631C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城建项目资金管理风险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6393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低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10BF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低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 w14:paraId="1A990AEE"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 w14:paraId="6ECE33D0"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30</w:t>
            </w:r>
          </w:p>
        </w:tc>
        <w:tc>
          <w:tcPr>
            <w:tcW w:w="1198" w:type="dxa"/>
            <w:noWrap w:val="0"/>
            <w:vAlign w:val="center"/>
          </w:tcPr>
          <w:p w14:paraId="2A8A0B04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998D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549430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CD05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2C4BD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52E54401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6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E9B5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不适用</w:t>
            </w:r>
          </w:p>
        </w:tc>
      </w:tr>
      <w:tr w14:paraId="7E267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5D4745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46DA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529F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6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55E6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eastAsia="zh-CN"/>
              </w:rPr>
              <w:t>不适用</w:t>
            </w:r>
          </w:p>
        </w:tc>
      </w:tr>
      <w:tr w14:paraId="31D04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ECC424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ABA57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7087E23D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4439A5C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97F99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2BF8B7C6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74A7C87A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5B7E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社会公众满意度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6798E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≥95%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43E8"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 w14:paraId="7512D11E"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04088AF">
            <w:pPr>
              <w:pStyle w:val="8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198" w:type="dxa"/>
            <w:noWrap w:val="0"/>
            <w:vAlign w:val="center"/>
          </w:tcPr>
          <w:p w14:paraId="5F0DB318">
            <w:pPr>
              <w:pStyle w:val="8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28B8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4FC09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tcBorders>
              <w:left w:val="single" w:color="auto" w:sz="4" w:space="0"/>
            </w:tcBorders>
            <w:noWrap w:val="0"/>
            <w:vAlign w:val="center"/>
          </w:tcPr>
          <w:p w14:paraId="439E37DD">
            <w:pPr>
              <w:spacing w:before="67" w:line="195" w:lineRule="auto"/>
              <w:ind w:left="20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366EE042">
            <w:pPr>
              <w:pStyle w:val="8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1198" w:type="dxa"/>
            <w:noWrap w:val="0"/>
            <w:vAlign w:val="top"/>
          </w:tcPr>
          <w:p w14:paraId="3B6B55B8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 w14:paraId="6F1B168D">
      <w:pPr>
        <w:spacing w:line="217" w:lineRule="auto"/>
        <w:rPr>
          <w:sz w:val="22"/>
          <w:szCs w:val="22"/>
        </w:rPr>
      </w:pPr>
    </w:p>
    <w:p w14:paraId="0396B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黄婉婷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15107308422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/>
          <w:sz w:val="22"/>
          <w:szCs w:val="22"/>
          <w:lang w:val="en-US" w:eastAsia="zh-CN"/>
        </w:rPr>
        <w:t>2024.05.20</w:t>
      </w:r>
    </w:p>
    <w:p w14:paraId="1021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2"/>
          <w:szCs w:val="22"/>
          <w:lang w:val="en-US" w:eastAsia="zh-CN"/>
        </w:rPr>
      </w:pPr>
    </w:p>
    <w:p w14:paraId="653B7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黑体" w:hAnsi="黑体" w:eastAsia="黑体" w:cs="黑体"/>
          <w:spacing w:val="-4"/>
          <w:sz w:val="31"/>
          <w:szCs w:val="31"/>
        </w:rPr>
      </w:pPr>
    </w:p>
    <w:p w14:paraId="7F22E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0126C8DC">
      <w:pPr>
        <w:spacing w:line="250" w:lineRule="auto"/>
        <w:rPr>
          <w:rFonts w:ascii="Arial"/>
          <w:sz w:val="21"/>
        </w:rPr>
      </w:pPr>
    </w:p>
    <w:p w14:paraId="0A018DC0">
      <w:pPr>
        <w:spacing w:line="250" w:lineRule="auto"/>
        <w:rPr>
          <w:rFonts w:ascii="Arial"/>
          <w:sz w:val="21"/>
        </w:rPr>
      </w:pPr>
    </w:p>
    <w:p w14:paraId="0337EA34">
      <w:pPr>
        <w:spacing w:line="250" w:lineRule="auto"/>
        <w:rPr>
          <w:rFonts w:ascii="Arial"/>
          <w:sz w:val="21"/>
        </w:rPr>
      </w:pPr>
    </w:p>
    <w:p w14:paraId="2E3D18E2">
      <w:pPr>
        <w:spacing w:line="250" w:lineRule="auto"/>
        <w:rPr>
          <w:rFonts w:ascii="Arial"/>
          <w:sz w:val="21"/>
        </w:rPr>
      </w:pPr>
    </w:p>
    <w:p w14:paraId="3DCCE524">
      <w:pPr>
        <w:spacing w:line="251" w:lineRule="auto"/>
        <w:rPr>
          <w:rFonts w:ascii="Arial"/>
          <w:sz w:val="21"/>
        </w:rPr>
      </w:pPr>
    </w:p>
    <w:p w14:paraId="46859D2D">
      <w:pPr>
        <w:spacing w:line="251" w:lineRule="auto"/>
        <w:rPr>
          <w:rFonts w:ascii="Arial"/>
          <w:sz w:val="21"/>
        </w:rPr>
      </w:pPr>
    </w:p>
    <w:p w14:paraId="3FF73CD0">
      <w:pPr>
        <w:spacing w:line="251" w:lineRule="auto"/>
        <w:rPr>
          <w:rFonts w:ascii="Arial"/>
          <w:sz w:val="21"/>
        </w:rPr>
      </w:pPr>
    </w:p>
    <w:p w14:paraId="2825448E">
      <w:pPr>
        <w:spacing w:line="251" w:lineRule="auto"/>
        <w:rPr>
          <w:rFonts w:ascii="Arial"/>
          <w:sz w:val="21"/>
        </w:rPr>
      </w:pPr>
    </w:p>
    <w:p w14:paraId="07F07559">
      <w:pPr>
        <w:spacing w:line="251" w:lineRule="auto"/>
        <w:rPr>
          <w:rFonts w:ascii="Arial"/>
          <w:sz w:val="21"/>
        </w:rPr>
      </w:pPr>
    </w:p>
    <w:p w14:paraId="0E8E2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  <w:lang w:val="en-US" w:eastAsia="zh-CN"/>
        </w:rPr>
        <w:t>岳阳楼区财政资金服务中心</w:t>
      </w:r>
    </w:p>
    <w:p w14:paraId="498B5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 w14:paraId="346971F3">
      <w:pPr>
        <w:spacing w:line="243" w:lineRule="auto"/>
        <w:rPr>
          <w:rFonts w:ascii="Arial"/>
          <w:sz w:val="21"/>
        </w:rPr>
      </w:pPr>
    </w:p>
    <w:p w14:paraId="57A5ABDF">
      <w:pPr>
        <w:spacing w:line="243" w:lineRule="auto"/>
        <w:rPr>
          <w:rFonts w:ascii="Arial"/>
          <w:sz w:val="21"/>
        </w:rPr>
      </w:pPr>
    </w:p>
    <w:p w14:paraId="61472F28">
      <w:pPr>
        <w:spacing w:line="243" w:lineRule="auto"/>
        <w:rPr>
          <w:rFonts w:ascii="Arial"/>
          <w:sz w:val="21"/>
        </w:rPr>
      </w:pPr>
    </w:p>
    <w:p w14:paraId="28044EAC">
      <w:pPr>
        <w:spacing w:line="243" w:lineRule="auto"/>
        <w:rPr>
          <w:rFonts w:ascii="Arial"/>
          <w:sz w:val="21"/>
        </w:rPr>
      </w:pPr>
    </w:p>
    <w:p w14:paraId="7131AB09">
      <w:pPr>
        <w:spacing w:line="243" w:lineRule="auto"/>
        <w:rPr>
          <w:rFonts w:ascii="Arial"/>
          <w:sz w:val="21"/>
        </w:rPr>
      </w:pPr>
    </w:p>
    <w:p w14:paraId="599A63D3">
      <w:pPr>
        <w:spacing w:line="243" w:lineRule="auto"/>
        <w:rPr>
          <w:rFonts w:ascii="Arial"/>
          <w:sz w:val="21"/>
        </w:rPr>
      </w:pPr>
    </w:p>
    <w:p w14:paraId="3DF7897B">
      <w:pPr>
        <w:spacing w:line="243" w:lineRule="auto"/>
        <w:rPr>
          <w:rFonts w:ascii="Arial"/>
          <w:sz w:val="21"/>
        </w:rPr>
      </w:pPr>
    </w:p>
    <w:p w14:paraId="4EFA090A">
      <w:pPr>
        <w:spacing w:line="243" w:lineRule="auto"/>
        <w:rPr>
          <w:rFonts w:ascii="Arial"/>
          <w:sz w:val="21"/>
        </w:rPr>
      </w:pPr>
    </w:p>
    <w:p w14:paraId="0ADC88EF">
      <w:pPr>
        <w:spacing w:line="243" w:lineRule="auto"/>
        <w:rPr>
          <w:rFonts w:ascii="Arial"/>
          <w:sz w:val="21"/>
        </w:rPr>
      </w:pPr>
    </w:p>
    <w:p w14:paraId="38715237">
      <w:pPr>
        <w:spacing w:line="243" w:lineRule="auto"/>
        <w:rPr>
          <w:rFonts w:ascii="Arial"/>
          <w:sz w:val="21"/>
        </w:rPr>
      </w:pPr>
    </w:p>
    <w:p w14:paraId="0E27D6D2">
      <w:pPr>
        <w:spacing w:line="243" w:lineRule="auto"/>
        <w:rPr>
          <w:rFonts w:ascii="Arial"/>
          <w:sz w:val="21"/>
        </w:rPr>
      </w:pPr>
    </w:p>
    <w:p w14:paraId="7F541872">
      <w:pPr>
        <w:spacing w:line="243" w:lineRule="auto"/>
        <w:rPr>
          <w:rFonts w:ascii="Arial"/>
          <w:sz w:val="21"/>
        </w:rPr>
      </w:pPr>
    </w:p>
    <w:p w14:paraId="128E8E60">
      <w:pPr>
        <w:spacing w:line="243" w:lineRule="auto"/>
        <w:rPr>
          <w:rFonts w:ascii="Arial"/>
          <w:sz w:val="21"/>
        </w:rPr>
      </w:pPr>
    </w:p>
    <w:p w14:paraId="64116361">
      <w:pPr>
        <w:spacing w:line="243" w:lineRule="auto"/>
        <w:rPr>
          <w:rFonts w:ascii="Arial"/>
          <w:sz w:val="21"/>
        </w:rPr>
      </w:pPr>
    </w:p>
    <w:p w14:paraId="32F083A9">
      <w:pPr>
        <w:spacing w:line="243" w:lineRule="auto"/>
        <w:rPr>
          <w:rFonts w:ascii="Arial"/>
          <w:sz w:val="21"/>
        </w:rPr>
      </w:pPr>
    </w:p>
    <w:p w14:paraId="628D5509">
      <w:pPr>
        <w:spacing w:line="243" w:lineRule="auto"/>
        <w:rPr>
          <w:rFonts w:ascii="Arial"/>
          <w:sz w:val="21"/>
        </w:rPr>
      </w:pPr>
    </w:p>
    <w:p w14:paraId="738593B3">
      <w:pPr>
        <w:spacing w:line="243" w:lineRule="auto"/>
        <w:rPr>
          <w:rFonts w:ascii="Arial"/>
          <w:sz w:val="21"/>
        </w:rPr>
      </w:pPr>
    </w:p>
    <w:p w14:paraId="06FAC8D3">
      <w:pPr>
        <w:spacing w:line="243" w:lineRule="auto"/>
        <w:rPr>
          <w:rFonts w:ascii="Arial"/>
          <w:sz w:val="21"/>
        </w:rPr>
      </w:pPr>
    </w:p>
    <w:p w14:paraId="3B0604D5">
      <w:pPr>
        <w:spacing w:line="243" w:lineRule="auto"/>
        <w:rPr>
          <w:rFonts w:ascii="Arial"/>
          <w:sz w:val="21"/>
        </w:rPr>
      </w:pPr>
    </w:p>
    <w:p w14:paraId="67F36E0C">
      <w:pPr>
        <w:spacing w:line="243" w:lineRule="auto"/>
        <w:rPr>
          <w:rFonts w:ascii="Arial"/>
          <w:sz w:val="21"/>
        </w:rPr>
      </w:pPr>
    </w:p>
    <w:p w14:paraId="69117908">
      <w:pPr>
        <w:spacing w:line="243" w:lineRule="auto"/>
        <w:rPr>
          <w:rFonts w:ascii="Arial"/>
          <w:sz w:val="21"/>
        </w:rPr>
      </w:pPr>
    </w:p>
    <w:p w14:paraId="6BFA7FA3">
      <w:pPr>
        <w:spacing w:line="243" w:lineRule="auto"/>
        <w:rPr>
          <w:rFonts w:ascii="Arial"/>
          <w:sz w:val="21"/>
        </w:rPr>
      </w:pPr>
    </w:p>
    <w:p w14:paraId="5405F586">
      <w:pPr>
        <w:spacing w:line="243" w:lineRule="auto"/>
        <w:rPr>
          <w:rFonts w:ascii="Arial"/>
          <w:sz w:val="21"/>
        </w:rPr>
      </w:pPr>
    </w:p>
    <w:p w14:paraId="75B5A6AF">
      <w:pPr>
        <w:spacing w:line="243" w:lineRule="auto"/>
        <w:rPr>
          <w:rFonts w:ascii="Arial"/>
          <w:sz w:val="21"/>
        </w:rPr>
      </w:pPr>
    </w:p>
    <w:p w14:paraId="3B056D85">
      <w:pPr>
        <w:spacing w:line="243" w:lineRule="auto"/>
        <w:rPr>
          <w:rFonts w:ascii="Arial"/>
          <w:sz w:val="21"/>
        </w:rPr>
      </w:pPr>
    </w:p>
    <w:p w14:paraId="592550EA">
      <w:pPr>
        <w:spacing w:line="244" w:lineRule="auto"/>
        <w:rPr>
          <w:rFonts w:ascii="Arial"/>
          <w:sz w:val="21"/>
        </w:rPr>
      </w:pPr>
    </w:p>
    <w:p w14:paraId="0DD8D719">
      <w:pPr>
        <w:spacing w:line="244" w:lineRule="auto"/>
        <w:rPr>
          <w:rFonts w:ascii="Arial"/>
          <w:sz w:val="21"/>
        </w:rPr>
      </w:pPr>
    </w:p>
    <w:p w14:paraId="5A21B16A">
      <w:pPr>
        <w:pStyle w:val="2"/>
        <w:spacing w:before="100" w:line="221" w:lineRule="auto"/>
        <w:jc w:val="center"/>
      </w:pPr>
      <w:r>
        <w:rPr>
          <w:spacing w:val="-10"/>
        </w:rPr>
        <w:t>部门（单位）名称：</w:t>
      </w:r>
      <w:r>
        <w:rPr>
          <w:spacing w:val="-10"/>
          <w:u w:val="single"/>
        </w:rPr>
        <w:t xml:space="preserve"> </w:t>
      </w:r>
      <w:r>
        <w:rPr>
          <w:rFonts w:hint="eastAsia"/>
          <w:spacing w:val="-10"/>
          <w:u w:val="single"/>
          <w:lang w:val="en-US" w:eastAsia="zh-CN"/>
        </w:rPr>
        <w:t>岳阳市</w:t>
      </w:r>
      <w:r>
        <w:rPr>
          <w:rFonts w:hint="eastAsia"/>
          <w:spacing w:val="-10"/>
          <w:u w:val="single" w:color="auto"/>
          <w:lang w:val="en-US" w:eastAsia="zh-CN"/>
        </w:rPr>
        <w:t>岳阳楼区财政资金服务中心</w:t>
      </w:r>
    </w:p>
    <w:p w14:paraId="1FFE73F2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2024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5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20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3B4F95B1">
      <w:pPr>
        <w:spacing w:line="335" w:lineRule="auto"/>
        <w:rPr>
          <w:rFonts w:ascii="Arial"/>
          <w:sz w:val="21"/>
        </w:rPr>
      </w:pPr>
    </w:p>
    <w:p w14:paraId="3EA5497B"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73157E03">
      <w:pPr>
        <w:spacing w:line="224" w:lineRule="auto"/>
        <w:sectPr>
          <w:footerReference r:id="rId4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00D1A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 年度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  <w:t>岳阳楼区财政资金服务中心</w:t>
      </w:r>
    </w:p>
    <w:p w14:paraId="3FDF9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69FD0089">
      <w:pPr>
        <w:spacing w:line="283" w:lineRule="auto"/>
        <w:rPr>
          <w:rFonts w:ascii="Arial"/>
          <w:sz w:val="21"/>
        </w:rPr>
      </w:pPr>
    </w:p>
    <w:p w14:paraId="23F70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7CD793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（一）部门（单位）基本情况</w:t>
      </w:r>
    </w:p>
    <w:p w14:paraId="72D01F7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1、职能职责</w:t>
      </w:r>
    </w:p>
    <w:p w14:paraId="4822176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楼区财政资金服务中心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负责审核城建项目建设资金年度收支计划草案；负责城建项目资金结算的调度方案，监督项目资金月度收支计划，监督项目资金的结算、汇总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竣工决算和财务决算；负责对区人民政府城建投资项目举债的可行性研究；监督城建项目融资；负责组织城建项目概算、预算与结算审查。</w:t>
      </w:r>
    </w:p>
    <w:p w14:paraId="5EAC2836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机构设置</w:t>
      </w:r>
    </w:p>
    <w:p w14:paraId="6EC1794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根据区委办、区政府办《关于印发〈岳阳市岳阳楼区财政局主要职责内设机构和人员编制规定〉的通知》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岳楼办发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〔2016〕18号）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文件精神，岳阳楼区财政资金管理中心核定事业编制5名，其中副科级领导职数1名，正股级领导职数1名。岳阳市岳阳楼区财政资金服务中心为岳阳楼区财政局的二级机构。现有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在职在编2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人。</w:t>
      </w:r>
    </w:p>
    <w:p w14:paraId="02C3117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部门（单位）整体支出规模、使用方向和主要内容、涉及范围等</w:t>
      </w:r>
    </w:p>
    <w:p w14:paraId="37FCAFC0">
      <w:pPr>
        <w:numPr>
          <w:ilvl w:val="0"/>
          <w:numId w:val="0"/>
        </w:numPr>
        <w:spacing w:line="560" w:lineRule="exact"/>
        <w:ind w:firstLine="640" w:firstLineChars="200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2023年单位整体支出规模35.41万元，主要用于人员工资、津补贴、绩效奖金、社会保险、基本办公开支、交通费、劳务费、工会经费等方面的开支。</w:t>
      </w:r>
    </w:p>
    <w:p w14:paraId="10E94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12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6DE62A47">
      <w:pPr>
        <w:numPr>
          <w:ilvl w:val="0"/>
          <w:numId w:val="0"/>
        </w:numPr>
        <w:spacing w:line="560" w:lineRule="exact"/>
        <w:ind w:firstLine="640" w:firstLineChars="200"/>
        <w:rPr>
          <w:rFonts w:ascii="楷体" w:hAnsi="楷体" w:eastAsia="楷体" w:cs="楷体"/>
          <w:b w:val="0"/>
          <w:bCs w:val="0"/>
          <w:spacing w:val="9"/>
          <w:position w:val="21"/>
          <w:sz w:val="31"/>
          <w:szCs w:val="31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（一）基本支出情况</w:t>
      </w:r>
    </w:p>
    <w:p w14:paraId="04140385">
      <w:pPr>
        <w:numPr>
          <w:ilvl w:val="0"/>
          <w:numId w:val="0"/>
        </w:numPr>
        <w:spacing w:line="560" w:lineRule="exact"/>
        <w:ind w:firstLine="640" w:firstLineChars="200"/>
        <w:rPr>
          <w:rFonts w:ascii="楷体" w:hAnsi="楷体" w:eastAsia="楷体" w:cs="楷体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2023年单位整体支出31.00万元，其中人员经费27.40万元，主要是人员的工资、津补贴、绩效奖金和社会保险等内容。日常公用经费3.60万元，主要是办公费、交通费、劳务费、工会经费等开支。</w:t>
      </w:r>
    </w:p>
    <w:p w14:paraId="11A4A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kern w:val="2"/>
          <w:positio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position w:val="0"/>
          <w:sz w:val="32"/>
          <w:szCs w:val="32"/>
          <w:lang w:val="en-US" w:eastAsia="zh-CN"/>
        </w:rPr>
        <w:t>项目支出情况</w:t>
      </w:r>
    </w:p>
    <w:p w14:paraId="1F654592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2023年，我单位支付项目支出4.41万元，主要是补充预算不足部分的工资、办公费、委托业务费等。</w:t>
      </w:r>
    </w:p>
    <w:p w14:paraId="3D36175C">
      <w:pPr>
        <w:spacing w:line="560" w:lineRule="exact"/>
        <w:ind w:firstLine="652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0BAD32E4">
      <w:pPr>
        <w:spacing w:line="560" w:lineRule="exact"/>
        <w:ind w:firstLine="640" w:firstLineChars="200"/>
        <w:rPr>
          <w:rFonts w:ascii="黑体" w:hAnsi="黑体" w:eastAsia="黑体" w:cs="黑体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2023年我单位无政府性基金预算支出。</w:t>
      </w:r>
    </w:p>
    <w:p w14:paraId="32F928C8">
      <w:pPr>
        <w:numPr>
          <w:ilvl w:val="0"/>
          <w:numId w:val="0"/>
        </w:numPr>
        <w:spacing w:line="560" w:lineRule="exact"/>
        <w:ind w:leftChars="0" w:firstLine="652" w:firstLineChars="200"/>
        <w:jc w:val="left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四、国</w:t>
      </w:r>
      <w:r>
        <w:rPr>
          <w:rFonts w:ascii="黑体" w:hAnsi="黑体" w:eastAsia="黑体" w:cs="黑体"/>
          <w:spacing w:val="8"/>
          <w:sz w:val="31"/>
          <w:szCs w:val="31"/>
        </w:rPr>
        <w:t>有资本经营预算支出情况</w:t>
      </w:r>
    </w:p>
    <w:p w14:paraId="247A69F2">
      <w:pPr>
        <w:numPr>
          <w:ilvl w:val="0"/>
          <w:numId w:val="0"/>
        </w:numPr>
        <w:spacing w:line="560" w:lineRule="exact"/>
        <w:ind w:leftChars="0" w:firstLine="640" w:firstLineChars="200"/>
        <w:jc w:val="left"/>
        <w:rPr>
          <w:rFonts w:ascii="黑体" w:hAnsi="黑体" w:eastAsia="黑体" w:cs="黑体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2023年我单位无国有资本经营预算支出。</w:t>
      </w:r>
    </w:p>
    <w:p w14:paraId="27C523BE">
      <w:pPr>
        <w:numPr>
          <w:ilvl w:val="0"/>
          <w:numId w:val="0"/>
        </w:numPr>
        <w:spacing w:line="560" w:lineRule="exact"/>
        <w:ind w:leftChars="0" w:firstLine="652" w:firstLineChars="200"/>
        <w:jc w:val="left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五、</w:t>
      </w: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78DBA1E7">
      <w:pPr>
        <w:numPr>
          <w:ilvl w:val="0"/>
          <w:numId w:val="0"/>
        </w:numPr>
        <w:spacing w:line="560" w:lineRule="exact"/>
        <w:ind w:leftChars="0"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2023年我单位无社会保险基金预算支出。</w:t>
      </w:r>
    </w:p>
    <w:p w14:paraId="50A3224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52" w:firstLineChars="20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6726DD51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经济性分析</w:t>
      </w:r>
    </w:p>
    <w:p w14:paraId="13E31FF4">
      <w:pPr>
        <w:numPr>
          <w:ilvl w:val="0"/>
          <w:numId w:val="0"/>
        </w:numPr>
        <w:spacing w:line="560" w:lineRule="exac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2023年我单位预算调整1.34万元，预算调整率为3.9%，主要原因是年度工资调整，比年初预算增加。</w:t>
      </w:r>
    </w:p>
    <w:p w14:paraId="035A3298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效率性分析</w:t>
      </w:r>
    </w:p>
    <w:p w14:paraId="6F0BAB3E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，我单位预决算报告，政府综合财务报告等财务报告均能按时出具，并及时在政府门户网站上公开。预算执行按月份均匀发生，各项财务报告数字准确，监督城建项目资金及时拨付，各项工作均能高质量完成。</w:t>
      </w:r>
    </w:p>
    <w:p w14:paraId="426E3E2A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有效性分析</w:t>
      </w:r>
    </w:p>
    <w:p w14:paraId="2EDB950F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2023年，我单位财政资金按照政府财务会计制度的规定，科学安全管理，资金拨付手续完整并及时拨付，确保了楼区城建项目建设速度。</w:t>
      </w:r>
    </w:p>
    <w:p w14:paraId="632A5F5E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可持续性分析</w:t>
      </w:r>
    </w:p>
    <w:p w14:paraId="1F46316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2023年，我单位资金管理措施严格规范，未出现资金使用单位投诉的现象。项目建设进度良好。</w:t>
      </w:r>
    </w:p>
    <w:p w14:paraId="53CA713E">
      <w:pPr>
        <w:numPr>
          <w:ilvl w:val="0"/>
          <w:numId w:val="0"/>
        </w:numPr>
        <w:spacing w:line="560" w:lineRule="exact"/>
        <w:ind w:leftChars="0" w:firstLine="652" w:firstLineChars="200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七、</w:t>
      </w:r>
      <w:r>
        <w:rPr>
          <w:rFonts w:ascii="黑体" w:hAnsi="黑体" w:eastAsia="黑体" w:cs="黑体"/>
          <w:spacing w:val="8"/>
          <w:sz w:val="31"/>
          <w:szCs w:val="31"/>
        </w:rPr>
        <w:t>存在的问题及原因分析</w:t>
      </w:r>
    </w:p>
    <w:p w14:paraId="0D133558">
      <w:pPr>
        <w:numPr>
          <w:ilvl w:val="0"/>
          <w:numId w:val="0"/>
        </w:numPr>
        <w:spacing w:line="560" w:lineRule="exact"/>
        <w:ind w:leftChars="0" w:firstLine="640" w:firstLineChars="200"/>
        <w:rPr>
          <w:rFonts w:ascii="黑体" w:hAnsi="黑体" w:eastAsia="黑体" w:cs="黑体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单位绩效评价存在的主要问题是在信息化时代，资金管理与信息化管理工具结合不够，信息化管理系统建设过于分散，导致财务分析数据不够全面、系统。另外一些定性分析的指标主观性太强，评价的结果会缺乏客观性。</w:t>
      </w:r>
    </w:p>
    <w:p w14:paraId="2ED279B6">
      <w:pPr>
        <w:numPr>
          <w:ilvl w:val="0"/>
          <w:numId w:val="0"/>
        </w:numPr>
        <w:spacing w:line="560" w:lineRule="exact"/>
        <w:ind w:leftChars="0" w:firstLine="652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八、</w:t>
      </w: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194DB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优化信息管理系统，集中财务数据，便于分析单位的财务状况，也便于资金更加高效和安全地管理。</w:t>
      </w:r>
    </w:p>
    <w:p w14:paraId="561FB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56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78A7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color w:val="000000"/>
          <w:kern w:val="0"/>
          <w:sz w:val="32"/>
          <w:szCs w:val="32"/>
          <w:lang w:val="en-US" w:eastAsia="zh-CN"/>
        </w:rPr>
        <w:t>我单位预决算报告，政府综合财务报告等财务报告均能按时出具，并及时在政府门户网站上公开；</w:t>
      </w:r>
      <w:bookmarkStart w:id="0" w:name="_GoBack"/>
      <w:bookmarkEnd w:id="0"/>
      <w:r>
        <w:rPr>
          <w:rFonts w:hint="eastAsia" w:ascii="仿宋" w:hAnsi="仿宋" w:eastAsia="仿宋" w:cs="黑体"/>
          <w:color w:val="000000"/>
          <w:kern w:val="0"/>
          <w:sz w:val="32"/>
          <w:szCs w:val="32"/>
          <w:lang w:val="en-US" w:eastAsia="zh-CN"/>
        </w:rPr>
        <w:t>预算执行按月份均匀发生，各项财务报告数字准确，监督城建项目资金及时拨付，各项工作均能高质量完成。</w:t>
      </w:r>
    </w:p>
    <w:p w14:paraId="73344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8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其他需要说明的情况</w:t>
      </w:r>
    </w:p>
    <w:p w14:paraId="5C5700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8B1C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12031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2031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037AC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DE2C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FDE2C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A3C2F"/>
    <w:multiLevelType w:val="singleLevel"/>
    <w:tmpl w:val="AEFA3C2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559C33F"/>
    <w:multiLevelType w:val="singleLevel"/>
    <w:tmpl w:val="2559C33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GQwOTk1ZDE0MzYzZTQ4M2U1MjM0YmM0ZGM5YzA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7A411F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16AA9"/>
    <w:rsid w:val="0293597A"/>
    <w:rsid w:val="029733CF"/>
    <w:rsid w:val="029C7AF4"/>
    <w:rsid w:val="02AC5088"/>
    <w:rsid w:val="02B544DB"/>
    <w:rsid w:val="02C1651C"/>
    <w:rsid w:val="02C40969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00F3"/>
    <w:rsid w:val="037F229C"/>
    <w:rsid w:val="03911277"/>
    <w:rsid w:val="039A540B"/>
    <w:rsid w:val="03A6732C"/>
    <w:rsid w:val="03A74EB6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E7018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8F347F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AF7121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13DD9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9022FF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61B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9721C5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84674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2E13A9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54C71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CC5834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264067"/>
    <w:rsid w:val="23336451"/>
    <w:rsid w:val="23474320"/>
    <w:rsid w:val="23492735"/>
    <w:rsid w:val="235B5F37"/>
    <w:rsid w:val="235C3EA6"/>
    <w:rsid w:val="23604810"/>
    <w:rsid w:val="237B74B4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318DA"/>
    <w:rsid w:val="256609A5"/>
    <w:rsid w:val="256F195A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B7F24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6D7CCB"/>
    <w:rsid w:val="2D7343C9"/>
    <w:rsid w:val="2DA20908"/>
    <w:rsid w:val="2DB45073"/>
    <w:rsid w:val="2DB713DE"/>
    <w:rsid w:val="2DC72B92"/>
    <w:rsid w:val="2DD60F9C"/>
    <w:rsid w:val="2DE44256"/>
    <w:rsid w:val="2DE557EB"/>
    <w:rsid w:val="2E0449DE"/>
    <w:rsid w:val="2E0E6D42"/>
    <w:rsid w:val="2E0F4249"/>
    <w:rsid w:val="2E2F0A58"/>
    <w:rsid w:val="2E301D0F"/>
    <w:rsid w:val="2E3335ED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58DA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7C7F44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8202C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DE382B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0210A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995C5C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056AD"/>
    <w:rsid w:val="3BDF089F"/>
    <w:rsid w:val="3BE14893"/>
    <w:rsid w:val="3BE63BAE"/>
    <w:rsid w:val="3BE8265C"/>
    <w:rsid w:val="3BE92A35"/>
    <w:rsid w:val="3BEB460F"/>
    <w:rsid w:val="3BEC1CB8"/>
    <w:rsid w:val="3BEE1FD7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3A1978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74F0E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B5502E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502BE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5113F6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1E7600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52A25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557CF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05F3B"/>
    <w:rsid w:val="50E24440"/>
    <w:rsid w:val="50E466DC"/>
    <w:rsid w:val="50E75A57"/>
    <w:rsid w:val="50EA1869"/>
    <w:rsid w:val="50F71D3E"/>
    <w:rsid w:val="50FD00F4"/>
    <w:rsid w:val="50FF056E"/>
    <w:rsid w:val="510F2A7F"/>
    <w:rsid w:val="512027DB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179C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13591"/>
    <w:rsid w:val="54827775"/>
    <w:rsid w:val="548C3C7E"/>
    <w:rsid w:val="549635BC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5E22AF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6232E6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A64068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413D5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EB6C93"/>
    <w:rsid w:val="6AF12E6D"/>
    <w:rsid w:val="6AFA5927"/>
    <w:rsid w:val="6B0845B4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400C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2A12B4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640AC"/>
    <w:rsid w:val="72772E18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D43285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049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9A405B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105F2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82163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0E17E2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D482C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0E1A8A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62BC5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2731</Words>
  <Characters>3053</Characters>
  <Lines>0</Lines>
  <Paragraphs>0</Paragraphs>
  <TotalTime>0</TotalTime>
  <ScaleCrop>false</ScaleCrop>
  <LinksUpToDate>false</LinksUpToDate>
  <CharactersWithSpaces>3113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cp:lastPrinted>2024-05-23T07:18:00Z</cp:lastPrinted>
  <dcterms:modified xsi:type="dcterms:W3CDTF">2025-10-27T04:35:13Z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