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2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05C8A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1BB4A9CF">
      <w:pPr>
        <w:spacing w:line="115" w:lineRule="exact"/>
        <w:rPr>
          <w:color w:val="000000"/>
        </w:rPr>
      </w:pPr>
    </w:p>
    <w:tbl>
      <w:tblPr>
        <w:tblStyle w:val="7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499B4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5A19F304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1CB8289">
            <w:pPr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岳阳市第二中学</w:t>
            </w:r>
          </w:p>
        </w:tc>
      </w:tr>
      <w:tr w14:paraId="44007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05233357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39F16CD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1D0F5DA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31E3743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21BCD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F58F94A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3577DE1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5328C3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06A6FB3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0361D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05FF4F3E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7FACF00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31AD589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BAE36B2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08213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E4059D5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CE2B83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0.38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B6FAD3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BAB377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46417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BAA0BE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1A4D43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702CE2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FBB650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7BD6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804E26F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B5F809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D3A846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FD24BE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20E1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DD4F16C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3DD91E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DD9B7A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0AF4F0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5A3C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132A3B5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D386E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CAA91A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95B90E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1B52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1E6BBEA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C40D8E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0.38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6AE086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2FAD75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B281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8F38287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F3142E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223072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88629E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B4D8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A413133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5330E4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4AFD87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42AE91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1784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16728FF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765D44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3B708E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7EE26F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5A7E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DBCB948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4DC352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557AAC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EBF5F7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52E53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2156BCA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C5474B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0A0121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F44B7D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5CF8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323CFEE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70C844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312.43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72A8CF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150.62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D1023F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414.05</w:t>
            </w:r>
          </w:p>
        </w:tc>
      </w:tr>
      <w:tr w14:paraId="4E7AE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61ADAFD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3330B2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42.61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504D50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6CA837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35.76</w:t>
            </w:r>
          </w:p>
        </w:tc>
      </w:tr>
      <w:tr w14:paraId="2211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8BA2379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482C38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19.7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36B6DC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22.5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7D107B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22.45</w:t>
            </w:r>
          </w:p>
        </w:tc>
      </w:tr>
      <w:tr w14:paraId="7FDD8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324CA26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95B216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18.49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E5435F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DC277F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11.88</w:t>
            </w:r>
          </w:p>
        </w:tc>
      </w:tr>
      <w:tr w14:paraId="7B5DC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6A2938D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68CEC0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B49BAC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350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57CAF2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0B04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7E694A9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2015DF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E14A85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205C49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410E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4CE6F020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5DB8239D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6AF35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2941F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134B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71A2F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71870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A26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50FA2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1B7B2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169A5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6FEB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7BE9C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51095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1BC2D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1C4F5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0FB0417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2BCAAAEB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66C45489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2C6D2A3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2D26DAE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1027FD6B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3FFC21D9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CD84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3850" w:type="dxa"/>
            <w:noWrap w:val="0"/>
            <w:vAlign w:val="top"/>
          </w:tcPr>
          <w:p w14:paraId="4867B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69BC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1.精简会议支出，严格执行会议开支标准；2.节约公共资源，注意用水、用电等；3.严控资产购置，提高资产使用效率。</w:t>
            </w:r>
          </w:p>
        </w:tc>
      </w:tr>
    </w:tbl>
    <w:p w14:paraId="05F8B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712CE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21EC3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2024.6.14</w:t>
      </w:r>
    </w:p>
    <w:p w14:paraId="173BBC67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6B7CA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619C2500">
      <w:pPr>
        <w:spacing w:line="132" w:lineRule="exact"/>
      </w:pPr>
    </w:p>
    <w:tbl>
      <w:tblPr>
        <w:tblStyle w:val="7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707B9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76ADE7D9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4711E098">
            <w:pPr>
              <w:pStyle w:val="8"/>
              <w:spacing w:line="239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岳阳市第二中学</w:t>
            </w:r>
          </w:p>
        </w:tc>
      </w:tr>
      <w:tr w14:paraId="3BED6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193A9C8">
            <w:pPr>
              <w:pStyle w:val="8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00C92E6D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11C05445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2199E28C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0923EDB9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05FAE8ED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357E2A2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A12ECFC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0FCADC40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47FF3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1A57D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0770DEF8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 w14:paraId="34B8C98C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2779.71</w:t>
            </w:r>
          </w:p>
        </w:tc>
        <w:tc>
          <w:tcPr>
            <w:tcW w:w="1310" w:type="dxa"/>
            <w:noWrap w:val="0"/>
            <w:vAlign w:val="top"/>
          </w:tcPr>
          <w:p w14:paraId="3AF92752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3080.30</w:t>
            </w:r>
          </w:p>
        </w:tc>
        <w:tc>
          <w:tcPr>
            <w:tcW w:w="1268" w:type="dxa"/>
            <w:noWrap w:val="0"/>
            <w:vAlign w:val="top"/>
          </w:tcPr>
          <w:p w14:paraId="0234665E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3080.30</w:t>
            </w:r>
          </w:p>
        </w:tc>
        <w:tc>
          <w:tcPr>
            <w:tcW w:w="716" w:type="dxa"/>
            <w:noWrap w:val="0"/>
            <w:vAlign w:val="top"/>
          </w:tcPr>
          <w:p w14:paraId="0890A333">
            <w:pPr>
              <w:pStyle w:val="8"/>
              <w:spacing w:before="54" w:line="194" w:lineRule="auto"/>
              <w:ind w:left="27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8467251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100.00%</w:t>
            </w:r>
          </w:p>
        </w:tc>
        <w:tc>
          <w:tcPr>
            <w:tcW w:w="1450" w:type="dxa"/>
            <w:noWrap w:val="0"/>
            <w:vAlign w:val="top"/>
          </w:tcPr>
          <w:p w14:paraId="4CACB25D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 w14:paraId="193F8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47C13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2C1C88B9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1A5D851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3EF9F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A4ECA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BCEF7F6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2923.21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C7E8AFA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3080.3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 w14:paraId="319D3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EBAAC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072DCABB">
            <w:pPr>
              <w:spacing w:before="21" w:line="207" w:lineRule="auto"/>
              <w:ind w:left="916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6C0B8DAD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0.00</w:t>
            </w:r>
          </w:p>
        </w:tc>
      </w:tr>
      <w:tr w14:paraId="07FB6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4D339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7C7A189D">
            <w:pPr>
              <w:spacing w:before="20" w:line="208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AF4FDD3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7670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96A01E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78C22079"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157.09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46ED6D6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2B3B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38B10C5">
            <w:pPr>
              <w:pStyle w:val="8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3D732877">
            <w:pPr>
              <w:pStyle w:val="8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24E9497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71F45E50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07C1CDBE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63842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5DFA7E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42C3C36A"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1、保障教师工资福利发放；2、保障教师“四险一金”缴纳；3、保障学校日常工作开展；4、保障学校退休人员的待遇；5、实施初中义务教育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1BB21C2"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1：学校依法依规办学，面向全体学生,依法履行学校的教育责任；2：因材施教，树立以教学质量为生命的办学思想；教学质量稳步提升。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：严格管理学校各项开支，控制三公经费支出；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保障教职员工的工资福利待遇，保证学校各项工作顺利开展；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保障全体师生安全，提高教学质量，稳定教学秩序。</w:t>
            </w:r>
          </w:p>
        </w:tc>
      </w:tr>
      <w:tr w14:paraId="51069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5A3E8CD">
            <w:pPr>
              <w:pStyle w:val="8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38E41D1A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2C7A127E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34D9B905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662FED2D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6EFE0E02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6A0ACEBE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4D2DB01C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7DFB4AE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5D41FED6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24F55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E0FF3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09D7DD97"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3596087C"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2818363D"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2A8E9326">
            <w:pPr>
              <w:pStyle w:val="8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6D1421EC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</w:pPr>
          </w:p>
          <w:p w14:paraId="42C603E8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5FE1E7D2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6CF23E98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76EFE771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top"/>
          </w:tcPr>
          <w:p w14:paraId="0AA4E6D4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初中义务教育在校生</w:t>
            </w:r>
          </w:p>
        </w:tc>
        <w:tc>
          <w:tcPr>
            <w:tcW w:w="1310" w:type="dxa"/>
            <w:noWrap w:val="0"/>
            <w:vAlign w:val="top"/>
          </w:tcPr>
          <w:p w14:paraId="2AE64A2B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62FE3644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2000人</w:t>
            </w:r>
          </w:p>
        </w:tc>
        <w:tc>
          <w:tcPr>
            <w:tcW w:w="1268" w:type="dxa"/>
            <w:noWrap w:val="0"/>
            <w:vAlign w:val="top"/>
          </w:tcPr>
          <w:p w14:paraId="3609D6BD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1A9CAFA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2006人</w:t>
            </w:r>
          </w:p>
        </w:tc>
        <w:tc>
          <w:tcPr>
            <w:tcW w:w="716" w:type="dxa"/>
            <w:noWrap w:val="0"/>
            <w:vAlign w:val="top"/>
          </w:tcPr>
          <w:p w14:paraId="3DDCDA5A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9A61328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03E431AA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4203887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4B8252B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583A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6F437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960D1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7688D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2AE9C4C5">
            <w:pPr>
              <w:pStyle w:val="8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全校班级个数</w:t>
            </w:r>
          </w:p>
        </w:tc>
        <w:tc>
          <w:tcPr>
            <w:tcW w:w="1310" w:type="dxa"/>
            <w:noWrap w:val="0"/>
            <w:vAlign w:val="top"/>
          </w:tcPr>
          <w:p w14:paraId="7173D23B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40个</w:t>
            </w:r>
          </w:p>
        </w:tc>
        <w:tc>
          <w:tcPr>
            <w:tcW w:w="1268" w:type="dxa"/>
            <w:noWrap w:val="0"/>
            <w:vAlign w:val="top"/>
          </w:tcPr>
          <w:p w14:paraId="423AD892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40个</w:t>
            </w:r>
          </w:p>
        </w:tc>
        <w:tc>
          <w:tcPr>
            <w:tcW w:w="716" w:type="dxa"/>
            <w:noWrap w:val="0"/>
            <w:vAlign w:val="top"/>
          </w:tcPr>
          <w:p w14:paraId="681CB2C4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6900BEED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0E6C8B05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519D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9D919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001A9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5192CAE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6972F446">
            <w:pPr>
              <w:spacing w:line="240" w:lineRule="auto"/>
              <w:ind w:left="0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学校新进教师人数</w:t>
            </w:r>
          </w:p>
        </w:tc>
        <w:tc>
          <w:tcPr>
            <w:tcW w:w="1310" w:type="dxa"/>
            <w:noWrap w:val="0"/>
            <w:vAlign w:val="top"/>
          </w:tcPr>
          <w:p w14:paraId="32B2BBF6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549247FE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15人</w:t>
            </w:r>
          </w:p>
        </w:tc>
        <w:tc>
          <w:tcPr>
            <w:tcW w:w="1268" w:type="dxa"/>
            <w:noWrap w:val="0"/>
            <w:vAlign w:val="top"/>
          </w:tcPr>
          <w:p w14:paraId="01B53D20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8E2C1FA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19人</w:t>
            </w:r>
          </w:p>
        </w:tc>
        <w:tc>
          <w:tcPr>
            <w:tcW w:w="716" w:type="dxa"/>
            <w:noWrap w:val="0"/>
            <w:vAlign w:val="top"/>
          </w:tcPr>
          <w:p w14:paraId="667E7BF3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7049817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6A11DE16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4DEBF53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9E1E560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FE54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B051A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1BBA1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62DAF79D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45FDBFAE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0C049C9F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校园安全事故发生率</w:t>
            </w:r>
          </w:p>
        </w:tc>
        <w:tc>
          <w:tcPr>
            <w:tcW w:w="1310" w:type="dxa"/>
            <w:noWrap w:val="0"/>
            <w:vAlign w:val="top"/>
          </w:tcPr>
          <w:p w14:paraId="44E707B6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11D9E635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1268" w:type="dxa"/>
            <w:noWrap w:val="0"/>
            <w:vAlign w:val="top"/>
          </w:tcPr>
          <w:p w14:paraId="1FED01AF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245B3F3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716" w:type="dxa"/>
            <w:noWrap w:val="0"/>
            <w:vAlign w:val="top"/>
          </w:tcPr>
          <w:p w14:paraId="0252673B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148E7CC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577A7921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BE2DF3E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4E99DF4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7222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F1C7A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DB5D4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A45A0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7F5BEFD6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各项经费使用率</w:t>
            </w:r>
          </w:p>
        </w:tc>
        <w:tc>
          <w:tcPr>
            <w:tcW w:w="1310" w:type="dxa"/>
            <w:noWrap w:val="0"/>
            <w:vAlign w:val="top"/>
          </w:tcPr>
          <w:p w14:paraId="017920B0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098F50AB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top"/>
          </w:tcPr>
          <w:p w14:paraId="71487D7E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8234880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top"/>
          </w:tcPr>
          <w:p w14:paraId="7780D0C8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C9BDE29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3A658FDE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DA97A9D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336915C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820C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E9811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9B226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40C74B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46EB5EF8">
            <w:pPr>
              <w:spacing w:line="240" w:lineRule="auto"/>
              <w:ind w:lef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心理健康覆盖率</w:t>
            </w:r>
          </w:p>
        </w:tc>
        <w:tc>
          <w:tcPr>
            <w:tcW w:w="1310" w:type="dxa"/>
            <w:noWrap w:val="0"/>
            <w:vAlign w:val="top"/>
          </w:tcPr>
          <w:p w14:paraId="7D04E56F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4054E275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top"/>
          </w:tcPr>
          <w:p w14:paraId="5AD6D832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2AA531F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top"/>
          </w:tcPr>
          <w:p w14:paraId="3CE1519D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8B02361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6E0C3DB4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BD93F74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32C59FB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09E3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400AE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AA30E9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0C85E50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6BEB9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春、秋两季教育教学计划按时完成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60CFE95A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87DF9D4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1268" w:type="dxa"/>
            <w:noWrap w:val="0"/>
            <w:vAlign w:val="top"/>
          </w:tcPr>
          <w:p w14:paraId="1BC48CAA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93FDEDA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716" w:type="dxa"/>
            <w:noWrap w:val="0"/>
            <w:vAlign w:val="top"/>
          </w:tcPr>
          <w:p w14:paraId="27C5C48E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7B60975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3AE2CFE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758A991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11937FC5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F267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7828B5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67B883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4AB96727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03F747B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ECBD8FA">
            <w:pPr>
              <w:pStyle w:val="8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三公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经费支出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3C4FE71F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0934C2E7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1万元</w:t>
            </w:r>
          </w:p>
        </w:tc>
        <w:tc>
          <w:tcPr>
            <w:tcW w:w="1268" w:type="dxa"/>
            <w:noWrap w:val="0"/>
            <w:vAlign w:val="top"/>
          </w:tcPr>
          <w:p w14:paraId="28AF1926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D715CCC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0万元</w:t>
            </w:r>
          </w:p>
        </w:tc>
        <w:tc>
          <w:tcPr>
            <w:tcW w:w="716" w:type="dxa"/>
            <w:noWrap w:val="0"/>
            <w:vAlign w:val="top"/>
          </w:tcPr>
          <w:p w14:paraId="7BBAA61A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862FD08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4C0CBEA7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A24873B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34F7257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严格控制“三公”经费列支</w:t>
            </w:r>
          </w:p>
        </w:tc>
      </w:tr>
      <w:tr w14:paraId="7D533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956FEE0">
            <w:pPr>
              <w:pStyle w:val="8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经费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A732A1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2C83EC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D34FA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D2D7D6E">
            <w:pPr>
              <w:pStyle w:val="8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全年教育投入经费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1C823D8A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449A1987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2779.71万元</w:t>
            </w:r>
          </w:p>
        </w:tc>
        <w:tc>
          <w:tcPr>
            <w:tcW w:w="1268" w:type="dxa"/>
            <w:noWrap w:val="0"/>
            <w:vAlign w:val="top"/>
          </w:tcPr>
          <w:p w14:paraId="4A12DB17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25C14AB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3080.3万元</w:t>
            </w:r>
          </w:p>
        </w:tc>
        <w:tc>
          <w:tcPr>
            <w:tcW w:w="716" w:type="dxa"/>
            <w:noWrap w:val="0"/>
            <w:vAlign w:val="top"/>
          </w:tcPr>
          <w:p w14:paraId="020B54E5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E2BC475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4E970797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8BC9EB9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3D11DF83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教师人员工资调整及教学所需的消耗性开支增加</w:t>
            </w:r>
          </w:p>
        </w:tc>
      </w:tr>
      <w:tr w14:paraId="34A2E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7ADB3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3996A50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EBFD867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B835760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BB64B04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8CF0467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0F542A44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0D81505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62DEFF60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1A651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15BE51C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22506CCF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E7F2A53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0E09E133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1287FAA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7823CBC8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E63E864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0664E6AA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9139440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4EFBDD28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0426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09348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135A0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1B6B6D87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11167E1F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70FF6925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6D42B459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提升教育教学质量，促进教育事业发展</w:t>
            </w:r>
          </w:p>
        </w:tc>
        <w:tc>
          <w:tcPr>
            <w:tcW w:w="1310" w:type="dxa"/>
            <w:noWrap w:val="0"/>
            <w:vAlign w:val="top"/>
          </w:tcPr>
          <w:p w14:paraId="50E1DF40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624965F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1BD47240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D91F457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7E595EC8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70D5CC4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1F3E0034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8B1181E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D1C23D4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E7EC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20728D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93099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37ACF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72F0BF76">
            <w:pPr>
              <w:pStyle w:val="8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加强学校联动，共创教育新篇章</w:t>
            </w:r>
          </w:p>
        </w:tc>
        <w:tc>
          <w:tcPr>
            <w:tcW w:w="1310" w:type="dxa"/>
            <w:noWrap w:val="0"/>
            <w:vAlign w:val="top"/>
          </w:tcPr>
          <w:p w14:paraId="4D67CCE7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B030C99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1268" w:type="dxa"/>
            <w:noWrap w:val="0"/>
            <w:vAlign w:val="top"/>
          </w:tcPr>
          <w:p w14:paraId="6FAB9DA1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B6CEBC8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716" w:type="dxa"/>
            <w:noWrap w:val="0"/>
            <w:vAlign w:val="top"/>
          </w:tcPr>
          <w:p w14:paraId="40BF8E5B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2050B51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1DDBE031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C0DCD9D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7515828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6AC2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8F8E6D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226D57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D9096C7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</w:pPr>
          </w:p>
          <w:p w14:paraId="4B3D534B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4E58DF2E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D4EED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通过学校的宣传教育，提高全体教职人员及学生的生态保护意识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6B628836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65E210B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3CB3E86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有所提高</w:t>
            </w:r>
          </w:p>
        </w:tc>
        <w:tc>
          <w:tcPr>
            <w:tcW w:w="1268" w:type="dxa"/>
            <w:noWrap w:val="0"/>
            <w:vAlign w:val="top"/>
          </w:tcPr>
          <w:p w14:paraId="4CE0BECA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D9066A2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72BDC21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有所提高</w:t>
            </w:r>
          </w:p>
        </w:tc>
        <w:tc>
          <w:tcPr>
            <w:tcW w:w="716" w:type="dxa"/>
            <w:noWrap w:val="0"/>
            <w:vAlign w:val="top"/>
          </w:tcPr>
          <w:p w14:paraId="734A5F3A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D643EB0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05A87C6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41A57F8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27B3C35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7C84D38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2412ECB4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BF4B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5AAE0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BCE5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BBAFE66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CDC16"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学校风清气正、教师团结奋进，学生蓬勃向上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1346B6DC">
            <w:pPr>
              <w:pStyle w:val="8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</w:p>
          <w:p w14:paraId="6E12BE3C">
            <w:pPr>
              <w:pStyle w:val="8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持续影响</w:t>
            </w:r>
          </w:p>
        </w:tc>
        <w:tc>
          <w:tcPr>
            <w:tcW w:w="1268" w:type="dxa"/>
            <w:noWrap w:val="0"/>
            <w:vAlign w:val="top"/>
          </w:tcPr>
          <w:p w14:paraId="784E077C">
            <w:pPr>
              <w:pStyle w:val="8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</w:p>
          <w:p w14:paraId="6C19F275">
            <w:pPr>
              <w:pStyle w:val="8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持续影响</w:t>
            </w:r>
          </w:p>
        </w:tc>
        <w:tc>
          <w:tcPr>
            <w:tcW w:w="716" w:type="dxa"/>
            <w:noWrap w:val="0"/>
            <w:vAlign w:val="top"/>
          </w:tcPr>
          <w:p w14:paraId="4662FD88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144C9CC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205BFECC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53F086A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013642F2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86B1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591DBB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EBB9EF2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</w:p>
          <w:p w14:paraId="245F8EB6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6F080788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67BE8B63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5AD4C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1005BF63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61656579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76C35D5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394D9BB1"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对学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校管理满意度</w:t>
            </w:r>
          </w:p>
        </w:tc>
        <w:tc>
          <w:tcPr>
            <w:tcW w:w="1310" w:type="dxa"/>
            <w:noWrap w:val="0"/>
            <w:vAlign w:val="top"/>
          </w:tcPr>
          <w:p w14:paraId="50AAA5C4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3122259C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5DAF9EA7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76DB6D5A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33650400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8F84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4F87D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926695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0481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0B9B5744">
            <w:pPr>
              <w:pStyle w:val="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家长对学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校管理满意度</w:t>
            </w:r>
          </w:p>
        </w:tc>
        <w:tc>
          <w:tcPr>
            <w:tcW w:w="1310" w:type="dxa"/>
            <w:noWrap w:val="0"/>
            <w:vAlign w:val="top"/>
          </w:tcPr>
          <w:p w14:paraId="4C4F6826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413FAD59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4108AEBE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61B35365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73933897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B7D0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E9F72C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ECFF27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4ABD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13A87152">
            <w:pPr>
              <w:spacing w:line="240" w:lineRule="auto"/>
              <w:ind w:lef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  <w:lang w:val="en-US" w:eastAsia="zh-CN"/>
              </w:rPr>
              <w:t>社会公众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满意度</w:t>
            </w:r>
          </w:p>
        </w:tc>
        <w:tc>
          <w:tcPr>
            <w:tcW w:w="1310" w:type="dxa"/>
            <w:noWrap w:val="0"/>
            <w:vAlign w:val="top"/>
          </w:tcPr>
          <w:p w14:paraId="0AD553BB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≧90%</w:t>
            </w:r>
          </w:p>
        </w:tc>
        <w:tc>
          <w:tcPr>
            <w:tcW w:w="1268" w:type="dxa"/>
            <w:noWrap w:val="0"/>
            <w:vAlign w:val="top"/>
          </w:tcPr>
          <w:p w14:paraId="52357FF1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96%</w:t>
            </w:r>
          </w:p>
        </w:tc>
        <w:tc>
          <w:tcPr>
            <w:tcW w:w="716" w:type="dxa"/>
            <w:noWrap w:val="0"/>
            <w:vAlign w:val="top"/>
          </w:tcPr>
          <w:p w14:paraId="298924A4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7E64D55A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346DE762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41C1C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044" w:type="dxa"/>
            <w:gridSpan w:val="6"/>
            <w:noWrap w:val="0"/>
            <w:vAlign w:val="top"/>
          </w:tcPr>
          <w:p w14:paraId="3CCFA903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122D650C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314BD2FD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97</w:t>
            </w:r>
          </w:p>
        </w:tc>
        <w:tc>
          <w:tcPr>
            <w:tcW w:w="1450" w:type="dxa"/>
            <w:noWrap w:val="0"/>
            <w:vAlign w:val="top"/>
          </w:tcPr>
          <w:p w14:paraId="3DFAD317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</w:tbl>
    <w:p w14:paraId="68770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0167D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7E71B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2024.6.14</w:t>
      </w:r>
    </w:p>
    <w:p w14:paraId="36C1B493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7842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7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69C3A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33308762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5A2704CA">
            <w:pPr>
              <w:pStyle w:val="8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36532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7D5E32C4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D56403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B1A59E8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7300B4A9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08B7D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96EACAC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2CD2E313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718AF4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A07BBC9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6F417546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3AB86379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4E89FA0A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CFB7CD1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1A28A709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361C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74070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B5513B2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23D45519">
            <w:pPr>
              <w:pStyle w:val="8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687CF081">
            <w:pPr>
              <w:pStyle w:val="8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706B1BED">
            <w:pPr>
              <w:pStyle w:val="8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2ED47C23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7082A9D7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6BAA93CB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02CA5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A2ACB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0AD2D98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0396C38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DF9025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8BE6B3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07E5BEF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0374A4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C70667D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125A7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D7E9B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B7AD2BC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3EFC02A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E5C515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434EBE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93E4CD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2A13DC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C58E63D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3A310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284C4C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BD452F5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1F517A3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CB7E9E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73EF10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0F9D25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EAD2EF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03F00A34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4FCF8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606F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13794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762B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2F38DA9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6FD0A7D0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19D2B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B38A2F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1E05F4A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212A3014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354BF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DCEEA11">
            <w:pPr>
              <w:pStyle w:val="8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46FC1A28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5BCF03C2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77319BE7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30E5696E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4CEA71E9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3B9211F6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2A09D09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31D13802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135FC611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8D547FC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694DD8AF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3144B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6A230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2F3EA754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541574A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754DBF1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D7E683E">
            <w:pPr>
              <w:pStyle w:val="8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312842D6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6C34461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8F01B62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63F614A0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D3B514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3B932B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AB333D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050B40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F49F6B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311BBE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BA87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1730A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B5064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74120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9EE6A1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C46730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A644AF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D4E157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909897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353879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8B4C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056BA0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D44F6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356521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CDC5B0A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41C3C8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FFCFB9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8F6D16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4B29B4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66ADC0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C75F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02502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9CCB6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70AEE3A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47BAFB0E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76E01A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1625F5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D70225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77F643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CCDFDE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3C7759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A69E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9F41CD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A955D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1D853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E188C5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8918EC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96A874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59435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E10055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EF42A4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9BF2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F500E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0BCF0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BDA396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EAA10CD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E83663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5F2987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66301D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4CC32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B07E30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7E15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8BB56F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0A835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5DB24FA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6A03E082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CEDDB16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EB6F5E7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4D8493F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B7FDF3E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BBA749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EB83B38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41A8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D2F287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0DF55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388EBE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800A08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D10941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8AD521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717B15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35CE37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9E571A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7E50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D548B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46992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6368C8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70DA4A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D5544C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B37771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1D26D6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CE01C7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6BBDBE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FADF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ED1EC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55BFE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FECDE11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6882C8EF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50E21E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3FD64C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0801F2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49E19B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939105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44FBA1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A904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8399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FC03D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F8159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1914B9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BE4655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41D7ED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60AC69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5D85C9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B39001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F9D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2B009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2B2639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5A5D77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0EC883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3D89E3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386E90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CB6EE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B69BE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98F16D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94D1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AD6291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548AAEF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53F0342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F2924A6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776297EB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4369B7BD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8ADE803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2F4FFE9C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64249C4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708287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37F2A7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357FD7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B36EBA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F72CF2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CA2B45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791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DD532E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466BD0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D3A75A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81CA35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EEB966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6DB644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92E522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BB3B2D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7FF9C8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0E17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4603DA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61D946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F9E003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8358CA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34D37E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8F2E70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CB3EB4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35F496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F8FF1F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B00D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4F37E3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AD6097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84427BC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7488EF4A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180CD06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8AD2B1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8BC1E1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BFD553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860C99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A6979F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6CA2B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A428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528302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16B57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CCFD07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9C7846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9328F9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9D609E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595AA8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8E3AFC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A36DDD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88F2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80DEF2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B0DE82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91BD6A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E0F1A4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DE2191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06252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21B05F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47F4B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B1C648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27AF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E21F10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D16FAB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C45BD70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0729F50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C70CDE8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408F78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FD3FB0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6D1199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970C72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2D4B37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EDDA1C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9960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1C506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ACF9B6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7F57BB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82A4EA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DE30BE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E294AE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338843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C94567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34F24B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7BD4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56F478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C34DC8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DA1180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8DC70C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BBF4DC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D16736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B2C5CE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4E574E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482970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022B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009C5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8FD89D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697662E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B71667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86BDA6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9A3187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B6C764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685DAF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366A86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B7AB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24131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F074B5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1EBB6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69914E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1AC93F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B77021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94832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3E27C3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591998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49D1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B859EB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4875A5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2569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61565C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4BBACD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240CEA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63DF25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84A9C2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181B29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BAD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B0E42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F4F1090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507191A7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18134221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0B199F8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7F0FE47B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73F05FCB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063CE21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B8BB9C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3DB85A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24CDA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E48E66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309B9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D87C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8810A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1C14CB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CAA293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A85FC9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1C3B2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F57072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FA5D54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179C87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658CF6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8866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09011A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82224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5FB27B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D7A5479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55B077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0A1CF2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5621E1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3ABB86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3A53C59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56A0D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434FCFF7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0C4C264A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6EEDAD27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4BE825C3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 w14:paraId="5D4DA935">
      <w:pPr>
        <w:pStyle w:val="2"/>
        <w:spacing w:before="232" w:line="228" w:lineRule="auto"/>
        <w:rPr>
          <w:sz w:val="17"/>
          <w:szCs w:val="17"/>
        </w:rPr>
      </w:pPr>
    </w:p>
    <w:p w14:paraId="6590D50B">
      <w:pPr>
        <w:spacing w:line="217" w:lineRule="auto"/>
        <w:rPr>
          <w:sz w:val="22"/>
          <w:szCs w:val="22"/>
        </w:rPr>
      </w:pPr>
    </w:p>
    <w:p w14:paraId="31B7E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2024.6.14</w:t>
      </w:r>
    </w:p>
    <w:p w14:paraId="78447179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52890991">
      <w:pPr>
        <w:spacing w:line="250" w:lineRule="auto"/>
        <w:rPr>
          <w:rFonts w:ascii="Arial"/>
          <w:sz w:val="21"/>
        </w:rPr>
      </w:pPr>
    </w:p>
    <w:p w14:paraId="528BE39E">
      <w:pPr>
        <w:spacing w:line="250" w:lineRule="auto"/>
        <w:rPr>
          <w:rFonts w:ascii="Arial"/>
          <w:sz w:val="21"/>
        </w:rPr>
      </w:pPr>
    </w:p>
    <w:p w14:paraId="527C16CF">
      <w:pPr>
        <w:spacing w:line="250" w:lineRule="auto"/>
        <w:rPr>
          <w:rFonts w:ascii="Arial"/>
          <w:sz w:val="21"/>
        </w:rPr>
      </w:pPr>
    </w:p>
    <w:p w14:paraId="4747101A">
      <w:pPr>
        <w:spacing w:line="250" w:lineRule="auto"/>
        <w:rPr>
          <w:rFonts w:ascii="Arial"/>
          <w:sz w:val="21"/>
        </w:rPr>
      </w:pPr>
    </w:p>
    <w:p w14:paraId="02C7B098">
      <w:pPr>
        <w:spacing w:line="251" w:lineRule="auto"/>
        <w:rPr>
          <w:rFonts w:ascii="Arial"/>
          <w:sz w:val="21"/>
        </w:rPr>
      </w:pPr>
    </w:p>
    <w:p w14:paraId="17D36883">
      <w:pPr>
        <w:spacing w:line="251" w:lineRule="auto"/>
        <w:rPr>
          <w:rFonts w:ascii="Arial"/>
          <w:sz w:val="21"/>
        </w:rPr>
      </w:pPr>
    </w:p>
    <w:p w14:paraId="38EB915E">
      <w:pPr>
        <w:spacing w:line="251" w:lineRule="auto"/>
        <w:rPr>
          <w:rFonts w:ascii="Arial"/>
          <w:sz w:val="21"/>
        </w:rPr>
      </w:pPr>
    </w:p>
    <w:p w14:paraId="7B615486">
      <w:pPr>
        <w:spacing w:line="251" w:lineRule="auto"/>
        <w:rPr>
          <w:rFonts w:ascii="Arial"/>
          <w:sz w:val="21"/>
        </w:rPr>
      </w:pPr>
    </w:p>
    <w:p w14:paraId="4B751DC2">
      <w:pPr>
        <w:spacing w:line="251" w:lineRule="auto"/>
        <w:rPr>
          <w:rFonts w:ascii="Arial"/>
          <w:sz w:val="21"/>
        </w:rPr>
      </w:pPr>
    </w:p>
    <w:p w14:paraId="7724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岳阳市第二中学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单位整体支出</w:t>
      </w:r>
    </w:p>
    <w:p w14:paraId="4C862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绩效自评报告</w:t>
      </w:r>
    </w:p>
    <w:p w14:paraId="0C8F6908">
      <w:pPr>
        <w:spacing w:line="243" w:lineRule="auto"/>
        <w:rPr>
          <w:rFonts w:ascii="Arial"/>
          <w:sz w:val="21"/>
        </w:rPr>
      </w:pPr>
    </w:p>
    <w:p w14:paraId="52E8D60F">
      <w:pPr>
        <w:spacing w:line="243" w:lineRule="auto"/>
        <w:rPr>
          <w:rFonts w:ascii="Arial"/>
          <w:sz w:val="21"/>
        </w:rPr>
      </w:pPr>
    </w:p>
    <w:p w14:paraId="29A58AA1">
      <w:pPr>
        <w:spacing w:line="243" w:lineRule="auto"/>
        <w:rPr>
          <w:rFonts w:ascii="Arial"/>
          <w:sz w:val="21"/>
        </w:rPr>
      </w:pPr>
    </w:p>
    <w:p w14:paraId="3FDFB86B">
      <w:pPr>
        <w:spacing w:line="243" w:lineRule="auto"/>
        <w:rPr>
          <w:rFonts w:ascii="Arial"/>
          <w:sz w:val="21"/>
        </w:rPr>
      </w:pPr>
    </w:p>
    <w:p w14:paraId="70CF8041">
      <w:pPr>
        <w:spacing w:line="243" w:lineRule="auto"/>
        <w:rPr>
          <w:rFonts w:ascii="Arial"/>
          <w:sz w:val="21"/>
        </w:rPr>
      </w:pPr>
    </w:p>
    <w:p w14:paraId="5BFACC99">
      <w:pPr>
        <w:spacing w:line="243" w:lineRule="auto"/>
        <w:rPr>
          <w:rFonts w:ascii="Arial"/>
          <w:sz w:val="21"/>
        </w:rPr>
      </w:pPr>
    </w:p>
    <w:p w14:paraId="0505A56D">
      <w:pPr>
        <w:spacing w:line="243" w:lineRule="auto"/>
        <w:rPr>
          <w:rFonts w:ascii="Arial"/>
          <w:sz w:val="21"/>
        </w:rPr>
      </w:pPr>
    </w:p>
    <w:p w14:paraId="16329D20">
      <w:pPr>
        <w:spacing w:line="243" w:lineRule="auto"/>
        <w:rPr>
          <w:rFonts w:ascii="Arial"/>
          <w:sz w:val="21"/>
        </w:rPr>
      </w:pPr>
    </w:p>
    <w:p w14:paraId="10EAF8EA">
      <w:pPr>
        <w:spacing w:line="243" w:lineRule="auto"/>
        <w:rPr>
          <w:rFonts w:ascii="Arial"/>
          <w:sz w:val="21"/>
        </w:rPr>
      </w:pPr>
    </w:p>
    <w:p w14:paraId="360934C3">
      <w:pPr>
        <w:spacing w:line="243" w:lineRule="auto"/>
        <w:rPr>
          <w:rFonts w:ascii="Arial"/>
          <w:sz w:val="21"/>
        </w:rPr>
      </w:pPr>
    </w:p>
    <w:p w14:paraId="405813F3">
      <w:pPr>
        <w:spacing w:line="243" w:lineRule="auto"/>
        <w:rPr>
          <w:rFonts w:ascii="Arial"/>
          <w:sz w:val="21"/>
        </w:rPr>
      </w:pPr>
    </w:p>
    <w:p w14:paraId="2B07003B">
      <w:pPr>
        <w:spacing w:line="243" w:lineRule="auto"/>
        <w:rPr>
          <w:rFonts w:ascii="Arial"/>
          <w:sz w:val="21"/>
        </w:rPr>
      </w:pPr>
    </w:p>
    <w:p w14:paraId="25132578">
      <w:pPr>
        <w:spacing w:line="243" w:lineRule="auto"/>
        <w:rPr>
          <w:rFonts w:ascii="Arial"/>
          <w:sz w:val="21"/>
        </w:rPr>
      </w:pPr>
    </w:p>
    <w:p w14:paraId="5B821505">
      <w:pPr>
        <w:spacing w:line="243" w:lineRule="auto"/>
        <w:rPr>
          <w:rFonts w:ascii="Arial"/>
          <w:sz w:val="21"/>
        </w:rPr>
      </w:pPr>
    </w:p>
    <w:p w14:paraId="249BF2F3">
      <w:pPr>
        <w:spacing w:line="243" w:lineRule="auto"/>
        <w:rPr>
          <w:rFonts w:ascii="Arial"/>
          <w:sz w:val="21"/>
        </w:rPr>
      </w:pPr>
    </w:p>
    <w:p w14:paraId="3BC4EB2F">
      <w:pPr>
        <w:spacing w:line="243" w:lineRule="auto"/>
        <w:rPr>
          <w:rFonts w:ascii="Arial"/>
          <w:sz w:val="21"/>
        </w:rPr>
      </w:pPr>
    </w:p>
    <w:p w14:paraId="381C8BC9">
      <w:pPr>
        <w:spacing w:line="243" w:lineRule="auto"/>
        <w:rPr>
          <w:rFonts w:ascii="Arial"/>
          <w:sz w:val="21"/>
        </w:rPr>
      </w:pPr>
    </w:p>
    <w:p w14:paraId="75873E98">
      <w:pPr>
        <w:spacing w:line="243" w:lineRule="auto"/>
        <w:rPr>
          <w:rFonts w:ascii="Arial"/>
          <w:sz w:val="21"/>
        </w:rPr>
      </w:pPr>
    </w:p>
    <w:p w14:paraId="101658E4">
      <w:pPr>
        <w:spacing w:line="243" w:lineRule="auto"/>
        <w:rPr>
          <w:rFonts w:ascii="Arial"/>
          <w:sz w:val="21"/>
        </w:rPr>
      </w:pPr>
    </w:p>
    <w:p w14:paraId="4058A18D">
      <w:pPr>
        <w:spacing w:line="243" w:lineRule="auto"/>
        <w:rPr>
          <w:rFonts w:ascii="Arial"/>
          <w:sz w:val="21"/>
        </w:rPr>
      </w:pPr>
    </w:p>
    <w:p w14:paraId="7ABB6F14">
      <w:pPr>
        <w:spacing w:line="243" w:lineRule="auto"/>
        <w:rPr>
          <w:rFonts w:ascii="Arial"/>
          <w:sz w:val="21"/>
        </w:rPr>
      </w:pPr>
    </w:p>
    <w:p w14:paraId="7C9ED58F">
      <w:pPr>
        <w:spacing w:line="243" w:lineRule="auto"/>
        <w:rPr>
          <w:rFonts w:ascii="Arial"/>
          <w:sz w:val="21"/>
        </w:rPr>
      </w:pPr>
    </w:p>
    <w:p w14:paraId="76E0C52A">
      <w:pPr>
        <w:spacing w:line="243" w:lineRule="auto"/>
        <w:rPr>
          <w:rFonts w:ascii="Arial"/>
          <w:sz w:val="21"/>
        </w:rPr>
      </w:pPr>
    </w:p>
    <w:p w14:paraId="2A4AE2DC">
      <w:pPr>
        <w:spacing w:line="243" w:lineRule="auto"/>
        <w:rPr>
          <w:rFonts w:ascii="Arial"/>
          <w:sz w:val="21"/>
        </w:rPr>
      </w:pPr>
    </w:p>
    <w:p w14:paraId="2800A356">
      <w:pPr>
        <w:spacing w:line="243" w:lineRule="auto"/>
        <w:rPr>
          <w:rFonts w:ascii="Arial"/>
          <w:sz w:val="21"/>
        </w:rPr>
      </w:pPr>
    </w:p>
    <w:p w14:paraId="213B4505">
      <w:pPr>
        <w:spacing w:line="244" w:lineRule="auto"/>
        <w:rPr>
          <w:rFonts w:ascii="Arial"/>
          <w:sz w:val="21"/>
        </w:rPr>
      </w:pPr>
    </w:p>
    <w:p w14:paraId="00E82465">
      <w:pPr>
        <w:spacing w:line="244" w:lineRule="auto"/>
        <w:rPr>
          <w:rFonts w:ascii="Arial"/>
          <w:sz w:val="21"/>
        </w:rPr>
      </w:pPr>
    </w:p>
    <w:p w14:paraId="6ADF79DB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334AB370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 xml:space="preserve">2024 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14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6248BACA">
      <w:pPr>
        <w:spacing w:line="335" w:lineRule="auto"/>
        <w:rPr>
          <w:rFonts w:ascii="Arial"/>
          <w:sz w:val="21"/>
        </w:rPr>
      </w:pPr>
    </w:p>
    <w:p w14:paraId="3A4E3B82">
      <w:pPr>
        <w:pStyle w:val="2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3EF50BCA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25305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岳阳市第二中学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</w:p>
    <w:p w14:paraId="497F0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400A48E7">
      <w:pPr>
        <w:spacing w:line="283" w:lineRule="auto"/>
        <w:rPr>
          <w:rFonts w:ascii="Arial"/>
          <w:sz w:val="21"/>
        </w:rPr>
      </w:pPr>
    </w:p>
    <w:p w14:paraId="227112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03D531FF">
      <w:pPr>
        <w:ind w:firstLine="0" w:firstLineChars="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</w:t>
      </w:r>
      <w:r>
        <w:rPr>
          <w:rFonts w:hint="eastAsia" w:ascii="仿宋" w:hAnsi="仿宋" w:eastAsia="仿宋" w:cs="仿宋"/>
          <w:bCs/>
          <w:sz w:val="30"/>
          <w:szCs w:val="30"/>
        </w:rPr>
        <w:t>学校基本情况</w:t>
      </w:r>
    </w:p>
    <w:p w14:paraId="074A3448">
      <w:pPr>
        <w:spacing w:line="56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我单位性质为全额拨款的事业单位，隶属于岳阳市岳阳楼区教育局，市属初中学校，按照规定执行《事业单位会计制度》。经机构编制管理部门核定，我单位共有职工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236</w:t>
      </w:r>
      <w:r>
        <w:rPr>
          <w:rFonts w:hint="eastAsia" w:ascii="仿宋" w:hAnsi="仿宋" w:eastAsia="仿宋" w:cs="仿宋"/>
          <w:bCs/>
          <w:sz w:val="30"/>
          <w:szCs w:val="30"/>
        </w:rPr>
        <w:t>人，其中：在编人员1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bCs/>
          <w:sz w:val="30"/>
          <w:szCs w:val="30"/>
        </w:rPr>
        <w:t>人，离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退</w:t>
      </w:r>
      <w:r>
        <w:rPr>
          <w:rFonts w:hint="eastAsia" w:ascii="仿宋" w:hAnsi="仿宋" w:eastAsia="仿宋" w:cs="仿宋"/>
          <w:bCs/>
          <w:sz w:val="30"/>
          <w:szCs w:val="30"/>
        </w:rPr>
        <w:t>休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111</w:t>
      </w:r>
      <w:r>
        <w:rPr>
          <w:rFonts w:hint="eastAsia" w:ascii="仿宋" w:hAnsi="仿宋" w:eastAsia="仿宋" w:cs="仿宋"/>
          <w:bCs/>
          <w:sz w:val="30"/>
          <w:szCs w:val="30"/>
        </w:rPr>
        <w:t>人。学生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2006</w:t>
      </w:r>
      <w:r>
        <w:rPr>
          <w:rFonts w:hint="eastAsia" w:ascii="仿宋" w:hAnsi="仿宋" w:eastAsia="仿宋" w:cs="仿宋"/>
          <w:bCs/>
          <w:sz w:val="30"/>
          <w:szCs w:val="30"/>
        </w:rPr>
        <w:t>人。</w:t>
      </w:r>
    </w:p>
    <w:p w14:paraId="27116603">
      <w:pPr>
        <w:spacing w:line="240" w:lineRule="auto"/>
        <w:ind w:firstLine="0" w:firstLineChars="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（二）学校职能职责</w:t>
      </w:r>
    </w:p>
    <w:p w14:paraId="250A4B3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</w:t>
      </w:r>
      <w:r>
        <w:rPr>
          <w:rFonts w:hint="eastAsia" w:ascii="仿宋" w:hAnsi="仿宋" w:eastAsia="仿宋" w:cs="仿宋"/>
          <w:bCs/>
          <w:sz w:val="30"/>
          <w:szCs w:val="30"/>
        </w:rPr>
        <w:t>贯彻执行国家教育方针政策，深化教育改革，发展素质教育，稳步提高教学质量，促进教育事业发展。</w:t>
      </w:r>
    </w:p>
    <w:p w14:paraId="010C55BE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30"/>
          <w:szCs w:val="30"/>
        </w:rPr>
        <w:t>保障人员经费，提高教师队伍幸福感。</w:t>
      </w:r>
    </w:p>
    <w:p w14:paraId="70F7BD0C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bCs/>
          <w:sz w:val="30"/>
          <w:szCs w:val="30"/>
        </w:rPr>
        <w:t>管好用好预算内资金，改善和优化学校的办学条件。</w:t>
      </w:r>
    </w:p>
    <w:p w14:paraId="3276372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bCs/>
          <w:sz w:val="30"/>
          <w:szCs w:val="30"/>
        </w:rPr>
        <w:t>促进学生全面发展，把教育教学质量放在首位，办人民满意的教育。</w:t>
      </w:r>
    </w:p>
    <w:p w14:paraId="5134468F">
      <w:pPr>
        <w:spacing w:line="240" w:lineRule="auto"/>
        <w:ind w:firstLine="0" w:firstLineChars="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（三）年度工作内容</w:t>
      </w:r>
    </w:p>
    <w:p w14:paraId="7A23196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  <w:t>1、学校依法依规办学，面向全体学生,依法履行学校的教育责任；</w:t>
      </w:r>
    </w:p>
    <w:p w14:paraId="6491099A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  <w:t>2、因材施教，树立以教学质量为生命的办学思想；教学质量稳步提升；</w:t>
      </w:r>
    </w:p>
    <w:p w14:paraId="248BE8A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  <w:t>严格管理学校各项开支，控制三公经费支出；</w:t>
      </w:r>
    </w:p>
    <w:p w14:paraId="5BB0BE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  <w:t>保障教职员工的工资福利待遇，保证学校各项工作顺利开展；</w:t>
      </w:r>
    </w:p>
    <w:p w14:paraId="3F3C8DDB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  <w:t>保障全体师生安全，提高教学质量，稳定教学秩序。</w:t>
      </w:r>
    </w:p>
    <w:p w14:paraId="5FAD8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3ABBA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58D91257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sz w:val="30"/>
          <w:szCs w:val="30"/>
        </w:rPr>
        <w:t>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2923.21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671E44D8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2509.16万元：包括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799.58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4.45万元；奖金298.43万元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伙食补助费41.83万元；绩效工资523.24万元；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232.88万元；职工基本医疗保险缴费97.11万元；其他社会保障缴费10.94万元；住房公积金175.52万元；其他工资福利支出14.85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离休费7.14万元；退休费278.79万元；抚恤金11.73万元；奖励金2.79万元；其他对个人和家庭的补助9.88万元。 </w:t>
      </w:r>
    </w:p>
    <w:p w14:paraId="695079C3">
      <w:pPr>
        <w:spacing w:line="560" w:lineRule="exact"/>
        <w:ind w:firstLine="600" w:firstLineChars="200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414.05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35.76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12.00</w:t>
      </w:r>
      <w:r>
        <w:rPr>
          <w:rFonts w:hint="eastAsia" w:ascii="仿宋" w:hAnsi="仿宋" w:eastAsia="仿宋" w:cs="仿宋"/>
          <w:bCs/>
          <w:sz w:val="30"/>
          <w:szCs w:val="30"/>
        </w:rPr>
        <w:t>万元；水费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10.00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12.00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邮电费1.44万元；物业管理费17.88万元；差旅费0.45万元；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15.45</w:t>
      </w:r>
      <w:r>
        <w:rPr>
          <w:rFonts w:hint="eastAsia" w:ascii="仿宋" w:hAnsi="仿宋" w:eastAsia="仿宋" w:cs="仿宋"/>
          <w:bCs/>
          <w:sz w:val="30"/>
          <w:szCs w:val="30"/>
        </w:rPr>
        <w:t>万元；培训费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11.87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</w:rPr>
        <w:t>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25.73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271.47万元。 </w:t>
      </w:r>
    </w:p>
    <w:p w14:paraId="48F416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691D5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0"/>
        <w:jc w:val="left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45159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3BABA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政府性基金预算</w:t>
      </w:r>
      <w:r>
        <w:rPr>
          <w:rFonts w:hint="eastAsia" w:ascii="仿宋" w:hAnsi="仿宋" w:eastAsia="仿宋" w:cs="仿宋"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4742546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13F2B8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国有资本经营预算</w:t>
      </w:r>
      <w:r>
        <w:rPr>
          <w:rFonts w:hint="eastAsia" w:ascii="仿宋" w:hAnsi="仿宋" w:eastAsia="仿宋" w:cs="仿宋"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14DAFEF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77BDD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社会保险基金预算</w:t>
      </w:r>
      <w:r>
        <w:rPr>
          <w:rFonts w:hint="eastAsia" w:ascii="仿宋" w:hAnsi="仿宋" w:eastAsia="仿宋" w:cs="仿宋"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0EE308A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10C57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left"/>
        <w:textAlignment w:val="auto"/>
        <w:rPr>
          <w:rFonts w:hint="eastAsia" w:ascii="仿宋_GB2312" w:hAnsi="_4eff_5b8b_GB2312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2023年</w:t>
      </w:r>
      <w:r>
        <w:rPr>
          <w:rFonts w:hint="eastAsia" w:ascii="仿宋" w:hAnsi="仿宋" w:eastAsia="仿宋" w:cs="仿宋"/>
          <w:bCs/>
          <w:sz w:val="30"/>
          <w:szCs w:val="30"/>
        </w:rPr>
        <w:t>，我校全体教职员工在局党委的正确领导下，全体教职员工秉持“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知行合一，全面发展</w:t>
      </w:r>
      <w:r>
        <w:rPr>
          <w:rFonts w:hint="eastAsia" w:ascii="仿宋" w:hAnsi="仿宋" w:eastAsia="仿宋" w:cs="仿宋"/>
          <w:bCs/>
          <w:sz w:val="30"/>
          <w:szCs w:val="30"/>
        </w:rPr>
        <w:t>”办学理念，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发扬</w:t>
      </w:r>
      <w:r>
        <w:rPr>
          <w:rFonts w:hint="eastAsia" w:ascii="仿宋" w:hAnsi="仿宋" w:eastAsia="仿宋" w:cs="仿宋"/>
          <w:bCs/>
          <w:sz w:val="30"/>
          <w:szCs w:val="30"/>
        </w:rPr>
        <w:t>“尚美、竞先、求新、致远”的扬帆精神，务实进取，锐意创新，努力把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第二中学</w:t>
      </w:r>
      <w:r>
        <w:rPr>
          <w:rFonts w:hint="eastAsia" w:ascii="仿宋" w:hAnsi="仿宋" w:eastAsia="仿宋" w:cs="仿宋"/>
          <w:bCs/>
          <w:sz w:val="30"/>
          <w:szCs w:val="30"/>
        </w:rPr>
        <w:t>办成一所人民满意的学校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2E529BB4">
      <w:pPr>
        <w:numPr>
          <w:ilvl w:val="0"/>
          <w:numId w:val="4"/>
        </w:numPr>
        <w:spacing w:line="240" w:lineRule="auto"/>
        <w:ind w:firstLine="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1C1BB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1、数量指标</w:t>
      </w:r>
    </w:p>
    <w:p w14:paraId="27C80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本年度，在整体生源锐减的大环境下，我们的生源突破了2000人，我们的班级数达到了40个，我们的老师新进了19位。</w:t>
      </w:r>
    </w:p>
    <w:p w14:paraId="678BA9F6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质量指标</w:t>
      </w:r>
    </w:p>
    <w:p w14:paraId="45AC1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我校建立了安全保卫工作领导责任制和责任追究制，与各位行政和负责安全的老师签订责任书。各项安全措施得力：防疫防控方面随着政策的调整不断优化精准实施；学校安全保卫的各项工作都有章可循，违章必究，不留盲点，不出漏洞；校安内全意外事故处置有预案有具体的操作流程及应对措施。每学期都进行紧急疏散的预演，效果好，对学生的心理安全教育落实到人，持续跟踪关心关爱，为预防过激行为排除隐患，心理健康覆盖率达到了100%，全年无一例安全事故发生，校园安全事故发生率为0%，为保障工作能够正常开展，各项经费使用率达到了100%。</w:t>
      </w:r>
    </w:p>
    <w:p w14:paraId="01DBA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3、时效指标</w:t>
      </w:r>
    </w:p>
    <w:p w14:paraId="79557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春、秋两季教育教学计划按时完成。</w:t>
      </w:r>
    </w:p>
    <w:p w14:paraId="7CB3C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4、成本指标</w:t>
      </w:r>
    </w:p>
    <w:p w14:paraId="3874C3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严格控制“三公”经费列支，做到“三公”经费支出0万元；全年教育投入经费3080.3万元。</w:t>
      </w:r>
    </w:p>
    <w:p w14:paraId="175FF964">
      <w:pPr>
        <w:numPr>
          <w:ilvl w:val="0"/>
          <w:numId w:val="4"/>
        </w:numPr>
        <w:spacing w:line="240" w:lineRule="auto"/>
        <w:ind w:firstLine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5C4E95F1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5617541F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</w:t>
      </w:r>
    </w:p>
    <w:p w14:paraId="48E9FDB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社会效益</w:t>
      </w:r>
    </w:p>
    <w:p w14:paraId="0BB61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提升教育教学质量，促进教育事业发展。加强教学研究力度，切实开展教研活动，夯实基础，发展特色。既关注学生分数的提升，更关注孩子综合素养的提高，实施学生自主管理模式，在培养学生“自我管理、自我教育、自我完善和自我超越”中，让更多的学生成为学习的主人，管理的主人。积极打造“四有”课堂、“五度”老师、“六好”学子，深挖“十景”文化，深推课改建模，深化雅学课程。加强学校联动，共创教育新篇章。架起二中与郭镇中学的桥梁，为老师提供交流的平台和机会，使得两所学校共同发展，共同进步。</w:t>
      </w:r>
    </w:p>
    <w:p w14:paraId="1B6123FF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生态效益</w:t>
      </w:r>
    </w:p>
    <w:p w14:paraId="70287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通过学校的宣传教育，提高全体教职人员及学生的生态保护意识。</w:t>
      </w:r>
    </w:p>
    <w:p w14:paraId="2EC6F8B0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可持续影响</w:t>
      </w:r>
    </w:p>
    <w:p w14:paraId="7EA9A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学校风清气正、教师团结奋进，学生蓬勃向上。</w:t>
      </w:r>
    </w:p>
    <w:p w14:paraId="638EAE9E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社会公众满意度</w:t>
      </w:r>
    </w:p>
    <w:p w14:paraId="37BFB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学生对学校管理满意度98%，家长对学校管理满意度98%，社会公众满意度96%。</w:t>
      </w:r>
    </w:p>
    <w:p w14:paraId="7F057D9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531BA1BF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新进教师经验不够，教育教学理论急需培训，教学实践还需要得到更多的锤炼；</w:t>
      </w:r>
    </w:p>
    <w:p w14:paraId="25B74BDE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教育教学管理不规范不精细，没有形成一套科学有效的管理办法；</w:t>
      </w:r>
    </w:p>
    <w:p w14:paraId="248BD170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校园文化建设还需要进一步加强。</w:t>
      </w:r>
    </w:p>
    <w:p w14:paraId="4501C64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3B82DC5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抓好师资队伍建设，注重学习培训，提高教师业务能力，继续做好“新课程、现代教育技术、教育教学理论业务”的校本培训工作，加强对教师的培养，提高教师的整体素质；</w:t>
      </w:r>
    </w:p>
    <w:p w14:paraId="6C1B236A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加强课堂教学管理，向课堂要质量，强化课堂组织教学，加强学生良好学习习惯的培养；加大听课力度，提高课堂教学效率，实行“一听、二看、三查、四反馈”为内容的随堂听课制度；</w:t>
      </w:r>
    </w:p>
    <w:p w14:paraId="0BEBE25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加强校园文化建设，优化校园环境，塑造良好的校园文化氛围，增强校园文化内涵，倡导自强不息的学校精神。</w:t>
      </w:r>
    </w:p>
    <w:p w14:paraId="2CE6FCD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1EF15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5A2CF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</w:p>
    <w:p w14:paraId="541E9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5494E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无</w:t>
      </w:r>
    </w:p>
    <w:p w14:paraId="3D447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</w:p>
    <w:p w14:paraId="76888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</w:p>
    <w:p w14:paraId="1C4C0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</w:p>
    <w:p w14:paraId="7F950E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</w:p>
    <w:p w14:paraId="7EB69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</w:p>
    <w:p w14:paraId="23C37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</w:p>
    <w:p w14:paraId="58CB7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</w:p>
    <w:p w14:paraId="54D83C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4217C5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617DEF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 w14:paraId="66AAEB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 w14:paraId="101A72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 w14:paraId="1DD0FB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_4eff_5b8b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0169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5503B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5503B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B19BF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CE2B9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CE2B9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62E56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D557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6D557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33073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5E3E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5E3E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02E262"/>
    <w:multiLevelType w:val="singleLevel"/>
    <w:tmpl w:val="EA02E26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1D5B94C"/>
    <w:multiLevelType w:val="singleLevel"/>
    <w:tmpl w:val="11D5B94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1704E5BC"/>
    <w:multiLevelType w:val="singleLevel"/>
    <w:tmpl w:val="1704E5B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AC300FA"/>
    <w:multiLevelType w:val="singleLevel"/>
    <w:tmpl w:val="4AC300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abstractNum w:abstractNumId="6">
    <w:nsid w:val="6F7D9CF7"/>
    <w:multiLevelType w:val="singleLevel"/>
    <w:tmpl w:val="6F7D9CF7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E60CA7D"/>
    <w:multiLevelType w:val="singleLevel"/>
    <w:tmpl w:val="7E60CA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OThjOGJlZDlhNTFiNzMyYjY3MjAwMDFlOGIxZjU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6278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654A0E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572432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EC7852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0F1A5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2F53A1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46D9A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8A26C0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30E02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54FBB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4AF6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32A1C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1543</Words>
  <Characters>1765</Characters>
  <Lines>0</Lines>
  <Paragraphs>0</Paragraphs>
  <TotalTime>0</TotalTime>
  <ScaleCrop>false</ScaleCrop>
  <LinksUpToDate>false</LinksUpToDate>
  <CharactersWithSpaces>1850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朱莎琼</cp:lastModifiedBy>
  <dcterms:modified xsi:type="dcterms:W3CDTF">2025-06-16T07:35:22Z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4D0914BAF67942328BF407DAB9035DFC_13</vt:lpwstr>
  </property>
  <property fmtid="{D5CDD505-2E9C-101B-9397-08002B2CF9AE}" pid="4" name="KSOTemplateDocerSaveRecord">
    <vt:lpwstr>eyJoZGlkIjoiZmI1MjVlYjI5ODEyZDE5ZmFjYmIxYjdjNjllM2EzMTkiLCJ1c2VySWQiOiIzNDk2MzkxMTcifQ==</vt:lpwstr>
  </property>
</Properties>
</file>