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2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  <w:t>年度部门整体支出绩效评价基础数据表</w:t>
      </w:r>
    </w:p>
    <w:tbl>
      <w:tblPr>
        <w:tblStyle w:val="30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预算单位名称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岳阳市岳阳楼区科技和工业信息化局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68.00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68.00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245.3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57.60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320.12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67.3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38.60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34.10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0.30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3.3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23.46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108.33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开展“节约型机关”创建，建章立制，从严控制“三公”经费，提倡节俭，倡导环保节能。</w:t>
            </w:r>
          </w:p>
        </w:tc>
      </w:tr>
    </w:tbl>
    <w:p>
      <w:pPr>
        <w:widowControl/>
        <w:spacing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 w:clear="all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0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301"/>
        <w:gridCol w:w="681"/>
        <w:gridCol w:w="854"/>
        <w:gridCol w:w="14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岳阳市岳阳楼区科技和工业信息化局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767.1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1044.08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1044.08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21.10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1044.08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22.98</w:t>
            </w:r>
            <w:bookmarkStart w:id="0" w:name="_GoBack"/>
            <w:bookmarkEnd w:id="0"/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紧紧围绕建设省域副中心城市的工作目标，真抓实干，有力推动我区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的高质量发展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完成工业生产总值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亿元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亿元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完成企业搬迁任务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家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4家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积极开展空中线缆整治行动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条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完成35条主次街道和背街小巷，5个市场，29个小区和12个单点位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工作完成率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在规定时间内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在预算内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1044.08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1044.08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促进工业高质量发展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有所促进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有所促进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有序推进“三送三解三优”行动，认真开展惠企政策宣讲活动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按照国家政策，引导企业转型升级，促进企业节能发展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有所促进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有所促进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highlight w:val="none"/>
              </w:rPr>
              <w:t>进一步加大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highlight w:val="no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highlight w:val="none"/>
              </w:rPr>
              <w:t>中小企业的金融支持力度，促进经济、金融发展，形成良性互动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进一步提升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进一步提升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</w:tbl>
    <w:p>
      <w:pPr>
        <w:spacing w:before="191" w:line="230" w:lineRule="auto"/>
        <w:rPr>
          <w:rFonts w:hint="eastAsia" w:ascii="方正小标宋简体" w:hAnsi="方正小标宋简体" w:eastAsia="黑体" w:cs="方正小标宋简体"/>
          <w:kern w:val="2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 w:clear="all"/>
      </w:r>
      <w:r>
        <w:rPr>
          <w:rFonts w:hint="default" w:ascii="黑体" w:hAnsi="黑体" w:eastAsia="黑体" w:cs="黑体"/>
          <w:spacing w:val="-4"/>
          <w:kern w:val="2"/>
          <w:sz w:val="31"/>
          <w:szCs w:val="31"/>
        </w:rPr>
        <w:t>附件</w:t>
      </w:r>
      <w:r>
        <w:rPr>
          <w:rFonts w:hint="default" w:ascii="黑体" w:hAnsi="黑体" w:eastAsia="黑体" w:cs="黑体"/>
          <w:spacing w:val="-68"/>
          <w:kern w:val="2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kern w:val="2"/>
          <w:sz w:val="31"/>
          <w:szCs w:val="31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  <w:t>2023 年度项目支出绩效自评表</w:t>
      </w:r>
    </w:p>
    <w:tbl>
      <w:tblPr>
        <w:tblStyle w:val="185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kern w:val="2"/>
                <w:sz w:val="19"/>
                <w:szCs w:val="19"/>
                <w:lang w:eastAsia="zh-CN"/>
              </w:rPr>
            </w:pPr>
          </w:p>
          <w:p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kern w:val="2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spacing w:line="36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ker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ker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ker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19"/>
                <w:szCs w:val="19"/>
              </w:rPr>
              <w:t>年度</w:t>
            </w:r>
          </w:p>
          <w:p>
            <w:pPr>
              <w:spacing w:line="205" w:lineRule="auto"/>
              <w:ind w:left="330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  <w:t>实际</w:t>
            </w:r>
          </w:p>
          <w:p>
            <w:pPr>
              <w:spacing w:line="205" w:lineRule="auto"/>
              <w:ind w:left="357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kern w:val="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19"/>
                <w:szCs w:val="19"/>
              </w:rPr>
              <w:t>偏差原因分析及改进措施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line="257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position w:val="20"/>
                <w:sz w:val="19"/>
                <w:szCs w:val="19"/>
              </w:rPr>
              <w:t>产出指标</w:t>
            </w:r>
          </w:p>
          <w:p>
            <w:pPr>
              <w:spacing w:line="261" w:lineRule="exact"/>
              <w:ind w:left="253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</w:rPr>
              <w:t>数量指标</w:t>
            </w:r>
          </w:p>
          <w:p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质量指标</w:t>
            </w:r>
          </w:p>
          <w:p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19"/>
                <w:szCs w:val="19"/>
              </w:rPr>
              <w:t>时效指标</w:t>
            </w:r>
          </w:p>
          <w:p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</w:rPr>
              <w:t>成本指标</w:t>
            </w:r>
          </w:p>
          <w:p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position w:val="22"/>
                <w:sz w:val="19"/>
                <w:szCs w:val="19"/>
              </w:rPr>
              <w:t>效益指标</w:t>
            </w:r>
          </w:p>
          <w:p>
            <w:pPr>
              <w:spacing w:line="227" w:lineRule="auto"/>
              <w:ind w:left="108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</w:rPr>
              <w:t>经济效</w:t>
            </w:r>
          </w:p>
          <w:p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19"/>
                <w:szCs w:val="19"/>
              </w:rPr>
              <w:t>益指标</w:t>
            </w:r>
          </w:p>
          <w:p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</w:rPr>
              <w:t>社会效</w:t>
            </w:r>
          </w:p>
          <w:p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19"/>
                <w:szCs w:val="19"/>
              </w:rPr>
              <w:t>益指标</w:t>
            </w:r>
          </w:p>
          <w:p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19"/>
                <w:szCs w:val="19"/>
              </w:rPr>
              <w:t>生态效</w:t>
            </w:r>
          </w:p>
          <w:p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19"/>
                <w:szCs w:val="19"/>
              </w:rPr>
              <w:t>益指标</w:t>
            </w:r>
          </w:p>
          <w:p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  <w:lang w:val="en-US" w:eastAsia="en-US" w:bidi="ar-SA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19"/>
                <w:szCs w:val="19"/>
              </w:rPr>
              <w:t>满意度</w:t>
            </w:r>
          </w:p>
          <w:p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19"/>
                <w:szCs w:val="19"/>
              </w:rPr>
              <w:t>指标</w:t>
            </w:r>
          </w:p>
          <w:p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服务对象</w:t>
            </w:r>
          </w:p>
          <w:p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19"/>
                <w:szCs w:val="19"/>
              </w:rPr>
              <w:t>满意度指</w:t>
            </w:r>
          </w:p>
          <w:p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line="217" w:lineRule="auto"/>
        <w:rPr>
          <w:rFonts w:hint="default" w:ascii="Calibri" w:hAnsi="Calibri" w:eastAsia="宋体" w:cs="Times New Roman"/>
          <w:kern w:val="2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3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kern w:val="2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kern w:val="2"/>
          <w:position w:val="0"/>
          <w:sz w:val="23"/>
          <w:szCs w:val="23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pacing w:val="0"/>
          <w:kern w:val="2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eastAsia="宋体" w:cs="宋体"/>
          <w:color w:val="000000"/>
          <w:spacing w:val="0"/>
          <w:kern w:val="2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kern w:val="2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eastAsia="宋体" w:cs="宋体"/>
          <w:color w:val="000000"/>
          <w:spacing w:val="0"/>
          <w:kern w:val="2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kern w:val="2"/>
          <w:position w:val="0"/>
          <w:sz w:val="23"/>
          <w:szCs w:val="23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kern w:val="2"/>
          <w:position w:val="0"/>
          <w:sz w:val="23"/>
          <w:szCs w:val="23"/>
          <w:lang w:eastAsia="zh-CN"/>
        </w:rPr>
        <w:t>：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年度岳阳市岳阳楼区科技和工业信息化局整体支出绩效自评报告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 w:clear="all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年度岳阳市岳阳楼区科技和工业信息化局整体支出绩效自评报告</w:t>
      </w:r>
    </w:p>
    <w:p>
      <w:pPr>
        <w:keepNext w:val="0"/>
        <w:keepLines w:val="0"/>
        <w:pageBreakBefore w:val="0"/>
        <w:spacing w:line="640" w:lineRule="exact"/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spacing w:line="640" w:lineRule="exact"/>
        <w:ind w:firstLine="64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一、部门基本情况</w:t>
      </w:r>
    </w:p>
    <w:p>
      <w:pPr>
        <w:pStyle w:val="28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 w:bidi="ar-SA"/>
        </w:rPr>
        <w:t>（一）职能职责</w:t>
      </w:r>
    </w:p>
    <w:p>
      <w:pPr>
        <w:pStyle w:val="28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2" w:afterAutospacing="0"/>
        <w:ind w:left="0" w:right="0" w:firstLine="641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  <w:t>1、负责工业经济的日常运行调节、编制并组织实施近期监测、分析工业经济运行态势统计相关信息，协调解决经济运行中的突出问题并向区政府提出意见和建议。</w:t>
      </w:r>
    </w:p>
    <w:p>
      <w:pPr>
        <w:pStyle w:val="28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2" w:afterAutospacing="0"/>
        <w:ind w:left="0" w:right="0" w:firstLine="641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  <w:t>2、拟定新型工业化的发展战略，规划和相关政策措施并组织实施。</w:t>
      </w:r>
    </w:p>
    <w:p>
      <w:pPr>
        <w:pStyle w:val="28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2" w:afterAutospacing="0"/>
        <w:ind w:left="0" w:right="0" w:firstLine="641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  <w:t>3、做好中小企业融资和融资担保服务与协调工作，指导中小企业法律顾问工作，推进全民创业。</w:t>
      </w:r>
    </w:p>
    <w:p>
      <w:pPr>
        <w:pStyle w:val="28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2" w:afterAutospacing="0"/>
        <w:ind w:left="0" w:right="0" w:firstLine="641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  <w:t>4、负责工业节能工作，参与编制生态建设规划，参与协调工业环境保护。</w:t>
      </w:r>
    </w:p>
    <w:p>
      <w:pPr>
        <w:pStyle w:val="28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2" w:afterAutospacing="0"/>
        <w:ind w:left="0" w:right="0" w:firstLine="641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  <w:t>5、组织实施科技重大专项工作。</w:t>
      </w:r>
    </w:p>
    <w:p>
      <w:pPr>
        <w:pStyle w:val="28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 w:bidi="ar-SA"/>
        </w:rPr>
        <w:t>（二）机构设置</w:t>
      </w:r>
    </w:p>
    <w:p>
      <w:pPr>
        <w:pStyle w:val="28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2" w:afterAutospacing="0"/>
        <w:ind w:left="0" w:right="0" w:firstLine="641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本部门公务员编制干部12人，事业编制职工16人，实有职工人数28人。目前我局共设10个内设股室：办公室、政工人事股、科技发展股、高新计划股、经济运行股、中小企业服务股、综合法规股、信访安全股、财务审计股、工会。</w:t>
      </w:r>
    </w:p>
    <w:p>
      <w:pPr>
        <w:pStyle w:val="184"/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184"/>
        <w:keepNext w:val="0"/>
        <w:keepLines w:val="0"/>
        <w:pageBreakBefore w:val="0"/>
        <w:widowControl/>
        <w:spacing w:line="640" w:lineRule="exact"/>
        <w:ind w:firstLine="643"/>
        <w:jc w:val="both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28"/>
        <w:shd w:val="clear" w:color="auto" w:fill="FFFFFF"/>
        <w:spacing w:before="0" w:beforeAutospacing="0" w:after="0" w:afterAutospacing="0" w:line="360" w:lineRule="auto"/>
        <w:ind w:firstLine="640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  <w:t>2023年基本支出预算数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  <w:t>767.13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  <w:t>万元，实际支出决算数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  <w:t>1044.08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  <w:t>万元。主要包括：基本工资、津贴补贴、奖金、绩效工资、机关事业单位基本养老保险缴费、职工基本医疗保险缴费、其他社会保障缴费、住房公积金等、其他工资福利支出、生活补助；办公费、印刷费、水费、电费、邮电费、维修（护）费、培训费、劳务费、工会经费、其他商品和服务支出等。</w:t>
      </w:r>
    </w:p>
    <w:p>
      <w:pPr>
        <w:pStyle w:val="184"/>
        <w:keepNext w:val="0"/>
        <w:keepLines w:val="0"/>
        <w:pageBreakBefore w:val="0"/>
        <w:widowControl/>
        <w:spacing w:line="640" w:lineRule="exact"/>
        <w:ind w:firstLine="643"/>
        <w:jc w:val="both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>
      <w:pPr>
        <w:pStyle w:val="184"/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2023年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无项目支出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184"/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184"/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年度本单位无政府性基金安排的支出。</w:t>
      </w:r>
    </w:p>
    <w:p>
      <w:pPr>
        <w:pStyle w:val="184"/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>
      <w:pPr>
        <w:pStyle w:val="184"/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年度本单位无国有资本经营预算支出。</w:t>
      </w:r>
    </w:p>
    <w:p>
      <w:pPr>
        <w:pStyle w:val="184"/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>
      <w:pPr>
        <w:pStyle w:val="184"/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年度本单位无国有资本经营预算支出。</w:t>
      </w:r>
    </w:p>
    <w:p>
      <w:pPr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184"/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本单位各项资金其主要用途是确保单位的正常运转，促进各项工作任务顺利完成。在人员经费支出、公共支出严格执行区政府的各项制度；在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各项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经费的使用上，在保证各项任务顺利完成的同时，严格落实厉行节约的原则；三公经费的使用严格控制在预算申报的范围内。</w:t>
      </w:r>
    </w:p>
    <w:p>
      <w:pPr>
        <w:pStyle w:val="184"/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pStyle w:val="184"/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  <w:t>1、预算编制水平有待提高；</w:t>
      </w:r>
    </w:p>
    <w:p>
      <w:pPr>
        <w:pStyle w:val="184"/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  <w:t>2、绩效管理的运用意识有待提高。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  <w:t>3、我局是多局合一单位，现有退休人员78人，为保稳定每年用于退休人员七个节假日及体检方面的费用高达20余万元，无预算安排，只能从公用经费和业务工作经费中支出。</w:t>
      </w:r>
    </w:p>
    <w:p>
      <w:pPr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>
      <w:pPr>
        <w:spacing w:line="360" w:lineRule="auto"/>
        <w:ind w:firstLine="640"/>
        <w:rPr>
          <w:rFonts w:hint="eastAsia" w:eastAsia="仿宋_GB2312" w:cs="Times New Roman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  <w:t>一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  <w:t>是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  <w:t>根据本单位近年来预算和决算收支情况，合理编制预算，提高预算管理水平</w:t>
      </w:r>
      <w:r>
        <w:rPr>
          <w:rFonts w:hint="eastAsia" w:eastAsia="仿宋_GB2312" w:cs="Times New Roman"/>
          <w:bCs w:val="0"/>
          <w:color w:val="auto"/>
          <w:sz w:val="32"/>
          <w:szCs w:val="32"/>
          <w:lang w:val="en-US" w:eastAsia="zh-CN" w:bidi="ar-SA"/>
        </w:rPr>
        <w:t>。</w:t>
      </w:r>
    </w:p>
    <w:p>
      <w:pPr>
        <w:spacing w:line="360" w:lineRule="auto"/>
        <w:ind w:firstLine="640"/>
        <w:rPr>
          <w:rFonts w:hint="default"/>
          <w:color w:val="auto"/>
          <w:lang w:val="en-US" w:eastAsia="zh-CN"/>
        </w:rPr>
      </w:pPr>
      <w:r>
        <w:rPr>
          <w:rFonts w:hint="eastAsia" w:eastAsia="仿宋_GB2312" w:cs="Times New Roman"/>
          <w:bCs w:val="0"/>
          <w:color w:val="auto"/>
          <w:sz w:val="32"/>
          <w:szCs w:val="32"/>
          <w:lang w:val="en-US" w:eastAsia="zh-CN" w:bidi="ar-SA"/>
        </w:rPr>
        <w:t>二是加强财务人员培训和学习，提高综合能力，更好完成财务工作。</w:t>
      </w:r>
    </w:p>
    <w:p>
      <w:pPr>
        <w:spacing w:line="360" w:lineRule="auto"/>
        <w:ind w:firstLine="640"/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val="en-US" w:eastAsia="zh-CN" w:bidi="ar-SA"/>
        </w:rPr>
        <w:t>三是进一步加强与财政部门的沟通联系，尽早取得资金的拨付，保障项目资金的投入进度，提高资金的使用效率。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pacing w:line="640" w:lineRule="exact"/>
        <w:ind w:firstLine="64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绩效自评结果可以进一步规范财政资金管理，强化部门绩效和责任意识，切实提高财政资金使用效益，同时编制下一年的部门预算可以参考绩效自评结果，以提高预算编制的精准性。已按相关要求及时进行预决算公开及整体支出绩效自评的公开。</w:t>
      </w:r>
    </w:p>
    <w:p>
      <w:pPr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spacing w:line="64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before="1" w:line="174" w:lineRule="auto"/>
      <w:ind w:left="574"/>
      <w:jc w:val="both"/>
      <w:rPr>
        <w:rFonts w:hint="default" w:ascii="仿宋" w:hAnsi="仿宋" w:eastAsia="仿宋" w:cs="仿宋"/>
        <w:kern w:val="2"/>
        <w:sz w:val="28"/>
        <w:szCs w:val="28"/>
        <w:lang w:val="en-US" w:eastAsia="en-US" w:bidi="ar-SA"/>
      </w:rPr>
    </w:pPr>
    <w:r>
      <w:rPr>
        <w:rFonts w:hint="default" w:ascii="仿宋" w:hAnsi="仿宋" w:eastAsia="仿宋" w:cs="仿宋"/>
        <w:kern w:val="2"/>
        <w:sz w:val="28"/>
        <w:szCs w:val="35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2I1Y2E5MTg1NzJhN2FkNjlmNDg5OTI5OGY3ZTQifQ=="/>
    <w:docVar w:name="KSO_WPS_MARK_KEY" w:val="2018aa44-9976-46de-9540-308173c79213"/>
  </w:docVars>
  <w:rsids>
    <w:rsidRoot w:val="00000000"/>
    <w:rsid w:val="2BD172A6"/>
    <w:rsid w:val="3ADD0C76"/>
    <w:rsid w:val="3B70349A"/>
    <w:rsid w:val="3F206F07"/>
    <w:rsid w:val="40F6587B"/>
    <w:rsid w:val="447F0988"/>
    <w:rsid w:val="4E7B177A"/>
    <w:rsid w:val="5D27674E"/>
    <w:rsid w:val="61193193"/>
    <w:rsid w:val="68B4138D"/>
    <w:rsid w:val="757A1202"/>
    <w:rsid w:val="798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nhideWhenUsed="0" w:uiPriority="0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仿宋" w:hAnsi="仿宋" w:eastAsia="宋体" w:cs="Times New Roman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5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6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7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8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9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10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1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2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1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 w:bidi="ar"/>
    </w:rPr>
  </w:style>
  <w:style w:type="paragraph" w:styleId="29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Heading 1 Char"/>
    <w:basedOn w:val="32"/>
    <w:link w:val="4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basedOn w:val="32"/>
    <w:link w:val="5"/>
    <w:qFormat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basedOn w:val="32"/>
    <w:link w:val="6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basedOn w:val="32"/>
    <w:link w:val="7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basedOn w:val="32"/>
    <w:link w:val="8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basedOn w:val="32"/>
    <w:link w:val="9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basedOn w:val="32"/>
    <w:link w:val="10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11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basedOn w:val="32"/>
    <w:link w:val="12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2"/>
    <w:link w:val="29"/>
    <w:qFormat/>
    <w:uiPriority w:val="10"/>
    <w:rPr>
      <w:sz w:val="48"/>
      <w:szCs w:val="48"/>
    </w:rPr>
  </w:style>
  <w:style w:type="character" w:customStyle="1" w:styleId="47">
    <w:name w:val="Subtitle Char"/>
    <w:basedOn w:val="32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2"/>
    <w:link w:val="19"/>
    <w:qFormat/>
    <w:uiPriority w:val="99"/>
  </w:style>
  <w:style w:type="character" w:customStyle="1" w:styleId="53">
    <w:name w:val="Footer Char"/>
    <w:basedOn w:val="32"/>
    <w:link w:val="18"/>
    <w:qFormat/>
    <w:uiPriority w:val="99"/>
  </w:style>
  <w:style w:type="character" w:customStyle="1" w:styleId="54">
    <w:name w:val="Caption Char"/>
    <w:link w:val="18"/>
    <w:uiPriority w:val="99"/>
  </w:style>
  <w:style w:type="table" w:customStyle="1" w:styleId="55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30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30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30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30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30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30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30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30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30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30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30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3">
    <w:name w:val="列出段落1"/>
    <w:basedOn w:val="1"/>
    <w:qFormat/>
    <w:uiPriority w:val="34"/>
    <w:pPr>
      <w:ind w:firstLine="420"/>
    </w:pPr>
  </w:style>
  <w:style w:type="paragraph" w:styleId="184">
    <w:name w:val="List Paragraph"/>
    <w:basedOn w:val="1"/>
    <w:qFormat/>
    <w:uiPriority w:val="99"/>
    <w:pPr>
      <w:ind w:firstLine="420"/>
    </w:pPr>
    <w:rPr>
      <w:rFonts w:ascii="Calibri" w:hAnsi="Calibri"/>
      <w:szCs w:val="22"/>
    </w:rPr>
  </w:style>
  <w:style w:type="table" w:customStyle="1" w:styleId="18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2570</Words>
  <Characters>2880</Characters>
  <TotalTime>2</TotalTime>
  <ScaleCrop>false</ScaleCrop>
  <LinksUpToDate>false</LinksUpToDate>
  <CharactersWithSpaces>3052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necrolyte</cp:lastModifiedBy>
  <dcterms:modified xsi:type="dcterms:W3CDTF">2025-06-30T00:52:07Z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6182D3A10D564617983F46DEE354AEAF</vt:lpwstr>
  </property>
</Properties>
</file>