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岳阳楼区生态能源服务中心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325" w:type="dxa"/>
            <w:gridSpan w:val="2"/>
            <w:noWrap w:val="0"/>
            <w:vAlign w:val="top"/>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679" w:type="dxa"/>
            <w:gridSpan w:val="2"/>
            <w:noWrap w:val="0"/>
            <w:vAlign w:val="top"/>
          </w:tcPr>
          <w:p>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top"/>
          </w:tcPr>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679" w:type="dxa"/>
            <w:gridSpan w:val="2"/>
            <w:noWrap w:val="0"/>
            <w:vAlign w:val="top"/>
          </w:tcPr>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1</w:t>
            </w: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46.81</w:t>
            </w:r>
          </w:p>
        </w:tc>
        <w:tc>
          <w:tcPr>
            <w:tcW w:w="232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40.5</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46.81</w:t>
            </w:r>
          </w:p>
        </w:tc>
        <w:tc>
          <w:tcPr>
            <w:tcW w:w="232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40.5</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10.88</w:t>
            </w:r>
          </w:p>
        </w:tc>
        <w:tc>
          <w:tcPr>
            <w:tcW w:w="232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14.4</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w:t>
            </w:r>
          </w:p>
        </w:tc>
        <w:tc>
          <w:tcPr>
            <w:tcW w:w="232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6.04</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0.44</w:t>
            </w:r>
          </w:p>
        </w:tc>
        <w:tc>
          <w:tcPr>
            <w:tcW w:w="2325" w:type="dxa"/>
            <w:gridSpan w:val="2"/>
            <w:noWrap w:val="0"/>
            <w:vAlign w:val="top"/>
          </w:tcPr>
          <w:p>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2.34</w:t>
            </w:r>
          </w:p>
        </w:tc>
        <w:tc>
          <w:tcPr>
            <w:tcW w:w="232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8.36</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43.68</w:t>
            </w:r>
          </w:p>
        </w:tc>
        <w:tc>
          <w:tcPr>
            <w:tcW w:w="2325"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59.8</w:t>
            </w:r>
          </w:p>
        </w:tc>
        <w:tc>
          <w:tcPr>
            <w:tcW w:w="1679" w:type="dxa"/>
            <w:gridSpan w:val="2"/>
            <w:noWrap w:val="0"/>
            <w:vAlign w:val="top"/>
          </w:tcPr>
          <w:p>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top"/>
          </w:tcPr>
          <w:p>
            <w:pPr>
              <w:rPr>
                <w:rFonts w:hint="eastAsia" w:ascii="宋体" w:hAnsi="宋体" w:eastAsia="宋体" w:cs="宋体"/>
                <w:color w:val="000000"/>
                <w:sz w:val="21"/>
              </w:rPr>
            </w:pP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top"/>
          </w:tcPr>
          <w:p>
            <w:pPr>
              <w:rPr>
                <w:rFonts w:hint="eastAsia" w:ascii="宋体" w:hAnsi="宋体" w:eastAsia="宋体" w:cs="宋体"/>
                <w:color w:val="000000"/>
                <w:sz w:val="21"/>
              </w:rPr>
            </w:pPr>
          </w:p>
        </w:tc>
        <w:tc>
          <w:tcPr>
            <w:tcW w:w="990" w:type="dxa"/>
            <w:noWrap w:val="0"/>
            <w:vAlign w:val="top"/>
          </w:tcPr>
          <w:p>
            <w:pPr>
              <w:rPr>
                <w:rFonts w:hint="eastAsia" w:ascii="宋体" w:hAnsi="宋体" w:eastAsia="宋体" w:cs="宋体"/>
                <w:color w:val="000000"/>
                <w:sz w:val="21"/>
              </w:rPr>
            </w:pPr>
          </w:p>
        </w:tc>
        <w:tc>
          <w:tcPr>
            <w:tcW w:w="1140" w:type="dxa"/>
            <w:noWrap w:val="0"/>
            <w:vAlign w:val="top"/>
          </w:tcPr>
          <w:p>
            <w:pPr>
              <w:rPr>
                <w:rFonts w:hint="eastAsia" w:ascii="宋体" w:hAnsi="宋体" w:eastAsia="宋体" w:cs="宋体"/>
                <w:color w:val="000000"/>
                <w:sz w:val="21"/>
              </w:rPr>
            </w:pPr>
          </w:p>
        </w:tc>
        <w:tc>
          <w:tcPr>
            <w:tcW w:w="1185" w:type="dxa"/>
            <w:noWrap w:val="0"/>
            <w:vAlign w:val="top"/>
          </w:tcPr>
          <w:p>
            <w:pPr>
              <w:rPr>
                <w:rFonts w:hint="eastAsia" w:ascii="宋体" w:hAnsi="宋体" w:eastAsia="宋体" w:cs="宋体"/>
                <w:color w:val="000000"/>
                <w:sz w:val="21"/>
              </w:rPr>
            </w:pPr>
          </w:p>
        </w:tc>
        <w:tc>
          <w:tcPr>
            <w:tcW w:w="810" w:type="dxa"/>
            <w:noWrap w:val="0"/>
            <w:vAlign w:val="top"/>
          </w:tcPr>
          <w:p>
            <w:pPr>
              <w:rPr>
                <w:rFonts w:hint="eastAsia" w:ascii="宋体" w:hAnsi="宋体" w:eastAsia="宋体" w:cs="宋体"/>
                <w:color w:val="000000"/>
                <w:sz w:val="21"/>
              </w:rPr>
            </w:pPr>
          </w:p>
        </w:tc>
        <w:tc>
          <w:tcPr>
            <w:tcW w:w="869" w:type="dxa"/>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易新保</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13017200088</w:t>
      </w:r>
      <w:r>
        <w:rPr>
          <w:rFonts w:hint="eastAsia" w:ascii="宋体" w:hAnsi="宋体" w:eastAsia="宋体" w:cs="宋体"/>
          <w:color w:val="000000"/>
          <w:spacing w:val="0"/>
          <w:position w:val="0"/>
          <w:sz w:val="23"/>
          <w:szCs w:val="23"/>
        </w:rPr>
        <w:t xml:space="preserve">   填报日期：</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9"/>
        <w:tblW w:w="10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805"/>
        <w:gridCol w:w="848"/>
        <w:gridCol w:w="2351"/>
        <w:gridCol w:w="1880"/>
        <w:gridCol w:w="1181"/>
        <w:gridCol w:w="738"/>
        <w:gridCol w:w="916"/>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预算部门名称</w:t>
            </w:r>
          </w:p>
        </w:tc>
        <w:tc>
          <w:tcPr>
            <w:tcW w:w="8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岳阳市岳阳楼区生态能源服务中心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年度预算申请</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(万元)</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年初预算数(万元)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全年预算数（万元）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全年执行数（万元）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年度资金总额：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160.96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190.32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190.32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按收入性质分：</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其中：一般公共预算：190.32</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其中:基本支出：131.07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政府性基金拨款：0.00</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 xml:space="preserve">    项目支出：59.24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纳入专户管理的非税收入拨款：0.00</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其他资金0.00</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年度总体目标</w:t>
            </w: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预期目标</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6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制定“双控”计划会议纪要；将“双控”目标纳入国民经济和社会发展计划；目标分解、明确部门、单位职责文件；组织开展“双控”目标考评并对社会公布结果文件；对考核结果问责（奖惩）文件；研究协调“双控”文件及会议纪要。</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2、能评工作制度；后期监督管理制度；清洁能源（光伏）建设文件及数据。</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3、组织实施节能重点工程证明资料；组织技术产品推广目录推广活动。</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4、落实差别电价证明资料；落实居民阶梯电价证明资料居民阶梯气价证明资料。</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5、安全距离内第三方施工等非法违法问题专项整治，重大安全隐患整改；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6、安全警示牌制作，宣传栏宣传海报等安全生产宣传；</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7、 四不两直检查，督查企业落实安全生产主体责任。</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 xml:space="preserve"> 8、安全距离内第三方施工等非法违法问题专项整治，重大安全隐患整改；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 xml:space="preserve"> 9、安全警示牌制作，宣传栏宣传海报等安全生产宣传；</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 xml:space="preserve"> 10、 四不两直检查，督查企业落实安全生产主体责任。</w:t>
            </w:r>
          </w:p>
        </w:tc>
        <w:tc>
          <w:tcPr>
            <w:tcW w:w="3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按目标任务完成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绩效指标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二级指标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三级指标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实际完成值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自评得分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固定资产投资项目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节能登记备案104个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104个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质量指标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节能监察、石油天然气管道保护节能监察、石油天然气管道保护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完成省市行业节能监察计划，按照上级要求完成安全生产宣传，应急预案隐患整治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电力项目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新建10千伏线路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时效指标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完成求要按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年度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经济效益指标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社会效益指标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有序推进天然气利用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生态效益指标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万元GDP能耗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下降3.66%左右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可持续影响指标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能耗强度下降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安全隐患得到有限整治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安全形势持续向好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服务对象满意度指标</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节能监察、石油天然气管道保护</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公众满意度100%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9.8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易新保</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13017200088</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10620"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824"/>
        <w:gridCol w:w="1929"/>
        <w:gridCol w:w="1917"/>
        <w:gridCol w:w="1319"/>
        <w:gridCol w:w="840"/>
        <w:gridCol w:w="1049"/>
        <w:gridCol w:w="1109"/>
        <w:gridCol w:w="1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3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927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业务工作经费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主管部门</w:t>
            </w:r>
          </w:p>
        </w:tc>
        <w:tc>
          <w:tcPr>
            <w:tcW w:w="598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实施单位</w:t>
            </w:r>
          </w:p>
        </w:tc>
        <w:tc>
          <w:tcPr>
            <w:tcW w:w="326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岳阳市岳阳楼区生态能源服务中心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项目资金(万元)</w:t>
            </w: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000000"/>
                <w:sz w:val="16"/>
                <w:szCs w:val="16"/>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年初预算数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全年预算数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全年执行数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分值</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执行率</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年度资金总额</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41.33</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其中:当年财政拨款</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41.33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41.33</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上年结转金额</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2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    其它资金</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年度总体目标</w:t>
            </w:r>
          </w:p>
        </w:tc>
        <w:tc>
          <w:tcPr>
            <w:tcW w:w="59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预期目标</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b/>
                <w:bCs/>
                <w:i w:val="0"/>
                <w:iCs w:val="0"/>
                <w:color w:val="000000"/>
                <w:sz w:val="16"/>
                <w:szCs w:val="16"/>
                <w:u w:val="none"/>
              </w:rPr>
            </w:pPr>
          </w:p>
        </w:tc>
        <w:tc>
          <w:tcPr>
            <w:tcW w:w="59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在2023年完成业务工作，项目计划进行，将成本控制在预算内。</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制定“双控”计划会议纪要；将“双控”目标纳入国民经济和社会发展计划；目标分解、明确部门、单位职责文件；组织开展“双控”目标考评并对社会公布结果文件；对考核结果问责（奖惩）文件；研究协调“双控”文件及会议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绩效指标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一级指标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二级指标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三级指标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年度指标值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实际完成值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分值</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得分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产出指标</w:t>
            </w: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数量指标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能耗双控</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节能登记备案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104个</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石油天然气管道保护</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质量指标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电力项目</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新建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10千伏</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时效指标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项目实施及时性</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按时完成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及时</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效益指标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经济效益指标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万元GDP能耗下降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下降3.66%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社会效益指标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项目实施的社会效益</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有序推进天然气利用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有效</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生态效益指标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生态环境改善情况</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有所改善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万元GDP能耗下降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可持续影响指标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微软雅黑" w:hAnsi="微软雅黑" w:eastAsia="微软雅黑" w:cs="微软雅黑"/>
                <w:i w:val="0"/>
                <w:iCs w:val="0"/>
                <w:color w:val="000000"/>
                <w:sz w:val="16"/>
                <w:szCs w:val="1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满意度指标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服务对象满意度指标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Arial" w:hAnsi="Arial" w:eastAsia="宋体" w:cs="Arial"/>
                <w:i w:val="0"/>
                <w:iCs w:val="0"/>
                <w:color w:val="000000"/>
                <w:sz w:val="16"/>
                <w:szCs w:val="16"/>
                <w:u w:val="none"/>
              </w:rPr>
            </w:pPr>
            <w:r>
              <w:rPr>
                <w:rFonts w:hint="default" w:ascii="Arial" w:hAnsi="Arial" w:eastAsia="宋体" w:cs="Arial"/>
                <w:i w:val="0"/>
                <w:iCs w:val="0"/>
                <w:color w:val="000000"/>
                <w:kern w:val="0"/>
                <w:sz w:val="16"/>
                <w:szCs w:val="16"/>
                <w:u w:val="none"/>
                <w:lang w:val="en-US" w:eastAsia="zh-CN" w:bidi="ar"/>
              </w:rPr>
              <w:t xml:space="preserve"> </w:t>
            </w:r>
            <w:r>
              <w:rPr>
                <w:rStyle w:val="13"/>
                <w:lang w:val="en-US" w:eastAsia="zh-CN" w:bidi="ar"/>
              </w:rPr>
              <w:t xml:space="preserve"> 石油、天然气管道保</w:t>
            </w:r>
            <w:r>
              <w:rPr>
                <w:rStyle w:val="14"/>
                <w:rFonts w:eastAsia="宋体"/>
                <w:lang w:val="en-US" w:eastAsia="zh-CN" w:bidi="ar"/>
              </w:rPr>
              <w:t xml:space="preserve"> </w:t>
            </w:r>
            <w:r>
              <w:rPr>
                <w:rStyle w:val="13"/>
                <w:lang w:val="en-US" w:eastAsia="zh-CN" w:bidi="ar"/>
              </w:rPr>
              <w:t xml:space="preserve"> 石油、天然气管道保护护</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公众满意度100%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≥99.8</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成本指标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经济成本指标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项目实施成本控制率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控制在项目工作可用经费内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资金到位</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社会成本指标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对社会发展可能造成的负面影响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生态环境成本指标</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对自然生态环境造成的负面影响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总分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99.80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易新保</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13017200088</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val="en-US" w:eastAsia="zh-CN"/>
        </w:rPr>
        <w:t>2023年度岳阳楼区生态能源服务中心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val="en-US" w:eastAsia="zh-CN"/>
        </w:rPr>
        <w:t>单位整体支出绩效自评报告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rFonts w:hint="eastAsia"/>
          <w:spacing w:val="-75"/>
          <w:u w:val="single" w:color="auto"/>
          <w:lang w:val="en-US" w:eastAsia="zh-CN"/>
        </w:rPr>
        <w:t>岳     阳    楼      区     生     态     能     源     服    务   中   心</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3"/>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2023年度岳阳楼区生态能源服务中心</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单位整体支出绩效自评报告</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方正小标宋简体" w:hAnsi="方正小标宋简体" w:eastAsia="方正小标宋简体" w:cs="方正小标宋简体"/>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一、单位基本情况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负责研究提出全区能源发展战略和体制改革建议；拟订能源发展规划、产业政策并组织实施；负责能源行业节能和资源综合利用。负责宣传贯彻国家和省、市有关节能的法律、法规、政策，宣传贯彻国家有关节能监测标准以及能耗限额执行标准；承担全区固定资产投资项目建成后的节能验收工作，严把项目准入关；负责对重点用能单位能源利用状况报告执行情况、能源统计报表的报送以及能耗限额执行情况进行监察督导；组织开展节能新技术、新产品和新机制的推广工作，负责全区重点耗能企业落后工艺、设备的淘汰监督工作；负责组织全区重点耗能单位以及项目企业开展能源管理统计培训、教育、宣传工作，配合区发展和改革局做好节能产品的推广宣传工作；负责政府节能目标任务完成情况考核的组织工作；负责受理节能违法案件的投诉、举报，并处罚违法用能行为；节能主管部门交办的其它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（二）、机构设置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副科级公益一类事业单位，核定金额全额拨款事业编制8名，其中副科级领导职数0名，正股级领导职数2名。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部门（单位）整体支出规模、使用方向和主要内容、涉及范围：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1、收入预算，2023年年初预算数160.96万元，其中，一般公共预算拨款160.96万元。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2、支出预算，2023年年初预算数160.96万元，其中，一般公共服务支出160.96万元。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二、一般公共预算支出情况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2023年年初预算120.46数为万元，是指为保障单位机构正常运转、完成日常工作任务而发生的各项支出，包括用于基本工资、津贴补贴等人员经费以及办公费、印刷费、水电费、办公设备购置等日常公用经费。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2023年年初预算数为40.5万元，是指单位为完成特定行政工作任务或事业发展目标而发生的支出，包括有关事业发展专项、专项业务费。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主要用于：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1、完成地区节能有关规划和工作方案；制定“双控”计划会议纪要；将“双控”目标纳入国民经济和社会发展计划；目标分解、明确部门、单位职责文件；组织开展“双控”目标考评并对社会公布结果文件；对考核结果问责（奖惩）文件；研究协调“双控”文件及会议纪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2、区节能审查办法文件；能评工作制度；后期监督管理制度；清洁能源（光伏）建设文件及数据。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3、组织实施节能重点工程证明资料；组织技术产品推广目录推广活动。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4、落实差别电价证明资料；落实居民阶梯电价证明资料居民阶梯气价证明资料。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5、健全监督检查法律法规文件。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6、监督检查（节能监察）文件；能力、体系建设证明资料；将能耗限额标准执行情况列入监察计划证明资料。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7、组织节能培训活动证明资料；组织开展绿色消费推进活动证明资料；宣传周活动证明资料。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本单位无政府性基金预算支出。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四、国有资本经营预算支出情况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本单位国有资本经营预算支出。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2023年社会保险缴费预算18.11万元，其中机关事业单位基本养老保险缴费11.37万元，职工基本医疗保险4.58万元，其他社会保障缴费2.16万元。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1.优化流程、从严审批。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根据相关法律法规和“最多跑一次”工作要求，我中心对政务事项流程进行了再优化，对104个固定资产投资项目进行了节能登记备案；对海泰路新建工程跨越西气东输天然气管道项目和联港南路排水改造工程与下穿长郴输油管道项目进行了施工许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2.精心策划、广泛宣传。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为提升全区人民节能意识，加快建成资源节约、环境友好的“核心引领区”，我中心举办了“绿色低碳、节能先行”系列活动。7月14日联合市发改委、区自然资源局及金鹗山街道办事处在金鹗山公园开展以“减塑禁塑 你我共行”为主题的宣传活动；8月15日开展了“金山银山就是绿水青山”主题宣传活动。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3.对标对表、强化重点工作。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按照岳阳楼区2023年政府重点工作任务完成情况清单，电力项目新建10千伏线路7回，改造老旧线路15回已全部完成；制定了《岳阳楼区碳达峰实施方案》（初稿），组织了征求意见和专家评审，并通过了市发改委组织的专家审查；举办了“绿色低碳、节能先行”系列活动；积极推进能源革命，规范充电设施建设运营秩序，强化智能服务平台管理应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4.勤查严管、排除隐患。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一是加强宣传。先后4次到油气管道沿线及电力隐患现场宣传，共出动宣传车60余台次，发放宣传手册、宣传画报等5千多份。二是加强监管。坚持分管领导每季度一次、相关责任人员每月至少一次至油气长输管道及电力隐患现场进行拉网式大排查；赴企业检查主体责任落实情况8次，督促企业按月报送安全生产主体责任落实情况，确保安全生产各项工作的实施。三是严格执法。根据省、市文件要求，拉网式排查我区老旧小区、城中村供电隐患问题44处，制定了老旧小区、城中村供电隐患问题清单和台账及《岳阳楼区老旧小区、城中村供电隐患整改方案》；8月6日，组织了海泰路新建工程跨越西气东输天然气管道施工安全评价，8月15日，组织了联港南路排水改造工程与下穿长郴输油管道施工安全评价。确保我区能源动脉安全平稳运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工作方面：一是禁塑工作难度大、思想意识不到位。虽然采取了一定程度的防治措施，但是缺乏相应激励措施，参与积极性不高。二是新能源项目存在局限性。扎实推进全区经济社会高质量发展和低碳绿色转型，提高非化石能源占比，但由于我区是中心城区，受地域限制，不具备风电、水电、垃圾焚烧发电、氢能等条件，除了小型屋顶光伏发电以外，其他新能源项目在市里统筹下尽量安排在周边区县。三是安全生产压力大。由于城市东扩造成输油气管道途径周边由荒山变成人口密集地区，例如西气东输管道胥家桥段路油与政府重点项目胥家桥物流园、住保湘北雅园等有存在新增高后果区可能的风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 xml:space="preserve"> （一）进一步加强宣传引导。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bookmarkStart w:id="0" w:name="_GoBack"/>
      <w:r>
        <w:rPr>
          <w:rFonts w:hint="eastAsia" w:ascii="仿宋" w:hAnsi="仿宋" w:eastAsia="仿宋" w:cs="仿宋"/>
          <w:spacing w:val="9"/>
          <w:kern w:val="2"/>
          <w:position w:val="21"/>
          <w:sz w:val="31"/>
          <w:szCs w:val="31"/>
          <w:lang w:val="en-US" w:eastAsia="zh-CN" w:bidi="ar-SA"/>
        </w:rPr>
        <w:t>强化宣传引导在推动全区加强塑料污染治理、实现碳达峰的引领作用，加强节能宣传。利用节能宣传周、低碳活动日大力宣传，在社会营造浓厚的节能氛围</w:t>
      </w:r>
      <w:bookmarkEnd w:id="0"/>
      <w:r>
        <w:rPr>
          <w:rFonts w:hint="eastAsia" w:ascii="仿宋" w:hAnsi="仿宋" w:eastAsia="仿宋" w:cs="仿宋"/>
          <w:spacing w:val="9"/>
          <w:kern w:val="2"/>
          <w:position w:val="21"/>
          <w:sz w:val="31"/>
          <w:szCs w:val="3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（二）进一步优化产业结构。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根据岳节能减排办〔2021〕6号文件精神，严把项目审批关，严格控制“两高”项目上马。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（三）进一步加强塑料污染治理。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立足体系引领，立足舆情导向，加强宣传引导，立足主体调度，严格监管执法；加强引进非塑料制品袋等包装的替代企业，减少塑料制品的使用，加强回收塑料制品企业的监督管理，联合区卫健局对医疗机构的输液瓶、输液袋回收实行全覆盖；对照责任分解细化表，进一步研究可行性措施，明确开展工作的时间节点，加强督查督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（四）进一步压实安全生产责任。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仿宋" w:hAnsi="仿宋" w:eastAsia="仿宋" w:cs="仿宋"/>
          <w:spacing w:val="9"/>
          <w:kern w:val="2"/>
          <w:position w:val="21"/>
          <w:sz w:val="31"/>
          <w:szCs w:val="31"/>
          <w:lang w:val="en-US" w:eastAsia="zh-CN" w:bidi="ar-SA"/>
        </w:rPr>
      </w:pPr>
      <w:r>
        <w:rPr>
          <w:rFonts w:hint="eastAsia" w:ascii="仿宋" w:hAnsi="仿宋" w:eastAsia="仿宋" w:cs="仿宋"/>
          <w:spacing w:val="9"/>
          <w:kern w:val="2"/>
          <w:position w:val="21"/>
          <w:sz w:val="31"/>
          <w:szCs w:val="31"/>
          <w:lang w:val="en-US" w:eastAsia="zh-CN" w:bidi="ar-SA"/>
        </w:rPr>
        <w:t>坚持“人民至上、生命至上、安全第一”，坚持问题导向、目标导向、结果导向的原则，依法依规界定综合监管和行业监管职责，理顺跨行业区域综合协调与监管体制，进一步压实安全生产企业主体责任和属地部门监管责任的落实，把属地看牢、把责任压实、把问题盯死，进行全面排查管控控。</w:t>
      </w: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 w:name="KSO_WPS_MARK_KEY" w:val="ac4d82ae-10bf-495e-a65a-54b15008f76b"/>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16D9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62EE6"/>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BD17AF"/>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1FC7"/>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21F3C"/>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B12EA"/>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1F70"/>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CFA302B"/>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250C7F"/>
    <w:rsid w:val="252A4D8D"/>
    <w:rsid w:val="255061EE"/>
    <w:rsid w:val="256609A5"/>
    <w:rsid w:val="25695674"/>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61D5A"/>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090EBD"/>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A5D16"/>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95DDC"/>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169D"/>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AB44F2"/>
    <w:rsid w:val="36D21A02"/>
    <w:rsid w:val="36E85056"/>
    <w:rsid w:val="3708411D"/>
    <w:rsid w:val="370E0FEC"/>
    <w:rsid w:val="37104DEB"/>
    <w:rsid w:val="37166BDC"/>
    <w:rsid w:val="372C24A3"/>
    <w:rsid w:val="372D0977"/>
    <w:rsid w:val="372F66F4"/>
    <w:rsid w:val="37337382"/>
    <w:rsid w:val="373D070E"/>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4A2C6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30227E"/>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06466"/>
    <w:rsid w:val="3D093C71"/>
    <w:rsid w:val="3D0F72F6"/>
    <w:rsid w:val="3D131752"/>
    <w:rsid w:val="3D1A22C0"/>
    <w:rsid w:val="3D294B1B"/>
    <w:rsid w:val="3D2B034D"/>
    <w:rsid w:val="3D2B37F6"/>
    <w:rsid w:val="3D4A6765"/>
    <w:rsid w:val="3D5A60CA"/>
    <w:rsid w:val="3D6677CE"/>
    <w:rsid w:val="3D957A51"/>
    <w:rsid w:val="3D9F26CD"/>
    <w:rsid w:val="3D9F4364"/>
    <w:rsid w:val="3DA60DBB"/>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BF2EEE"/>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47E30"/>
    <w:rsid w:val="4B2815DF"/>
    <w:rsid w:val="4B2F0336"/>
    <w:rsid w:val="4B32137E"/>
    <w:rsid w:val="4B473F5E"/>
    <w:rsid w:val="4B481704"/>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30BB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655385"/>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1643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33668"/>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B07"/>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70D13"/>
    <w:rsid w:val="616B1A35"/>
    <w:rsid w:val="616D02E8"/>
    <w:rsid w:val="616E1A7D"/>
    <w:rsid w:val="617020C2"/>
    <w:rsid w:val="61755B39"/>
    <w:rsid w:val="617637D1"/>
    <w:rsid w:val="617A0C46"/>
    <w:rsid w:val="618A6F1A"/>
    <w:rsid w:val="619952F0"/>
    <w:rsid w:val="61A33787"/>
    <w:rsid w:val="61A66AB4"/>
    <w:rsid w:val="61B12749"/>
    <w:rsid w:val="61B2747F"/>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16AEF"/>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A132A"/>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10C8D"/>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B64ECD"/>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41E1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4FE01D9"/>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75621"/>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next w:val="4"/>
    <w:semiHidden/>
    <w:qFormat/>
    <w:uiPriority w:val="0"/>
    <w:rPr>
      <w:rFonts w:ascii="仿宋" w:hAnsi="仿宋" w:eastAsia="仿宋" w:cs="仿宋"/>
      <w:sz w:val="35"/>
      <w:szCs w:val="35"/>
      <w:lang w:val="en-US" w:eastAsia="en-US" w:bidi="ar-SA"/>
    </w:r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ind w:firstLine="420" w:firstLineChars="100"/>
    </w:p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font41"/>
    <w:basedOn w:val="10"/>
    <w:qFormat/>
    <w:uiPriority w:val="0"/>
    <w:rPr>
      <w:rFonts w:hint="eastAsia" w:ascii="微软雅黑" w:hAnsi="微软雅黑" w:eastAsia="微软雅黑" w:cs="微软雅黑"/>
      <w:color w:val="000000"/>
      <w:sz w:val="16"/>
      <w:szCs w:val="16"/>
      <w:u w:val="none"/>
    </w:rPr>
  </w:style>
  <w:style w:type="character" w:customStyle="1" w:styleId="14">
    <w:name w:val="font71"/>
    <w:basedOn w:val="10"/>
    <w:qFormat/>
    <w:uiPriority w:val="0"/>
    <w:rPr>
      <w:rFonts w:hint="default" w:ascii="Arial" w:hAnsi="Arial" w:cs="Arial"/>
      <w:color w:val="000000"/>
      <w:sz w:val="16"/>
      <w:szCs w:val="16"/>
      <w:u w:val="none"/>
    </w:rPr>
  </w:style>
  <w:style w:type="paragraph" w:customStyle="1" w:styleId="15">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4681</Words>
  <Characters>5113</Characters>
  <Lines>0</Lines>
  <Paragraphs>0</Paragraphs>
  <TotalTime>11</TotalTime>
  <ScaleCrop>false</ScaleCrop>
  <LinksUpToDate>false</LinksUpToDate>
  <CharactersWithSpaces>5254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necrolyte</cp:lastModifiedBy>
  <cp:lastPrinted>2024-06-21T01:41:00Z</cp:lastPrinted>
  <dcterms:modified xsi:type="dcterms:W3CDTF">2025-06-17T08:09:15Z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4B5FDDC259FB49A4A0EBEC5A4BB60567_11</vt:lpwstr>
  </property>
  <property fmtid="{D5CDD505-2E9C-101B-9397-08002B2CF9AE}" pid="4" name="KSOTemplateDocerSaveRecord">
    <vt:lpwstr>eyJoZGlkIjoiMjMxZmI5MWY5NDI5Y2UzYTVlMmQwZDRkZjQ5NWQwNjAiLCJ1c2VySWQiOiIxMTI5MDAzNTA2In0=</vt:lpwstr>
  </property>
</Properties>
</file>