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1065"/>
        <w:gridCol w:w="1065"/>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3"/>
                <w:sz w:val="24"/>
                <w:szCs w:val="24"/>
                <w:lang w:val="en-US" w:eastAsia="zh-CN"/>
              </w:rPr>
              <w:t>岳阳楼区应急管理局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90"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250"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90"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49</w:t>
            </w:r>
          </w:p>
        </w:tc>
        <w:tc>
          <w:tcPr>
            <w:tcW w:w="2250"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47</w:t>
            </w:r>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90"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250"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90"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4.8</w:t>
            </w:r>
          </w:p>
        </w:tc>
        <w:tc>
          <w:tcPr>
            <w:tcW w:w="2250"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3.3</w:t>
            </w:r>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9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4.8</w:t>
            </w:r>
          </w:p>
        </w:tc>
        <w:tc>
          <w:tcPr>
            <w:tcW w:w="225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9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25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9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4.8</w:t>
            </w:r>
          </w:p>
        </w:tc>
        <w:tc>
          <w:tcPr>
            <w:tcW w:w="225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9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25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9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25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0.3</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9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923.8</w:t>
            </w:r>
          </w:p>
        </w:tc>
        <w:tc>
          <w:tcPr>
            <w:tcW w:w="225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83</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1194.6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9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83.97</w:t>
            </w:r>
          </w:p>
        </w:tc>
        <w:tc>
          <w:tcPr>
            <w:tcW w:w="225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74.99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9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4.8</w:t>
            </w:r>
          </w:p>
        </w:tc>
        <w:tc>
          <w:tcPr>
            <w:tcW w:w="225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ind w:left="105" w:leftChars="50" w:right="0" w:rightChars="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1"/>
                <w:sz w:val="24"/>
                <w:szCs w:val="24"/>
                <w:shd w:val="clear" w:color="auto" w:fill="auto"/>
                <w:lang w:val="en-US" w:eastAsia="zh-CN"/>
              </w:rPr>
              <w:t>3、</w:t>
            </w:r>
            <w:r>
              <w:rPr>
                <w:rFonts w:hint="eastAsia" w:ascii="宋体" w:hAnsi="宋体" w:eastAsia="宋体" w:cs="宋体"/>
                <w:color w:val="000000"/>
                <w:spacing w:val="-11"/>
                <w:sz w:val="24"/>
                <w:szCs w:val="24"/>
                <w:shd w:val="clear" w:color="auto" w:fill="auto"/>
                <w:lang w:eastAsia="zh-CN"/>
              </w:rPr>
              <w:t>区</w:t>
            </w:r>
            <w:r>
              <w:rPr>
                <w:rFonts w:hint="eastAsia" w:ascii="宋体" w:hAnsi="宋体" w:eastAsia="宋体" w:cs="宋体"/>
                <w:color w:val="000000"/>
                <w:spacing w:val="-11"/>
                <w:sz w:val="24"/>
                <w:szCs w:val="24"/>
                <w:shd w:val="clear" w:color="auto" w:fill="auto"/>
              </w:rPr>
              <w:t>级专项资金(一个专项一行)</w:t>
            </w:r>
          </w:p>
        </w:tc>
        <w:tc>
          <w:tcPr>
            <w:tcW w:w="1890" w:type="dxa"/>
            <w:gridSpan w:val="2"/>
            <w:noWrap w:val="0"/>
            <w:vAlign w:val="top"/>
          </w:tcPr>
          <w:p>
            <w:pPr>
              <w:rPr>
                <w:rFonts w:hint="eastAsia" w:ascii="宋体" w:hAnsi="宋体" w:eastAsia="宋体" w:cs="宋体"/>
                <w:color w:val="000000"/>
                <w:sz w:val="21"/>
              </w:rPr>
            </w:pPr>
          </w:p>
        </w:tc>
        <w:tc>
          <w:tcPr>
            <w:tcW w:w="2250"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安全隐患整治</w:t>
            </w:r>
          </w:p>
        </w:tc>
        <w:tc>
          <w:tcPr>
            <w:tcW w:w="1890"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196.41</w:t>
            </w:r>
          </w:p>
        </w:tc>
        <w:tc>
          <w:tcPr>
            <w:tcW w:w="225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仓田消防站</w:t>
            </w:r>
          </w:p>
        </w:tc>
        <w:tc>
          <w:tcPr>
            <w:tcW w:w="1890"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263.41</w:t>
            </w:r>
          </w:p>
        </w:tc>
        <w:tc>
          <w:tcPr>
            <w:tcW w:w="225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809.11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全国自然灾害风险普查</w:t>
            </w:r>
          </w:p>
        </w:tc>
        <w:tc>
          <w:tcPr>
            <w:tcW w:w="1890"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60.67</w:t>
            </w:r>
          </w:p>
        </w:tc>
        <w:tc>
          <w:tcPr>
            <w:tcW w:w="225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防疫隔离点</w:t>
            </w:r>
          </w:p>
        </w:tc>
        <w:tc>
          <w:tcPr>
            <w:tcW w:w="1890"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56.75</w:t>
            </w:r>
          </w:p>
        </w:tc>
        <w:tc>
          <w:tcPr>
            <w:tcW w:w="225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消防装备</w:t>
            </w:r>
          </w:p>
        </w:tc>
        <w:tc>
          <w:tcPr>
            <w:tcW w:w="1890"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58.98</w:t>
            </w:r>
          </w:p>
        </w:tc>
        <w:tc>
          <w:tcPr>
            <w:tcW w:w="225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防汛抗旱</w:t>
            </w:r>
          </w:p>
        </w:tc>
        <w:tc>
          <w:tcPr>
            <w:tcW w:w="1890"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12.22</w:t>
            </w:r>
          </w:p>
        </w:tc>
        <w:tc>
          <w:tcPr>
            <w:tcW w:w="225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应急仓库</w:t>
            </w:r>
          </w:p>
        </w:tc>
        <w:tc>
          <w:tcPr>
            <w:tcW w:w="1890"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100.32</w:t>
            </w:r>
          </w:p>
        </w:tc>
        <w:tc>
          <w:tcPr>
            <w:tcW w:w="225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应急救援经费</w:t>
            </w:r>
          </w:p>
        </w:tc>
        <w:tc>
          <w:tcPr>
            <w:tcW w:w="1890"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86.27</w:t>
            </w:r>
          </w:p>
        </w:tc>
        <w:tc>
          <w:tcPr>
            <w:tcW w:w="225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民生社会保险及公用支出</w:t>
            </w:r>
          </w:p>
        </w:tc>
        <w:tc>
          <w:tcPr>
            <w:tcW w:w="1890"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25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工资及制服支出</w:t>
            </w:r>
          </w:p>
        </w:tc>
        <w:tc>
          <w:tcPr>
            <w:tcW w:w="1890"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25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编外用工人员经费</w:t>
            </w:r>
          </w:p>
        </w:tc>
        <w:tc>
          <w:tcPr>
            <w:tcW w:w="1890"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25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伙食补助</w:t>
            </w:r>
          </w:p>
        </w:tc>
        <w:tc>
          <w:tcPr>
            <w:tcW w:w="1890"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25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社保费用</w:t>
            </w:r>
          </w:p>
        </w:tc>
        <w:tc>
          <w:tcPr>
            <w:tcW w:w="1890"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250"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绩效奖金</w:t>
            </w:r>
          </w:p>
        </w:tc>
        <w:tc>
          <w:tcPr>
            <w:tcW w:w="1890"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250"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jc w:val="lef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其他支出</w:t>
            </w:r>
          </w:p>
        </w:tc>
        <w:tc>
          <w:tcPr>
            <w:tcW w:w="1890"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250"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246" w:firstLineChars="1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90" w:type="dxa"/>
            <w:gridSpan w:val="2"/>
            <w:noWrap w:val="0"/>
            <w:vAlign w:val="top"/>
          </w:tcPr>
          <w:p>
            <w:pPr>
              <w:rPr>
                <w:rFonts w:hint="eastAsia" w:ascii="宋体" w:hAnsi="宋体" w:eastAsia="宋体" w:cs="宋体"/>
                <w:color w:val="000000"/>
                <w:sz w:val="21"/>
              </w:rPr>
            </w:pPr>
          </w:p>
        </w:tc>
        <w:tc>
          <w:tcPr>
            <w:tcW w:w="2250"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jc w:val="left"/>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2023年省级安全生产预防及应急专项</w:t>
            </w:r>
          </w:p>
        </w:tc>
        <w:tc>
          <w:tcPr>
            <w:tcW w:w="1890"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250"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90"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84.78</w:t>
            </w:r>
          </w:p>
        </w:tc>
        <w:tc>
          <w:tcPr>
            <w:tcW w:w="2250"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81</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77.23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90"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14.24</w:t>
            </w:r>
          </w:p>
        </w:tc>
        <w:tc>
          <w:tcPr>
            <w:tcW w:w="2250"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90"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11.81</w:t>
            </w:r>
          </w:p>
        </w:tc>
        <w:tc>
          <w:tcPr>
            <w:tcW w:w="2250"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10.5</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90"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1.56</w:t>
            </w:r>
          </w:p>
        </w:tc>
        <w:tc>
          <w:tcPr>
            <w:tcW w:w="2250"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90"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960.33</w:t>
            </w:r>
          </w:p>
        </w:tc>
        <w:tc>
          <w:tcPr>
            <w:tcW w:w="2250" w:type="dxa"/>
            <w:gridSpan w:val="2"/>
            <w:noWrap w:val="0"/>
            <w:vAlign w:val="center"/>
          </w:tcPr>
          <w:p>
            <w:pPr>
              <w:tabs>
                <w:tab w:val="center" w:pos="1120"/>
              </w:tabs>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678.99</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90"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250"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065" w:type="dxa"/>
            <w:noWrap w:val="0"/>
            <w:vAlign w:val="top"/>
          </w:tcPr>
          <w:p>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065" w:type="dxa"/>
            <w:noWrap w:val="0"/>
            <w:vAlign w:val="top"/>
          </w:tcPr>
          <w:p>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85" w:type="dxa"/>
            <w:noWrap w:val="0"/>
            <w:vAlign w:val="top"/>
          </w:tcPr>
          <w:p>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10" w:type="dxa"/>
            <w:noWrap w:val="0"/>
            <w:vAlign w:val="top"/>
          </w:tcPr>
          <w:p>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69" w:type="dxa"/>
            <w:noWrap w:val="0"/>
            <w:vAlign w:val="top"/>
          </w:tcPr>
          <w:p>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宋体" w:hAnsi="宋体" w:eastAsia="宋体" w:cs="宋体"/>
                <w:color w:val="000000"/>
                <w:sz w:val="21"/>
              </w:rPr>
              <w:t>节约型机关制度措施</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pPr>
              <w:pStyle w:val="10"/>
              <w:spacing w:line="239" w:lineRule="exact"/>
              <w:rPr>
                <w:rFonts w:hint="default" w:ascii="宋体" w:hAnsi="宋体" w:eastAsia="宋体" w:cs="宋体"/>
                <w:sz w:val="20"/>
                <w:lang w:val="en-US" w:eastAsia="zh-CN"/>
              </w:rPr>
            </w:pPr>
            <w:r>
              <w:rPr>
                <w:rFonts w:hint="eastAsia" w:ascii="宋体" w:hAnsi="宋体" w:eastAsia="宋体" w:cs="宋体"/>
                <w:sz w:val="20"/>
                <w:lang w:val="en-US" w:eastAsia="zh-CN"/>
              </w:rPr>
              <w:t>岳阳楼区应急管理局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10"/>
              <w:spacing w:line="467" w:lineRule="auto"/>
              <w:rPr>
                <w:rFonts w:hint="eastAsia" w:ascii="宋体" w:hAnsi="宋体" w:eastAsia="宋体" w:cs="宋体"/>
              </w:rPr>
            </w:pPr>
          </w:p>
          <w:p>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pPr>
              <w:pStyle w:val="10"/>
              <w:spacing w:line="235" w:lineRule="exact"/>
              <w:rPr>
                <w:rFonts w:hint="eastAsia" w:ascii="宋体" w:hAnsi="宋体" w:eastAsia="宋体" w:cs="宋体"/>
                <w:sz w:val="20"/>
              </w:rPr>
            </w:pPr>
          </w:p>
        </w:tc>
        <w:tc>
          <w:tcPr>
            <w:tcW w:w="1269" w:type="dxa"/>
            <w:noWrap w:val="0"/>
            <w:vAlign w:val="top"/>
          </w:tcPr>
          <w:p>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0"/>
              <w:rPr>
                <w:rFonts w:hint="eastAsia" w:ascii="宋体" w:hAnsi="宋体" w:eastAsia="宋体" w:cs="宋体"/>
              </w:rPr>
            </w:pPr>
          </w:p>
        </w:tc>
        <w:tc>
          <w:tcPr>
            <w:tcW w:w="2113"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805.63</w:t>
            </w:r>
          </w:p>
        </w:tc>
        <w:tc>
          <w:tcPr>
            <w:tcW w:w="1310" w:type="dxa"/>
            <w:noWrap w:val="0"/>
            <w:vAlign w:val="top"/>
          </w:tcPr>
          <w:p>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1818.34</w:t>
            </w:r>
          </w:p>
        </w:tc>
        <w:tc>
          <w:tcPr>
            <w:tcW w:w="1268" w:type="dxa"/>
            <w:noWrap w:val="0"/>
            <w:vAlign w:val="top"/>
          </w:tcPr>
          <w:p>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1818.34</w:t>
            </w:r>
          </w:p>
        </w:tc>
        <w:tc>
          <w:tcPr>
            <w:tcW w:w="716" w:type="dxa"/>
            <w:noWrap w:val="0"/>
            <w:vAlign w:val="top"/>
          </w:tcPr>
          <w:p>
            <w:pPr>
              <w:pStyle w:val="10"/>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0"/>
              <w:rPr>
                <w:rFonts w:hint="eastAsia" w:ascii="宋体" w:hAnsi="宋体" w:eastAsia="宋体" w:cs="宋体"/>
              </w:rPr>
            </w:pPr>
          </w:p>
        </w:tc>
        <w:tc>
          <w:tcPr>
            <w:tcW w:w="4692" w:type="dxa"/>
            <w:gridSpan w:val="4"/>
            <w:noWrap w:val="0"/>
            <w:vAlign w:val="top"/>
          </w:tcPr>
          <w:p>
            <w:pPr>
              <w:spacing w:before="22" w:line="206" w:lineRule="auto"/>
              <w:ind w:left="111"/>
              <w:rPr>
                <w:rFonts w:hint="default" w:ascii="宋体" w:hAnsi="宋体" w:eastAsia="宋体" w:cs="宋体"/>
                <w:sz w:val="19"/>
                <w:szCs w:val="19"/>
                <w:lang w:val="en-US" w:eastAsia="zh-CN"/>
              </w:rPr>
            </w:pPr>
            <w:r>
              <w:rPr>
                <w:rFonts w:hint="eastAsia" w:ascii="宋体" w:hAnsi="宋体" w:eastAsia="宋体" w:cs="宋体"/>
                <w:spacing w:val="2"/>
                <w:sz w:val="19"/>
                <w:szCs w:val="19"/>
              </w:rPr>
              <w:t>按收入性质分：</w:t>
            </w:r>
            <w:r>
              <w:rPr>
                <w:rFonts w:hint="eastAsia" w:ascii="宋体" w:hAnsi="宋体" w:eastAsia="宋体" w:cs="宋体"/>
                <w:spacing w:val="2"/>
                <w:sz w:val="19"/>
                <w:szCs w:val="19"/>
                <w:lang w:val="en-US" w:eastAsia="zh-CN"/>
              </w:rPr>
              <w:t>1818.34</w:t>
            </w:r>
          </w:p>
        </w:tc>
        <w:tc>
          <w:tcPr>
            <w:tcW w:w="4307" w:type="dxa"/>
            <w:gridSpan w:val="4"/>
            <w:noWrap w:val="0"/>
            <w:vAlign w:val="top"/>
          </w:tcPr>
          <w:p>
            <w:pPr>
              <w:spacing w:before="22" w:line="206" w:lineRule="auto"/>
              <w:ind w:left="116"/>
              <w:rPr>
                <w:rFonts w:hint="default" w:ascii="宋体" w:hAnsi="宋体" w:eastAsia="宋体" w:cs="宋体"/>
                <w:sz w:val="19"/>
                <w:szCs w:val="19"/>
                <w:lang w:val="en-US" w:eastAsia="zh-CN"/>
              </w:rPr>
            </w:pPr>
            <w:r>
              <w:rPr>
                <w:rFonts w:hint="eastAsia" w:ascii="宋体" w:hAnsi="宋体" w:eastAsia="宋体" w:cs="宋体"/>
                <w:spacing w:val="2"/>
                <w:sz w:val="19"/>
                <w:szCs w:val="19"/>
              </w:rPr>
              <w:t>按支出性质分：</w:t>
            </w:r>
            <w:r>
              <w:rPr>
                <w:rFonts w:hint="eastAsia" w:ascii="宋体" w:hAnsi="宋体" w:eastAsia="宋体" w:cs="宋体"/>
                <w:spacing w:val="2"/>
                <w:sz w:val="19"/>
                <w:szCs w:val="19"/>
                <w:lang w:val="en-US" w:eastAsia="zh-CN"/>
              </w:rPr>
              <w:t>1818.34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0"/>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1812.08</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623.74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0"/>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1194.6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10"/>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pPr>
              <w:pStyle w:val="10"/>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10"/>
              <w:rPr>
                <w:rFonts w:hint="eastAsia" w:ascii="宋体" w:hAnsi="宋体" w:eastAsia="宋体" w:cs="宋体"/>
              </w:rPr>
            </w:pPr>
          </w:p>
        </w:tc>
        <w:tc>
          <w:tcPr>
            <w:tcW w:w="4692" w:type="dxa"/>
            <w:gridSpan w:val="4"/>
            <w:noWrap w:val="0"/>
            <w:vAlign w:val="top"/>
          </w:tcPr>
          <w:p>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6.26</w:t>
            </w:r>
          </w:p>
        </w:tc>
        <w:tc>
          <w:tcPr>
            <w:tcW w:w="4307" w:type="dxa"/>
            <w:gridSpan w:val="4"/>
            <w:noWrap w:val="0"/>
            <w:vAlign w:val="top"/>
          </w:tcPr>
          <w:p>
            <w:pPr>
              <w:pStyle w:val="10"/>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10"/>
              <w:spacing w:line="242" w:lineRule="auto"/>
              <w:rPr>
                <w:rFonts w:hint="eastAsia" w:ascii="宋体" w:hAnsi="宋体" w:eastAsia="宋体" w:cs="宋体"/>
              </w:rPr>
            </w:pPr>
          </w:p>
          <w:p>
            <w:pPr>
              <w:pStyle w:val="10"/>
              <w:spacing w:line="243" w:lineRule="auto"/>
              <w:rPr>
                <w:rFonts w:hint="eastAsia" w:ascii="宋体" w:hAnsi="宋体" w:eastAsia="宋体" w:cs="宋体"/>
              </w:rPr>
            </w:pPr>
          </w:p>
          <w:p>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pPr>
              <w:pStyle w:val="10"/>
              <w:rPr>
                <w:rFonts w:hint="eastAsia" w:ascii="宋体" w:hAnsi="宋体" w:eastAsia="宋体" w:cs="宋体"/>
              </w:rPr>
            </w:pPr>
          </w:p>
        </w:tc>
        <w:tc>
          <w:tcPr>
            <w:tcW w:w="4692" w:type="dxa"/>
            <w:gridSpan w:val="4"/>
            <w:noWrap w:val="0"/>
            <w:vAlign w:val="center"/>
          </w:tcPr>
          <w:p>
            <w:pPr>
              <w:spacing w:before="62" w:line="230" w:lineRule="auto"/>
              <w:ind w:right="139"/>
              <w:jc w:val="both"/>
              <w:rPr>
                <w:rFonts w:hint="eastAsia" w:ascii="宋体" w:hAnsi="宋体" w:eastAsia="宋体" w:cs="宋体"/>
                <w:spacing w:val="7"/>
                <w:sz w:val="19"/>
                <w:szCs w:val="19"/>
              </w:rPr>
            </w:pPr>
            <w:r>
              <w:rPr>
                <w:rFonts w:hint="eastAsia" w:ascii="宋体" w:hAnsi="宋体" w:eastAsia="宋体" w:cs="宋体"/>
                <w:spacing w:val="7"/>
                <w:sz w:val="19"/>
                <w:szCs w:val="19"/>
                <w:lang w:val="en-US" w:eastAsia="zh-CN"/>
              </w:rPr>
              <w:t>认真落实省委省政府、市委市政府“打好安全生产翻身仗”总体要求和决策部署，锚定“三坚决两确保”工作目标，持续提升公共安全治理水平。</w:t>
            </w:r>
          </w:p>
        </w:tc>
        <w:tc>
          <w:tcPr>
            <w:tcW w:w="4307" w:type="dxa"/>
            <w:gridSpan w:val="4"/>
            <w:noWrap w:val="0"/>
            <w:vAlign w:val="center"/>
          </w:tcPr>
          <w:p>
            <w:pPr>
              <w:spacing w:before="62" w:line="230" w:lineRule="auto"/>
              <w:ind w:left="382" w:right="139" w:hanging="232"/>
              <w:jc w:val="center"/>
              <w:rPr>
                <w:rFonts w:hint="default" w:ascii="宋体" w:hAnsi="宋体" w:eastAsia="宋体" w:cs="宋体"/>
                <w:spacing w:val="7"/>
                <w:sz w:val="19"/>
                <w:szCs w:val="19"/>
                <w:lang w:val="en-US" w:eastAsia="zh-CN"/>
              </w:rPr>
            </w:pPr>
            <w:r>
              <w:rPr>
                <w:rFonts w:hint="eastAsia" w:ascii="宋体" w:hAnsi="宋体" w:eastAsia="宋体" w:cs="宋体"/>
                <w:spacing w:val="7"/>
                <w:sz w:val="19"/>
                <w:szCs w:val="19"/>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restart"/>
            <w:tcBorders>
              <w:bottom w:val="single" w:color="000000" w:sz="2" w:space="0"/>
            </w:tcBorders>
            <w:noWrap w:val="0"/>
            <w:textDirection w:val="tbRlV"/>
            <w:vAlign w:val="top"/>
          </w:tcPr>
          <w:p>
            <w:pPr>
              <w:pStyle w:val="10"/>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000000" w:sz="2" w:space="0"/>
            </w:tcBorders>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000000" w:sz="2" w:space="0"/>
            </w:tcBorders>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bottom w:val="single" w:color="000000" w:sz="2" w:space="0"/>
            </w:tcBorders>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bottom w:val="single" w:color="000000" w:sz="2" w:space="0"/>
            </w:tcBorders>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bottom w:val="single" w:color="000000" w:sz="2" w:space="0"/>
            </w:tcBorders>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bottom w:val="single" w:color="000000" w:sz="2" w:space="0"/>
            </w:tcBorders>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000000" w:sz="2" w:space="0"/>
            </w:tcBorders>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bottom w:val="single" w:color="000000" w:sz="2" w:space="0"/>
            </w:tcBorders>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10"/>
              <w:rPr>
                <w:rFonts w:hint="eastAsia" w:ascii="宋体" w:hAnsi="宋体" w:eastAsia="宋体" w:cs="宋体"/>
              </w:rPr>
            </w:pPr>
          </w:p>
        </w:tc>
        <w:tc>
          <w:tcPr>
            <w:tcW w:w="1079" w:type="dxa"/>
            <w:vMerge w:val="restart"/>
            <w:tcBorders>
              <w:top w:val="single" w:color="000000" w:sz="2" w:space="0"/>
              <w:bottom w:val="single" w:color="000000" w:sz="2" w:space="0"/>
            </w:tcBorders>
            <w:noWrap w:val="0"/>
            <w:vAlign w:val="top"/>
          </w:tcPr>
          <w:p>
            <w:pPr>
              <w:pStyle w:val="10"/>
              <w:spacing w:line="272" w:lineRule="auto"/>
              <w:rPr>
                <w:rFonts w:hint="eastAsia" w:ascii="宋体" w:hAnsi="宋体" w:eastAsia="宋体" w:cs="宋体"/>
              </w:rPr>
            </w:pPr>
          </w:p>
          <w:p>
            <w:pPr>
              <w:pStyle w:val="10"/>
              <w:spacing w:line="272" w:lineRule="auto"/>
              <w:rPr>
                <w:rFonts w:hint="eastAsia" w:ascii="宋体" w:hAnsi="宋体" w:eastAsia="宋体" w:cs="宋体"/>
              </w:rPr>
            </w:pPr>
          </w:p>
          <w:p>
            <w:pPr>
              <w:pStyle w:val="10"/>
              <w:spacing w:line="272" w:lineRule="auto"/>
              <w:rPr>
                <w:rFonts w:hint="eastAsia" w:ascii="宋体" w:hAnsi="宋体" w:eastAsia="宋体" w:cs="宋体"/>
              </w:rPr>
            </w:pPr>
          </w:p>
          <w:p>
            <w:pPr>
              <w:pStyle w:val="10"/>
              <w:spacing w:line="273" w:lineRule="auto"/>
              <w:rPr>
                <w:rFonts w:hint="eastAsia" w:ascii="宋体" w:hAnsi="宋体" w:eastAsia="宋体" w:cs="宋体"/>
              </w:rPr>
            </w:pPr>
          </w:p>
          <w:p>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000000" w:sz="2" w:space="0"/>
              <w:bottom w:val="single" w:color="000000" w:sz="2" w:space="0"/>
            </w:tcBorders>
            <w:noWrap w:val="0"/>
            <w:vAlign w:val="top"/>
          </w:tcPr>
          <w:p>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000000" w:sz="2" w:space="0"/>
              <w:bottom w:val="single" w:color="000000" w:sz="2" w:space="0"/>
            </w:tcBorders>
            <w:noWrap w:val="0"/>
            <w:vAlign w:val="center"/>
          </w:tcPr>
          <w:p>
            <w:pPr>
              <w:pStyle w:val="10"/>
              <w:spacing w:line="235" w:lineRule="exact"/>
              <w:jc w:val="center"/>
              <w:rPr>
                <w:rFonts w:hint="default" w:ascii="宋体" w:hAnsi="宋体" w:eastAsia="宋体" w:cs="宋体"/>
                <w:sz w:val="16"/>
                <w:szCs w:val="18"/>
                <w:lang w:val="en-US" w:eastAsia="zh-CN"/>
              </w:rPr>
            </w:pPr>
            <w:r>
              <w:rPr>
                <w:rFonts w:hint="eastAsia" w:ascii="宋体" w:hAnsi="宋体" w:eastAsia="宋体" w:cs="宋体"/>
                <w:sz w:val="16"/>
                <w:szCs w:val="18"/>
                <w:lang w:val="en-US" w:eastAsia="zh-CN"/>
              </w:rPr>
              <w:t>排查各类安全隐患个数</w:t>
            </w:r>
          </w:p>
        </w:tc>
        <w:tc>
          <w:tcPr>
            <w:tcW w:w="1310" w:type="dxa"/>
            <w:tcBorders>
              <w:top w:val="single" w:color="000000" w:sz="2" w:space="0"/>
              <w:bottom w:val="single" w:color="000000" w:sz="2" w:space="0"/>
            </w:tcBorders>
            <w:noWrap w:val="0"/>
            <w:vAlign w:val="center"/>
          </w:tcPr>
          <w:p>
            <w:pPr>
              <w:spacing w:before="62" w:line="450" w:lineRule="exact"/>
              <w:ind w:left="144"/>
              <w:jc w:val="center"/>
              <w:rPr>
                <w:rFonts w:hint="default" w:ascii="宋体" w:hAnsi="宋体" w:eastAsia="宋体" w:cs="宋体"/>
                <w:spacing w:val="7"/>
                <w:position w:val="19"/>
                <w:sz w:val="19"/>
                <w:szCs w:val="19"/>
                <w:lang w:val="en-US"/>
              </w:rPr>
            </w:pPr>
            <w:r>
              <w:rPr>
                <w:rFonts w:hint="default" w:ascii="宋体" w:hAnsi="宋体" w:eastAsia="宋体" w:cs="宋体"/>
                <w:spacing w:val="7"/>
                <w:position w:val="19"/>
                <w:sz w:val="19"/>
                <w:szCs w:val="19"/>
                <w:lang w:val="en-US" w:eastAsia="zh-CN"/>
              </w:rPr>
              <w:t>≤</w:t>
            </w:r>
            <w:r>
              <w:rPr>
                <w:rFonts w:hint="eastAsia" w:ascii="宋体" w:hAnsi="宋体" w:eastAsia="宋体" w:cs="宋体"/>
                <w:spacing w:val="7"/>
                <w:position w:val="19"/>
                <w:sz w:val="19"/>
                <w:szCs w:val="19"/>
                <w:lang w:val="en-US" w:eastAsia="zh-CN"/>
              </w:rPr>
              <w:t>3755个</w:t>
            </w:r>
          </w:p>
        </w:tc>
        <w:tc>
          <w:tcPr>
            <w:tcW w:w="1268" w:type="dxa"/>
            <w:tcBorders>
              <w:top w:val="single" w:color="000000" w:sz="2" w:space="0"/>
              <w:bottom w:val="single" w:color="000000" w:sz="2" w:space="0"/>
            </w:tcBorders>
            <w:noWrap w:val="0"/>
            <w:vAlign w:val="center"/>
          </w:tcPr>
          <w:p>
            <w:pPr>
              <w:spacing w:before="62" w:line="450" w:lineRule="exact"/>
              <w:ind w:left="144"/>
              <w:jc w:val="center"/>
              <w:rPr>
                <w:rFonts w:hint="default" w:ascii="宋体" w:hAnsi="宋体" w:eastAsia="宋体" w:cs="宋体"/>
                <w:spacing w:val="7"/>
                <w:position w:val="19"/>
                <w:sz w:val="19"/>
                <w:szCs w:val="19"/>
                <w:lang w:val="en-US" w:eastAsia="zh-CN"/>
              </w:rPr>
            </w:pPr>
            <w:r>
              <w:rPr>
                <w:rFonts w:hint="eastAsia" w:ascii="宋体" w:hAnsi="宋体" w:eastAsia="宋体" w:cs="宋体"/>
                <w:spacing w:val="7"/>
                <w:position w:val="19"/>
                <w:sz w:val="19"/>
                <w:szCs w:val="19"/>
                <w:lang w:val="en-US" w:eastAsia="zh-CN"/>
              </w:rPr>
              <w:t>=3755个</w:t>
            </w:r>
          </w:p>
        </w:tc>
        <w:tc>
          <w:tcPr>
            <w:tcW w:w="716" w:type="dxa"/>
            <w:tcBorders>
              <w:top w:val="single" w:color="000000" w:sz="2" w:space="0"/>
              <w:bottom w:val="single" w:color="000000" w:sz="2" w:space="0"/>
            </w:tcBorders>
            <w:noWrap w:val="0"/>
            <w:vAlign w:val="center"/>
          </w:tcPr>
          <w:p>
            <w:pPr>
              <w:spacing w:before="62" w:line="450" w:lineRule="exact"/>
              <w:ind w:left="144"/>
              <w:jc w:val="center"/>
              <w:rPr>
                <w:rFonts w:hint="default" w:ascii="宋体" w:hAnsi="宋体" w:eastAsia="宋体" w:cs="宋体"/>
                <w:spacing w:val="7"/>
                <w:position w:val="19"/>
                <w:sz w:val="19"/>
                <w:szCs w:val="19"/>
                <w:lang w:val="en-US" w:eastAsia="zh-CN"/>
              </w:rPr>
            </w:pPr>
            <w:r>
              <w:rPr>
                <w:rFonts w:hint="eastAsia" w:ascii="宋体" w:hAnsi="宋体" w:eastAsia="宋体" w:cs="宋体"/>
                <w:spacing w:val="7"/>
                <w:position w:val="19"/>
                <w:sz w:val="19"/>
                <w:szCs w:val="19"/>
                <w:lang w:val="en-US" w:eastAsia="zh-CN"/>
              </w:rPr>
              <w:t>10</w:t>
            </w:r>
          </w:p>
        </w:tc>
        <w:tc>
          <w:tcPr>
            <w:tcW w:w="873" w:type="dxa"/>
            <w:tcBorders>
              <w:top w:val="single" w:color="000000" w:sz="2" w:space="0"/>
              <w:bottom w:val="single" w:color="000000" w:sz="2" w:space="0"/>
            </w:tcBorders>
            <w:noWrap w:val="0"/>
            <w:vAlign w:val="center"/>
          </w:tcPr>
          <w:p>
            <w:pPr>
              <w:spacing w:before="62" w:line="450" w:lineRule="exact"/>
              <w:ind w:left="144"/>
              <w:jc w:val="center"/>
              <w:rPr>
                <w:rFonts w:hint="default" w:ascii="宋体" w:hAnsi="宋体" w:eastAsia="宋体" w:cs="宋体"/>
                <w:spacing w:val="7"/>
                <w:position w:val="19"/>
                <w:sz w:val="19"/>
                <w:szCs w:val="19"/>
                <w:lang w:val="en-US" w:eastAsia="zh-CN"/>
              </w:rPr>
            </w:pPr>
            <w:r>
              <w:rPr>
                <w:rFonts w:hint="eastAsia" w:ascii="宋体" w:hAnsi="宋体" w:eastAsia="宋体" w:cs="宋体"/>
                <w:spacing w:val="7"/>
                <w:position w:val="19"/>
                <w:sz w:val="19"/>
                <w:szCs w:val="19"/>
                <w:lang w:val="en-US" w:eastAsia="zh-CN"/>
              </w:rPr>
              <w:t>10</w:t>
            </w:r>
          </w:p>
        </w:tc>
        <w:tc>
          <w:tcPr>
            <w:tcW w:w="1450" w:type="dxa"/>
            <w:tcBorders>
              <w:top w:val="single" w:color="000000" w:sz="2" w:space="0"/>
              <w:bottom w:val="single" w:color="000000" w:sz="2" w:space="0"/>
            </w:tcBorders>
            <w:noWrap w:val="0"/>
            <w:vAlign w:val="top"/>
          </w:tcPr>
          <w:p>
            <w:pPr>
              <w:pStyle w:val="10"/>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10"/>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10"/>
              <w:rPr>
                <w:rFonts w:hint="eastAsia" w:ascii="宋体" w:hAnsi="宋体" w:eastAsia="宋体" w:cs="宋体"/>
              </w:rPr>
            </w:pPr>
          </w:p>
        </w:tc>
        <w:tc>
          <w:tcPr>
            <w:tcW w:w="1034" w:type="dxa"/>
            <w:vMerge w:val="continue"/>
            <w:tcBorders>
              <w:top w:val="single" w:color="000000" w:sz="2" w:space="0"/>
              <w:bottom w:val="single" w:color="000000" w:sz="2" w:space="0"/>
            </w:tcBorders>
            <w:noWrap w:val="0"/>
            <w:vAlign w:val="top"/>
          </w:tcPr>
          <w:p>
            <w:pPr>
              <w:pStyle w:val="10"/>
              <w:rPr>
                <w:rFonts w:hint="eastAsia" w:ascii="宋体" w:hAnsi="宋体" w:eastAsia="宋体" w:cs="宋体"/>
              </w:rPr>
            </w:pPr>
          </w:p>
        </w:tc>
        <w:tc>
          <w:tcPr>
            <w:tcW w:w="1269" w:type="dxa"/>
            <w:tcBorders>
              <w:top w:val="single" w:color="000000" w:sz="2" w:space="0"/>
              <w:bottom w:val="single" w:color="000000" w:sz="2" w:space="0"/>
            </w:tcBorders>
            <w:noWrap w:val="0"/>
            <w:vAlign w:val="center"/>
          </w:tcPr>
          <w:p>
            <w:pPr>
              <w:pStyle w:val="10"/>
              <w:spacing w:line="235" w:lineRule="exact"/>
              <w:jc w:val="center"/>
              <w:rPr>
                <w:rFonts w:hint="default" w:ascii="宋体" w:hAnsi="宋体" w:eastAsia="宋体" w:cs="宋体"/>
                <w:sz w:val="16"/>
                <w:szCs w:val="18"/>
                <w:lang w:val="en-US" w:eastAsia="zh-CN"/>
              </w:rPr>
            </w:pPr>
            <w:r>
              <w:rPr>
                <w:rFonts w:hint="eastAsia" w:ascii="宋体" w:hAnsi="宋体" w:eastAsia="宋体" w:cs="宋体"/>
                <w:sz w:val="16"/>
                <w:szCs w:val="18"/>
                <w:lang w:val="en-US" w:eastAsia="zh-CN"/>
              </w:rPr>
              <w:t>一般安全生产事故起数</w:t>
            </w:r>
          </w:p>
        </w:tc>
        <w:tc>
          <w:tcPr>
            <w:tcW w:w="1310" w:type="dxa"/>
            <w:tcBorders>
              <w:top w:val="single" w:color="000000" w:sz="2" w:space="0"/>
              <w:bottom w:val="single" w:color="000000" w:sz="2" w:space="0"/>
            </w:tcBorders>
            <w:noWrap w:val="0"/>
            <w:vAlign w:val="center"/>
          </w:tcPr>
          <w:p>
            <w:pPr>
              <w:spacing w:before="62" w:line="450" w:lineRule="exact"/>
              <w:ind w:left="144"/>
              <w:jc w:val="center"/>
              <w:rPr>
                <w:rFonts w:hint="default" w:ascii="宋体" w:hAnsi="宋体" w:eastAsia="宋体" w:cs="宋体"/>
                <w:spacing w:val="7"/>
                <w:position w:val="19"/>
                <w:sz w:val="19"/>
                <w:szCs w:val="19"/>
                <w:lang w:val="en-US"/>
              </w:rPr>
            </w:pPr>
            <w:r>
              <w:rPr>
                <w:rFonts w:hint="default" w:ascii="宋体" w:hAnsi="宋体" w:eastAsia="宋体" w:cs="宋体"/>
                <w:spacing w:val="7"/>
                <w:position w:val="19"/>
                <w:sz w:val="19"/>
                <w:szCs w:val="19"/>
                <w:lang w:val="en-US" w:eastAsia="zh-CN"/>
              </w:rPr>
              <w:t>≤</w:t>
            </w:r>
            <w:r>
              <w:rPr>
                <w:rFonts w:hint="eastAsia" w:ascii="宋体" w:hAnsi="宋体" w:eastAsia="宋体" w:cs="宋体"/>
                <w:spacing w:val="7"/>
                <w:position w:val="19"/>
                <w:sz w:val="19"/>
                <w:szCs w:val="19"/>
                <w:lang w:val="en-US" w:eastAsia="zh-CN"/>
              </w:rPr>
              <w:t>1起</w:t>
            </w:r>
          </w:p>
        </w:tc>
        <w:tc>
          <w:tcPr>
            <w:tcW w:w="1268" w:type="dxa"/>
            <w:tcBorders>
              <w:top w:val="single" w:color="000000" w:sz="2" w:space="0"/>
              <w:bottom w:val="single" w:color="000000" w:sz="2" w:space="0"/>
            </w:tcBorders>
            <w:noWrap w:val="0"/>
            <w:vAlign w:val="center"/>
          </w:tcPr>
          <w:p>
            <w:pPr>
              <w:spacing w:before="62" w:line="450" w:lineRule="exact"/>
              <w:ind w:left="144"/>
              <w:jc w:val="center"/>
              <w:rPr>
                <w:rFonts w:hint="default" w:ascii="宋体" w:hAnsi="宋体" w:eastAsia="宋体" w:cs="宋体"/>
                <w:spacing w:val="7"/>
                <w:position w:val="19"/>
                <w:sz w:val="19"/>
                <w:szCs w:val="19"/>
                <w:lang w:val="en-US" w:eastAsia="zh-CN"/>
              </w:rPr>
            </w:pPr>
            <w:r>
              <w:rPr>
                <w:rFonts w:hint="eastAsia" w:ascii="宋体" w:hAnsi="宋体" w:eastAsia="宋体" w:cs="宋体"/>
                <w:spacing w:val="7"/>
                <w:position w:val="19"/>
                <w:sz w:val="19"/>
                <w:szCs w:val="19"/>
                <w:lang w:val="en-US" w:eastAsia="zh-CN"/>
              </w:rPr>
              <w:t>1起</w:t>
            </w:r>
          </w:p>
        </w:tc>
        <w:tc>
          <w:tcPr>
            <w:tcW w:w="716" w:type="dxa"/>
            <w:tcBorders>
              <w:top w:val="single" w:color="000000" w:sz="2" w:space="0"/>
              <w:bottom w:val="single" w:color="000000" w:sz="2" w:space="0"/>
            </w:tcBorders>
            <w:noWrap w:val="0"/>
            <w:vAlign w:val="center"/>
          </w:tcPr>
          <w:p>
            <w:pPr>
              <w:spacing w:before="62" w:line="450" w:lineRule="exact"/>
              <w:ind w:left="144"/>
              <w:jc w:val="center"/>
              <w:rPr>
                <w:rFonts w:hint="default" w:ascii="宋体" w:hAnsi="宋体" w:eastAsia="宋体" w:cs="宋体"/>
                <w:spacing w:val="7"/>
                <w:position w:val="19"/>
                <w:sz w:val="19"/>
                <w:szCs w:val="19"/>
                <w:lang w:val="en-US" w:eastAsia="zh-CN"/>
              </w:rPr>
            </w:pPr>
            <w:r>
              <w:rPr>
                <w:rFonts w:hint="eastAsia" w:ascii="宋体" w:hAnsi="宋体" w:eastAsia="宋体" w:cs="宋体"/>
                <w:spacing w:val="7"/>
                <w:position w:val="19"/>
                <w:sz w:val="19"/>
                <w:szCs w:val="19"/>
                <w:lang w:val="en-US" w:eastAsia="zh-CN"/>
              </w:rPr>
              <w:t>10</w:t>
            </w:r>
          </w:p>
        </w:tc>
        <w:tc>
          <w:tcPr>
            <w:tcW w:w="873" w:type="dxa"/>
            <w:tcBorders>
              <w:top w:val="single" w:color="000000" w:sz="2" w:space="0"/>
              <w:bottom w:val="single" w:color="000000" w:sz="2" w:space="0"/>
            </w:tcBorders>
            <w:noWrap w:val="0"/>
            <w:vAlign w:val="center"/>
          </w:tcPr>
          <w:p>
            <w:pPr>
              <w:spacing w:before="62" w:line="450" w:lineRule="exact"/>
              <w:ind w:left="144"/>
              <w:jc w:val="center"/>
              <w:rPr>
                <w:rFonts w:hint="default" w:ascii="宋体" w:hAnsi="宋体" w:eastAsia="宋体" w:cs="宋体"/>
                <w:spacing w:val="7"/>
                <w:position w:val="19"/>
                <w:sz w:val="19"/>
                <w:szCs w:val="19"/>
                <w:lang w:val="en-US" w:eastAsia="zh-CN"/>
              </w:rPr>
            </w:pPr>
            <w:r>
              <w:rPr>
                <w:rFonts w:hint="eastAsia" w:ascii="宋体" w:hAnsi="宋体" w:eastAsia="宋体" w:cs="宋体"/>
                <w:spacing w:val="7"/>
                <w:position w:val="19"/>
                <w:sz w:val="19"/>
                <w:szCs w:val="19"/>
                <w:lang w:val="en-US" w:eastAsia="zh-CN"/>
              </w:rPr>
              <w:t>10</w:t>
            </w:r>
          </w:p>
        </w:tc>
        <w:tc>
          <w:tcPr>
            <w:tcW w:w="1450" w:type="dxa"/>
            <w:tcBorders>
              <w:top w:val="single" w:color="000000" w:sz="2" w:space="0"/>
              <w:bottom w:val="single" w:color="000000" w:sz="2" w:space="0"/>
            </w:tcBorders>
            <w:noWrap w:val="0"/>
            <w:vAlign w:val="top"/>
          </w:tcPr>
          <w:p>
            <w:pPr>
              <w:pStyle w:val="10"/>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4" w:type="dxa"/>
            <w:vMerge w:val="continue"/>
            <w:tcBorders>
              <w:top w:val="single" w:color="000000" w:sz="2" w:space="0"/>
              <w:bottom w:val="single" w:color="000000" w:sz="2" w:space="0"/>
            </w:tcBorders>
            <w:noWrap w:val="0"/>
            <w:textDirection w:val="tbRlV"/>
            <w:vAlign w:val="top"/>
          </w:tcPr>
          <w:p>
            <w:pPr>
              <w:pStyle w:val="10"/>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10"/>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000000" w:sz="2" w:space="0"/>
              <w:bottom w:val="single" w:color="000000" w:sz="2" w:space="0"/>
            </w:tcBorders>
            <w:noWrap w:val="0"/>
            <w:vAlign w:val="center"/>
          </w:tcPr>
          <w:p>
            <w:pPr>
              <w:spacing w:before="274" w:line="226" w:lineRule="auto"/>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打好安全生产翻身仗省、市先进单位</w:t>
            </w:r>
          </w:p>
        </w:tc>
        <w:tc>
          <w:tcPr>
            <w:tcW w:w="1310" w:type="dxa"/>
            <w:tcBorders>
              <w:top w:val="single" w:color="000000" w:sz="2" w:space="0"/>
              <w:bottom w:val="single" w:color="000000" w:sz="2" w:space="0"/>
            </w:tcBorders>
            <w:noWrap w:val="0"/>
            <w:vAlign w:val="center"/>
          </w:tcPr>
          <w:p>
            <w:pPr>
              <w:spacing w:before="274" w:line="226" w:lineRule="auto"/>
              <w:ind w:left="126"/>
              <w:jc w:val="center"/>
              <w:rPr>
                <w:rFonts w:hint="eastAsia" w:ascii="宋体" w:hAnsi="宋体" w:eastAsia="宋体" w:cs="宋体"/>
                <w:spacing w:val="6"/>
                <w:sz w:val="19"/>
                <w:szCs w:val="19"/>
                <w:lang w:val="en-US" w:eastAsia="en-US"/>
              </w:rPr>
            </w:pPr>
            <w:r>
              <w:rPr>
                <w:rFonts w:hint="eastAsia" w:ascii="宋体" w:hAnsi="宋体" w:eastAsia="宋体" w:cs="宋体"/>
                <w:spacing w:val="6"/>
                <w:sz w:val="19"/>
                <w:szCs w:val="19"/>
                <w:lang w:val="en-US" w:eastAsia="zh-CN"/>
              </w:rPr>
              <w:t>2023年</w:t>
            </w:r>
          </w:p>
        </w:tc>
        <w:tc>
          <w:tcPr>
            <w:tcW w:w="1268" w:type="dxa"/>
            <w:tcBorders>
              <w:top w:val="single" w:color="000000" w:sz="2" w:space="0"/>
              <w:bottom w:val="single" w:color="000000" w:sz="2" w:space="0"/>
            </w:tcBorders>
            <w:noWrap w:val="0"/>
            <w:vAlign w:val="center"/>
          </w:tcPr>
          <w:p>
            <w:pPr>
              <w:spacing w:before="274" w:line="226" w:lineRule="auto"/>
              <w:ind w:left="126"/>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已完成</w:t>
            </w:r>
          </w:p>
        </w:tc>
        <w:tc>
          <w:tcPr>
            <w:tcW w:w="716" w:type="dxa"/>
            <w:tcBorders>
              <w:top w:val="single" w:color="000000" w:sz="2" w:space="0"/>
              <w:bottom w:val="single" w:color="000000" w:sz="2" w:space="0"/>
            </w:tcBorders>
            <w:noWrap w:val="0"/>
            <w:vAlign w:val="center"/>
          </w:tcPr>
          <w:p>
            <w:pPr>
              <w:spacing w:before="274" w:line="226" w:lineRule="auto"/>
              <w:ind w:left="126"/>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873" w:type="dxa"/>
            <w:tcBorders>
              <w:top w:val="single" w:color="000000" w:sz="2" w:space="0"/>
              <w:bottom w:val="single" w:color="000000" w:sz="2" w:space="0"/>
            </w:tcBorders>
            <w:noWrap w:val="0"/>
            <w:vAlign w:val="center"/>
          </w:tcPr>
          <w:p>
            <w:pPr>
              <w:spacing w:before="274" w:line="226" w:lineRule="auto"/>
              <w:ind w:left="126"/>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p>
            <w:pPr>
              <w:spacing w:before="274" w:line="226" w:lineRule="auto"/>
              <w:ind w:left="126"/>
              <w:jc w:val="center"/>
              <w:rPr>
                <w:rFonts w:hint="default" w:ascii="宋体" w:hAnsi="宋体" w:eastAsia="宋体" w:cs="宋体"/>
                <w:spacing w:val="6"/>
                <w:sz w:val="19"/>
                <w:szCs w:val="19"/>
                <w:lang w:val="en-US" w:eastAsia="zh-CN"/>
              </w:rPr>
            </w:pPr>
          </w:p>
        </w:tc>
        <w:tc>
          <w:tcPr>
            <w:tcW w:w="1450" w:type="dxa"/>
            <w:tcBorders>
              <w:top w:val="single" w:color="000000" w:sz="2" w:space="0"/>
              <w:bottom w:val="single" w:color="000000" w:sz="2" w:space="0"/>
            </w:tcBorders>
            <w:noWrap w:val="0"/>
            <w:vAlign w:val="top"/>
          </w:tcPr>
          <w:p>
            <w:pPr>
              <w:pStyle w:val="10"/>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084" w:type="dxa"/>
            <w:vMerge w:val="continue"/>
            <w:tcBorders>
              <w:top w:val="single" w:color="000000" w:sz="2" w:space="0"/>
              <w:bottom w:val="single" w:color="000000" w:sz="2" w:space="0"/>
            </w:tcBorders>
            <w:noWrap w:val="0"/>
            <w:textDirection w:val="tbRlV"/>
            <w:vAlign w:val="top"/>
          </w:tcPr>
          <w:p>
            <w:pPr>
              <w:pStyle w:val="10"/>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10"/>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273" w:line="226" w:lineRule="auto"/>
              <w:ind w:left="121"/>
              <w:rPr>
                <w:rFonts w:hint="eastAsia" w:ascii="宋体" w:hAnsi="宋体" w:eastAsia="宋体" w:cs="宋体"/>
                <w:spacing w:val="7"/>
                <w:sz w:val="19"/>
                <w:szCs w:val="19"/>
                <w:lang w:val="en-US" w:eastAsia="zh-CN"/>
              </w:rPr>
            </w:pPr>
          </w:p>
        </w:tc>
        <w:tc>
          <w:tcPr>
            <w:tcW w:w="1269" w:type="dxa"/>
            <w:tcBorders>
              <w:top w:val="single" w:color="000000" w:sz="2" w:space="0"/>
              <w:bottom w:val="single" w:color="000000" w:sz="2" w:space="0"/>
            </w:tcBorders>
            <w:noWrap w:val="0"/>
            <w:vAlign w:val="center"/>
          </w:tcPr>
          <w:p>
            <w:pPr>
              <w:spacing w:before="274" w:line="226" w:lineRule="auto"/>
              <w:jc w:val="center"/>
              <w:rPr>
                <w:rFonts w:hint="default"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市级安全生产和消防工作的优秀单位</w:t>
            </w:r>
          </w:p>
        </w:tc>
        <w:tc>
          <w:tcPr>
            <w:tcW w:w="1310" w:type="dxa"/>
            <w:tcBorders>
              <w:top w:val="single" w:color="000000" w:sz="2" w:space="0"/>
              <w:bottom w:val="single" w:color="000000" w:sz="2" w:space="0"/>
            </w:tcBorders>
            <w:noWrap w:val="0"/>
            <w:vAlign w:val="center"/>
          </w:tcPr>
          <w:p>
            <w:pPr>
              <w:spacing w:before="274" w:line="226" w:lineRule="auto"/>
              <w:ind w:left="126"/>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2023年</w:t>
            </w:r>
          </w:p>
        </w:tc>
        <w:tc>
          <w:tcPr>
            <w:tcW w:w="1268" w:type="dxa"/>
            <w:tcBorders>
              <w:top w:val="single" w:color="000000" w:sz="2" w:space="0"/>
              <w:bottom w:val="single" w:color="000000" w:sz="2" w:space="0"/>
            </w:tcBorders>
            <w:noWrap w:val="0"/>
            <w:vAlign w:val="center"/>
          </w:tcPr>
          <w:p>
            <w:pPr>
              <w:spacing w:before="274" w:line="226" w:lineRule="auto"/>
              <w:ind w:left="126"/>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已完成</w:t>
            </w:r>
          </w:p>
        </w:tc>
        <w:tc>
          <w:tcPr>
            <w:tcW w:w="716" w:type="dxa"/>
            <w:tcBorders>
              <w:top w:val="single" w:color="000000" w:sz="2" w:space="0"/>
              <w:bottom w:val="single" w:color="000000" w:sz="2" w:space="0"/>
            </w:tcBorders>
            <w:noWrap w:val="0"/>
            <w:vAlign w:val="center"/>
          </w:tcPr>
          <w:p>
            <w:pPr>
              <w:spacing w:before="274" w:line="226" w:lineRule="auto"/>
              <w:ind w:left="126"/>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873" w:type="dxa"/>
            <w:tcBorders>
              <w:top w:val="single" w:color="000000" w:sz="2" w:space="0"/>
              <w:bottom w:val="single" w:color="000000" w:sz="2" w:space="0"/>
            </w:tcBorders>
            <w:noWrap w:val="0"/>
            <w:vAlign w:val="center"/>
          </w:tcPr>
          <w:p>
            <w:pPr>
              <w:spacing w:before="274" w:line="226" w:lineRule="auto"/>
              <w:ind w:firstLine="404" w:firstLineChars="200"/>
              <w:jc w:val="both"/>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1450" w:type="dxa"/>
            <w:tcBorders>
              <w:top w:val="single" w:color="000000" w:sz="2" w:space="0"/>
              <w:bottom w:val="single" w:color="000000" w:sz="2" w:space="0"/>
            </w:tcBorders>
            <w:noWrap w:val="0"/>
            <w:vAlign w:val="top"/>
          </w:tcPr>
          <w:p>
            <w:pPr>
              <w:pStyle w:val="10"/>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10"/>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10"/>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000000" w:sz="2" w:space="0"/>
              <w:bottom w:val="single" w:color="000000" w:sz="2" w:space="0"/>
            </w:tcBorders>
            <w:noWrap w:val="0"/>
            <w:vAlign w:val="center"/>
          </w:tcPr>
          <w:p>
            <w:pPr>
              <w:spacing w:before="274" w:line="226" w:lineRule="auto"/>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2023年计划执法</w:t>
            </w:r>
          </w:p>
        </w:tc>
        <w:tc>
          <w:tcPr>
            <w:tcW w:w="1310" w:type="dxa"/>
            <w:tcBorders>
              <w:top w:val="single" w:color="000000" w:sz="2" w:space="0"/>
              <w:bottom w:val="single" w:color="000000" w:sz="2" w:space="0"/>
            </w:tcBorders>
            <w:noWrap w:val="0"/>
            <w:vAlign w:val="center"/>
          </w:tcPr>
          <w:p>
            <w:pPr>
              <w:spacing w:before="274" w:line="226" w:lineRule="auto"/>
              <w:ind w:firstLine="392" w:firstLineChars="200"/>
              <w:jc w:val="both"/>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2023年</w:t>
            </w:r>
          </w:p>
        </w:tc>
        <w:tc>
          <w:tcPr>
            <w:tcW w:w="1268" w:type="dxa"/>
            <w:tcBorders>
              <w:top w:val="single" w:color="000000" w:sz="2" w:space="0"/>
              <w:bottom w:val="single" w:color="000000" w:sz="2" w:space="0"/>
            </w:tcBorders>
            <w:noWrap w:val="0"/>
            <w:vAlign w:val="center"/>
          </w:tcPr>
          <w:p>
            <w:pPr>
              <w:spacing w:before="62" w:line="450" w:lineRule="exact"/>
              <w:ind w:left="144"/>
              <w:jc w:val="center"/>
              <w:rPr>
                <w:rFonts w:hint="eastAsia" w:ascii="宋体" w:hAnsi="宋体" w:eastAsia="宋体" w:cs="宋体"/>
                <w:spacing w:val="7"/>
                <w:position w:val="19"/>
                <w:sz w:val="19"/>
                <w:szCs w:val="19"/>
                <w:lang w:val="en-US" w:eastAsia="zh-CN"/>
              </w:rPr>
            </w:pPr>
            <w:r>
              <w:rPr>
                <w:rFonts w:hint="eastAsia" w:ascii="宋体" w:hAnsi="宋体" w:eastAsia="宋体" w:cs="宋体"/>
                <w:spacing w:val="7"/>
                <w:position w:val="19"/>
                <w:sz w:val="19"/>
                <w:szCs w:val="19"/>
                <w:lang w:val="en-US" w:eastAsia="zh-CN"/>
              </w:rPr>
              <w:t>完成</w:t>
            </w:r>
          </w:p>
        </w:tc>
        <w:tc>
          <w:tcPr>
            <w:tcW w:w="716" w:type="dxa"/>
            <w:tcBorders>
              <w:top w:val="single" w:color="000000" w:sz="2" w:space="0"/>
              <w:bottom w:val="single" w:color="000000" w:sz="2" w:space="0"/>
            </w:tcBorders>
            <w:noWrap w:val="0"/>
            <w:vAlign w:val="center"/>
          </w:tcPr>
          <w:p>
            <w:pPr>
              <w:spacing w:before="62" w:line="450" w:lineRule="exact"/>
              <w:ind w:left="144"/>
              <w:jc w:val="center"/>
              <w:rPr>
                <w:rFonts w:hint="eastAsia" w:ascii="宋体" w:hAnsi="宋体" w:eastAsia="宋体" w:cs="宋体"/>
                <w:spacing w:val="7"/>
                <w:position w:val="19"/>
                <w:sz w:val="19"/>
                <w:szCs w:val="19"/>
                <w:lang w:val="en-US" w:eastAsia="zh-CN"/>
              </w:rPr>
            </w:pPr>
            <w:r>
              <w:rPr>
                <w:rFonts w:hint="eastAsia" w:ascii="宋体" w:hAnsi="宋体" w:eastAsia="宋体" w:cs="宋体"/>
                <w:spacing w:val="7"/>
                <w:position w:val="19"/>
                <w:sz w:val="19"/>
                <w:szCs w:val="19"/>
                <w:lang w:val="en-US" w:eastAsia="zh-CN"/>
              </w:rPr>
              <w:t>5</w:t>
            </w:r>
          </w:p>
        </w:tc>
        <w:tc>
          <w:tcPr>
            <w:tcW w:w="873" w:type="dxa"/>
            <w:tcBorders>
              <w:top w:val="single" w:color="000000" w:sz="2" w:space="0"/>
              <w:bottom w:val="single" w:color="000000" w:sz="2" w:space="0"/>
            </w:tcBorders>
            <w:noWrap w:val="0"/>
            <w:vAlign w:val="center"/>
          </w:tcPr>
          <w:p>
            <w:pPr>
              <w:spacing w:before="62" w:line="450" w:lineRule="exact"/>
              <w:ind w:left="144"/>
              <w:jc w:val="center"/>
              <w:rPr>
                <w:rFonts w:hint="eastAsia" w:ascii="宋体" w:hAnsi="宋体" w:eastAsia="宋体" w:cs="宋体"/>
                <w:spacing w:val="7"/>
                <w:position w:val="19"/>
                <w:sz w:val="19"/>
                <w:szCs w:val="19"/>
                <w:lang w:val="en-US" w:eastAsia="zh-CN"/>
              </w:rPr>
            </w:pPr>
            <w:r>
              <w:rPr>
                <w:rFonts w:hint="eastAsia" w:ascii="宋体" w:hAnsi="宋体" w:eastAsia="宋体" w:cs="宋体"/>
                <w:spacing w:val="7"/>
                <w:position w:val="19"/>
                <w:sz w:val="19"/>
                <w:szCs w:val="19"/>
                <w:lang w:val="en-US" w:eastAsia="zh-CN"/>
              </w:rPr>
              <w:t>5</w:t>
            </w:r>
          </w:p>
        </w:tc>
        <w:tc>
          <w:tcPr>
            <w:tcW w:w="1450" w:type="dxa"/>
            <w:tcBorders>
              <w:top w:val="single" w:color="000000" w:sz="2" w:space="0"/>
              <w:bottom w:val="single" w:color="000000" w:sz="2" w:space="0"/>
            </w:tcBorders>
            <w:noWrap w:val="0"/>
            <w:vAlign w:val="top"/>
          </w:tcPr>
          <w:p>
            <w:pPr>
              <w:pStyle w:val="10"/>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10"/>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10"/>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000000" w:sz="2" w:space="0"/>
              <w:bottom w:val="single" w:color="000000" w:sz="2" w:space="0"/>
            </w:tcBorders>
            <w:noWrap w:val="0"/>
            <w:vAlign w:val="center"/>
          </w:tcPr>
          <w:p>
            <w:pPr>
              <w:spacing w:before="273" w:line="226" w:lineRule="auto"/>
              <w:ind w:left="125"/>
              <w:jc w:val="center"/>
              <w:rPr>
                <w:rFonts w:hint="eastAsia" w:ascii="宋体" w:hAnsi="宋体" w:eastAsia="宋体" w:cs="宋体"/>
                <w:spacing w:val="6"/>
                <w:sz w:val="16"/>
                <w:szCs w:val="16"/>
                <w:lang w:val="en-US" w:eastAsia="zh-CN"/>
              </w:rPr>
            </w:pPr>
            <w:r>
              <w:rPr>
                <w:rFonts w:hint="eastAsia" w:ascii="宋体" w:hAnsi="宋体" w:eastAsia="宋体" w:cs="宋体"/>
                <w:spacing w:val="6"/>
                <w:sz w:val="16"/>
                <w:szCs w:val="16"/>
                <w:lang w:val="en-US" w:eastAsia="zh-CN"/>
              </w:rPr>
              <w:t>严格预算支出控制</w:t>
            </w:r>
          </w:p>
        </w:tc>
        <w:tc>
          <w:tcPr>
            <w:tcW w:w="1310" w:type="dxa"/>
            <w:tcBorders>
              <w:top w:val="single" w:color="000000" w:sz="2" w:space="0"/>
              <w:bottom w:val="single" w:color="000000" w:sz="2" w:space="0"/>
            </w:tcBorders>
            <w:noWrap w:val="0"/>
            <w:vAlign w:val="center"/>
          </w:tcPr>
          <w:p>
            <w:pPr>
              <w:spacing w:before="273" w:line="226" w:lineRule="auto"/>
              <w:ind w:left="125"/>
              <w:jc w:val="center"/>
              <w:rPr>
                <w:rFonts w:hint="eastAsia" w:ascii="宋体" w:hAnsi="宋体" w:eastAsia="宋体" w:cs="宋体"/>
                <w:spacing w:val="6"/>
                <w:sz w:val="19"/>
                <w:szCs w:val="19"/>
                <w:lang w:val="en-US" w:eastAsia="zh-CN"/>
              </w:rPr>
            </w:pPr>
            <w:r>
              <w:rPr>
                <w:rFonts w:hint="default" w:ascii="宋体" w:hAnsi="宋体" w:eastAsia="宋体" w:cs="宋体"/>
                <w:spacing w:val="6"/>
                <w:sz w:val="19"/>
                <w:szCs w:val="19"/>
                <w:lang w:val="en-US" w:eastAsia="zh-CN"/>
              </w:rPr>
              <w:t>≤</w:t>
            </w:r>
            <w:r>
              <w:rPr>
                <w:rFonts w:hint="eastAsia" w:ascii="宋体" w:hAnsi="宋体" w:eastAsia="宋体" w:cs="宋体"/>
                <w:spacing w:val="6"/>
                <w:sz w:val="19"/>
                <w:szCs w:val="19"/>
                <w:lang w:val="en-US" w:eastAsia="zh-CN"/>
              </w:rPr>
              <w:t>1818.34万元</w:t>
            </w:r>
          </w:p>
        </w:tc>
        <w:tc>
          <w:tcPr>
            <w:tcW w:w="1268" w:type="dxa"/>
            <w:tcBorders>
              <w:top w:val="single" w:color="000000" w:sz="2" w:space="0"/>
              <w:bottom w:val="single" w:color="000000" w:sz="2" w:space="0"/>
            </w:tcBorders>
            <w:noWrap w:val="0"/>
            <w:vAlign w:val="center"/>
          </w:tcPr>
          <w:p>
            <w:pPr>
              <w:spacing w:before="273" w:line="226" w:lineRule="auto"/>
              <w:ind w:left="125"/>
              <w:jc w:val="center"/>
              <w:rPr>
                <w:rFonts w:hint="eastAsia" w:ascii="宋体" w:hAnsi="宋体" w:eastAsia="宋体" w:cs="宋体"/>
                <w:spacing w:val="6"/>
                <w:sz w:val="19"/>
                <w:szCs w:val="19"/>
                <w:lang w:val="en-US" w:eastAsia="zh-CN"/>
              </w:rPr>
            </w:pPr>
            <w:r>
              <w:rPr>
                <w:rFonts w:hint="default" w:ascii="宋体" w:hAnsi="宋体" w:eastAsia="宋体" w:cs="宋体"/>
                <w:spacing w:val="6"/>
                <w:sz w:val="19"/>
                <w:szCs w:val="19"/>
                <w:lang w:val="en-US" w:eastAsia="zh-CN"/>
              </w:rPr>
              <w:t>≤</w:t>
            </w:r>
            <w:r>
              <w:rPr>
                <w:rFonts w:hint="eastAsia" w:ascii="宋体" w:hAnsi="宋体" w:eastAsia="宋体" w:cs="宋体"/>
                <w:spacing w:val="6"/>
                <w:sz w:val="19"/>
                <w:szCs w:val="19"/>
                <w:lang w:val="en-US" w:eastAsia="zh-CN"/>
              </w:rPr>
              <w:t>1818.34万元</w:t>
            </w:r>
          </w:p>
        </w:tc>
        <w:tc>
          <w:tcPr>
            <w:tcW w:w="716" w:type="dxa"/>
            <w:tcBorders>
              <w:top w:val="single" w:color="000000" w:sz="2" w:space="0"/>
              <w:bottom w:val="single" w:color="000000" w:sz="2" w:space="0"/>
            </w:tcBorders>
            <w:noWrap w:val="0"/>
            <w:vAlign w:val="center"/>
          </w:tcPr>
          <w:p>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5</w:t>
            </w:r>
          </w:p>
        </w:tc>
        <w:tc>
          <w:tcPr>
            <w:tcW w:w="873" w:type="dxa"/>
            <w:tcBorders>
              <w:top w:val="single" w:color="000000" w:sz="2" w:space="0"/>
              <w:bottom w:val="single" w:color="000000" w:sz="2" w:space="0"/>
            </w:tcBorders>
            <w:noWrap w:val="0"/>
            <w:vAlign w:val="center"/>
          </w:tcPr>
          <w:p>
            <w:pPr>
              <w:spacing w:before="273" w:line="226" w:lineRule="auto"/>
              <w:ind w:left="125"/>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5</w:t>
            </w:r>
          </w:p>
        </w:tc>
        <w:tc>
          <w:tcPr>
            <w:tcW w:w="1450" w:type="dxa"/>
            <w:tcBorders>
              <w:top w:val="single" w:color="000000" w:sz="2" w:space="0"/>
              <w:bottom w:val="single" w:color="000000" w:sz="2" w:space="0"/>
            </w:tcBorders>
            <w:noWrap w:val="0"/>
            <w:vAlign w:val="top"/>
          </w:tcPr>
          <w:p>
            <w:pPr>
              <w:pStyle w:val="10"/>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10"/>
              <w:rPr>
                <w:rFonts w:hint="eastAsia" w:ascii="宋体" w:hAnsi="宋体" w:eastAsia="宋体" w:cs="宋体"/>
              </w:rPr>
            </w:pPr>
          </w:p>
        </w:tc>
        <w:tc>
          <w:tcPr>
            <w:tcW w:w="1079" w:type="dxa"/>
            <w:vMerge w:val="restart"/>
            <w:tcBorders>
              <w:top w:val="single" w:color="000000" w:sz="2" w:space="0"/>
              <w:bottom w:val="single" w:color="000000" w:sz="2" w:space="0"/>
            </w:tcBorders>
            <w:noWrap w:val="0"/>
            <w:vAlign w:val="top"/>
          </w:tcPr>
          <w:p>
            <w:pPr>
              <w:pStyle w:val="10"/>
              <w:spacing w:line="256" w:lineRule="auto"/>
              <w:rPr>
                <w:rFonts w:hint="eastAsia" w:ascii="宋体" w:hAnsi="宋体" w:eastAsia="宋体" w:cs="宋体"/>
              </w:rPr>
            </w:pPr>
          </w:p>
          <w:p>
            <w:pPr>
              <w:pStyle w:val="10"/>
              <w:spacing w:line="256" w:lineRule="auto"/>
              <w:rPr>
                <w:rFonts w:hint="eastAsia" w:ascii="宋体" w:hAnsi="宋体" w:eastAsia="宋体" w:cs="宋体"/>
              </w:rPr>
            </w:pPr>
          </w:p>
          <w:p>
            <w:pPr>
              <w:pStyle w:val="10"/>
              <w:spacing w:line="256" w:lineRule="auto"/>
              <w:rPr>
                <w:rFonts w:hint="eastAsia" w:ascii="宋体" w:hAnsi="宋体" w:eastAsia="宋体" w:cs="宋体"/>
              </w:rPr>
            </w:pPr>
          </w:p>
          <w:p>
            <w:pPr>
              <w:pStyle w:val="10"/>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000000" w:sz="2" w:space="0"/>
              <w:bottom w:val="single" w:color="000000" w:sz="2"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000000" w:sz="2" w:space="0"/>
              <w:bottom w:val="single" w:color="000000" w:sz="2" w:space="0"/>
            </w:tcBorders>
            <w:noWrap w:val="0"/>
            <w:vAlign w:val="center"/>
          </w:tcPr>
          <w:p>
            <w:pPr>
              <w:pStyle w:val="10"/>
              <w:spacing w:line="235" w:lineRule="exact"/>
              <w:jc w:val="center"/>
              <w:rPr>
                <w:rFonts w:hint="default" w:ascii="宋体" w:hAnsi="宋体" w:eastAsia="宋体" w:cs="宋体"/>
                <w:sz w:val="16"/>
                <w:szCs w:val="18"/>
                <w:lang w:val="en-US" w:eastAsia="zh-CN"/>
              </w:rPr>
            </w:pPr>
            <w:r>
              <w:rPr>
                <w:rFonts w:hint="eastAsia" w:ascii="宋体" w:hAnsi="宋体" w:eastAsia="宋体" w:cs="宋体"/>
                <w:sz w:val="16"/>
                <w:szCs w:val="18"/>
                <w:lang w:val="en-US" w:eastAsia="zh-CN"/>
              </w:rPr>
              <w:t>未发生较大以上安全生产事故</w:t>
            </w:r>
          </w:p>
        </w:tc>
        <w:tc>
          <w:tcPr>
            <w:tcW w:w="1310" w:type="dxa"/>
            <w:tcBorders>
              <w:top w:val="single" w:color="000000" w:sz="2" w:space="0"/>
              <w:bottom w:val="single" w:color="000000" w:sz="2" w:space="0"/>
            </w:tcBorders>
            <w:noWrap w:val="0"/>
            <w:vAlign w:val="center"/>
          </w:tcPr>
          <w:p>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0起</w:t>
            </w:r>
          </w:p>
        </w:tc>
        <w:tc>
          <w:tcPr>
            <w:tcW w:w="1268" w:type="dxa"/>
            <w:tcBorders>
              <w:top w:val="single" w:color="000000" w:sz="2" w:space="0"/>
              <w:bottom w:val="single" w:color="000000" w:sz="2" w:space="0"/>
            </w:tcBorders>
            <w:noWrap w:val="0"/>
            <w:vAlign w:val="center"/>
          </w:tcPr>
          <w:p>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0起</w:t>
            </w:r>
          </w:p>
        </w:tc>
        <w:tc>
          <w:tcPr>
            <w:tcW w:w="716" w:type="dxa"/>
            <w:tcBorders>
              <w:top w:val="single" w:color="000000" w:sz="2" w:space="0"/>
              <w:bottom w:val="single" w:color="000000" w:sz="2" w:space="0"/>
            </w:tcBorders>
            <w:noWrap w:val="0"/>
            <w:vAlign w:val="center"/>
          </w:tcPr>
          <w:p>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000000" w:sz="2" w:space="0"/>
              <w:bottom w:val="single" w:color="000000" w:sz="2" w:space="0"/>
            </w:tcBorders>
            <w:noWrap w:val="0"/>
            <w:vAlign w:val="center"/>
          </w:tcPr>
          <w:p>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tcBorders>
              <w:top w:val="single" w:color="000000" w:sz="2" w:space="0"/>
              <w:bottom w:val="single" w:color="000000" w:sz="2" w:space="0"/>
            </w:tcBorders>
            <w:noWrap w:val="0"/>
            <w:vAlign w:val="top"/>
          </w:tcPr>
          <w:p>
            <w:pPr>
              <w:pStyle w:val="10"/>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10"/>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10"/>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000000" w:sz="2" w:space="0"/>
              <w:bottom w:val="single" w:color="000000" w:sz="2" w:space="0"/>
            </w:tcBorders>
            <w:noWrap w:val="0"/>
            <w:vAlign w:val="center"/>
          </w:tcPr>
          <w:p>
            <w:pPr>
              <w:spacing w:line="225" w:lineRule="auto"/>
              <w:ind w:left="232"/>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安全生产宣传知晓率</w:t>
            </w:r>
          </w:p>
        </w:tc>
        <w:tc>
          <w:tcPr>
            <w:tcW w:w="1310" w:type="dxa"/>
            <w:tcBorders>
              <w:top w:val="single" w:color="000000" w:sz="2" w:space="0"/>
              <w:bottom w:val="single" w:color="000000" w:sz="2" w:space="0"/>
            </w:tcBorders>
            <w:noWrap w:val="0"/>
            <w:vAlign w:val="center"/>
          </w:tcPr>
          <w:p>
            <w:pPr>
              <w:spacing w:line="225" w:lineRule="auto"/>
              <w:ind w:left="232"/>
              <w:jc w:val="center"/>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=90%</w:t>
            </w:r>
          </w:p>
        </w:tc>
        <w:tc>
          <w:tcPr>
            <w:tcW w:w="1268" w:type="dxa"/>
            <w:tcBorders>
              <w:top w:val="single" w:color="000000" w:sz="2" w:space="0"/>
              <w:bottom w:val="single" w:color="000000" w:sz="2" w:space="0"/>
            </w:tcBorders>
            <w:noWrap w:val="0"/>
            <w:vAlign w:val="center"/>
          </w:tcPr>
          <w:p>
            <w:pPr>
              <w:spacing w:line="225" w:lineRule="auto"/>
              <w:ind w:left="232"/>
              <w:jc w:val="center"/>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=90%</w:t>
            </w:r>
          </w:p>
        </w:tc>
        <w:tc>
          <w:tcPr>
            <w:tcW w:w="716" w:type="dxa"/>
            <w:tcBorders>
              <w:top w:val="single" w:color="000000" w:sz="2" w:space="0"/>
              <w:bottom w:val="single" w:color="000000" w:sz="2" w:space="0"/>
            </w:tcBorders>
            <w:noWrap w:val="0"/>
            <w:vAlign w:val="center"/>
          </w:tcPr>
          <w:p>
            <w:pPr>
              <w:spacing w:line="225" w:lineRule="auto"/>
              <w:ind w:firstLine="196" w:firstLineChars="100"/>
              <w:jc w:val="both"/>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10</w:t>
            </w:r>
          </w:p>
        </w:tc>
        <w:tc>
          <w:tcPr>
            <w:tcW w:w="873" w:type="dxa"/>
            <w:tcBorders>
              <w:top w:val="single" w:color="000000" w:sz="2" w:space="0"/>
              <w:bottom w:val="single" w:color="000000" w:sz="2" w:space="0"/>
            </w:tcBorders>
            <w:noWrap w:val="0"/>
            <w:vAlign w:val="center"/>
          </w:tcPr>
          <w:p>
            <w:pPr>
              <w:spacing w:line="225" w:lineRule="auto"/>
              <w:ind w:firstLine="392" w:firstLineChars="200"/>
              <w:jc w:val="both"/>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10</w:t>
            </w:r>
          </w:p>
        </w:tc>
        <w:tc>
          <w:tcPr>
            <w:tcW w:w="1450" w:type="dxa"/>
            <w:tcBorders>
              <w:top w:val="single" w:color="000000" w:sz="2" w:space="0"/>
              <w:bottom w:val="single" w:color="000000" w:sz="2" w:space="0"/>
            </w:tcBorders>
            <w:noWrap w:val="0"/>
            <w:vAlign w:val="top"/>
          </w:tcPr>
          <w:p>
            <w:pPr>
              <w:pStyle w:val="10"/>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000000" w:sz="2" w:space="0"/>
              <w:bottom w:val="single" w:color="000000" w:sz="2" w:space="0"/>
            </w:tcBorders>
            <w:noWrap w:val="0"/>
            <w:textDirection w:val="tbRlV"/>
            <w:vAlign w:val="top"/>
          </w:tcPr>
          <w:p>
            <w:pPr>
              <w:pStyle w:val="10"/>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top"/>
          </w:tcPr>
          <w:p>
            <w:pPr>
              <w:pStyle w:val="10"/>
              <w:rPr>
                <w:rFonts w:hint="eastAsia" w:ascii="宋体" w:hAnsi="宋体" w:eastAsia="宋体" w:cs="宋体"/>
              </w:rPr>
            </w:pPr>
          </w:p>
        </w:tc>
        <w:tc>
          <w:tcPr>
            <w:tcW w:w="1034" w:type="dxa"/>
            <w:tcBorders>
              <w:top w:val="single" w:color="000000" w:sz="2" w:space="0"/>
              <w:bottom w:val="single" w:color="000000" w:sz="2" w:space="0"/>
            </w:tcBorders>
            <w:noWrap w:val="0"/>
            <w:vAlign w:val="top"/>
          </w:tcPr>
          <w:p>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000000" w:sz="2" w:space="0"/>
              <w:bottom w:val="single" w:color="000000" w:sz="2" w:space="0"/>
            </w:tcBorders>
            <w:noWrap w:val="0"/>
            <w:vAlign w:val="center"/>
          </w:tcPr>
          <w:p>
            <w:pPr>
              <w:spacing w:line="225" w:lineRule="auto"/>
              <w:jc w:val="center"/>
              <w:rPr>
                <w:rFonts w:hint="eastAsia" w:ascii="宋体" w:hAnsi="宋体" w:eastAsia="宋体" w:cs="宋体"/>
                <w:spacing w:val="3"/>
                <w:sz w:val="16"/>
                <w:szCs w:val="16"/>
              </w:rPr>
            </w:pPr>
            <w:r>
              <w:rPr>
                <w:rFonts w:hint="eastAsia" w:ascii="宋体" w:hAnsi="宋体" w:eastAsia="宋体" w:cs="宋体"/>
                <w:spacing w:val="3"/>
                <w:sz w:val="16"/>
                <w:szCs w:val="16"/>
                <w:lang w:val="en-US" w:eastAsia="zh-CN"/>
              </w:rPr>
              <w:t>将安全生产和应急管理培训纳入党校各级主体班教学内容</w:t>
            </w:r>
          </w:p>
        </w:tc>
        <w:tc>
          <w:tcPr>
            <w:tcW w:w="1310" w:type="dxa"/>
            <w:tcBorders>
              <w:top w:val="single" w:color="000000" w:sz="2" w:space="0"/>
              <w:bottom w:val="single" w:color="000000" w:sz="2" w:space="0"/>
            </w:tcBorders>
            <w:noWrap w:val="0"/>
            <w:vAlign w:val="center"/>
          </w:tcPr>
          <w:p>
            <w:pPr>
              <w:spacing w:line="225" w:lineRule="auto"/>
              <w:ind w:left="232"/>
              <w:jc w:val="center"/>
              <w:rPr>
                <w:rFonts w:hint="default"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2023年</w:t>
            </w:r>
          </w:p>
        </w:tc>
        <w:tc>
          <w:tcPr>
            <w:tcW w:w="1268" w:type="dxa"/>
            <w:tcBorders>
              <w:top w:val="single" w:color="000000" w:sz="2" w:space="0"/>
              <w:bottom w:val="single" w:color="000000" w:sz="2" w:space="0"/>
            </w:tcBorders>
            <w:noWrap w:val="0"/>
            <w:vAlign w:val="center"/>
          </w:tcPr>
          <w:p>
            <w:pPr>
              <w:spacing w:line="225" w:lineRule="auto"/>
              <w:ind w:left="232"/>
              <w:jc w:val="center"/>
              <w:rPr>
                <w:rFonts w:hint="default"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完成</w:t>
            </w:r>
          </w:p>
        </w:tc>
        <w:tc>
          <w:tcPr>
            <w:tcW w:w="716" w:type="dxa"/>
            <w:tcBorders>
              <w:top w:val="single" w:color="000000" w:sz="2" w:space="0"/>
              <w:bottom w:val="single" w:color="000000" w:sz="2" w:space="0"/>
            </w:tcBorders>
            <w:noWrap w:val="0"/>
            <w:vAlign w:val="center"/>
          </w:tcPr>
          <w:p>
            <w:pPr>
              <w:spacing w:line="225" w:lineRule="auto"/>
              <w:ind w:left="232"/>
              <w:jc w:val="both"/>
              <w:rPr>
                <w:rFonts w:hint="default"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10</w:t>
            </w:r>
          </w:p>
        </w:tc>
        <w:tc>
          <w:tcPr>
            <w:tcW w:w="873" w:type="dxa"/>
            <w:tcBorders>
              <w:top w:val="single" w:color="000000" w:sz="2" w:space="0"/>
              <w:bottom w:val="single" w:color="000000" w:sz="2" w:space="0"/>
            </w:tcBorders>
            <w:noWrap w:val="0"/>
            <w:vAlign w:val="center"/>
          </w:tcPr>
          <w:p>
            <w:pPr>
              <w:spacing w:line="225" w:lineRule="auto"/>
              <w:ind w:left="232" w:firstLine="196" w:firstLineChars="100"/>
              <w:jc w:val="both"/>
              <w:rPr>
                <w:rFonts w:hint="default"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10</w:t>
            </w:r>
          </w:p>
        </w:tc>
        <w:tc>
          <w:tcPr>
            <w:tcW w:w="1450" w:type="dxa"/>
            <w:tcBorders>
              <w:top w:val="single" w:color="000000" w:sz="2" w:space="0"/>
              <w:bottom w:val="single" w:color="000000" w:sz="2" w:space="0"/>
            </w:tcBorders>
            <w:noWrap w:val="0"/>
            <w:vAlign w:val="top"/>
          </w:tcPr>
          <w:p>
            <w:pPr>
              <w:pStyle w:val="1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val="0"/>
            <w:textDirection w:val="tbRlV"/>
            <w:vAlign w:val="top"/>
          </w:tcPr>
          <w:p>
            <w:pPr>
              <w:pStyle w:val="10"/>
              <w:rPr>
                <w:rFonts w:hint="eastAsia" w:ascii="宋体" w:hAnsi="宋体" w:eastAsia="宋体" w:cs="宋体"/>
              </w:rPr>
            </w:pPr>
          </w:p>
        </w:tc>
        <w:tc>
          <w:tcPr>
            <w:tcW w:w="1079" w:type="dxa"/>
            <w:tcBorders>
              <w:top w:val="single" w:color="000000" w:sz="2" w:space="0"/>
              <w:bottom w:val="single" w:color="000000" w:sz="2"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000000" w:sz="2" w:space="0"/>
              <w:bottom w:val="single" w:color="000000" w:sz="2"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000000" w:sz="2" w:space="0"/>
              <w:bottom w:val="single" w:color="000000" w:sz="2" w:space="0"/>
            </w:tcBorders>
            <w:noWrap w:val="0"/>
            <w:vAlign w:val="center"/>
          </w:tcPr>
          <w:p>
            <w:pPr>
              <w:spacing w:before="7" w:line="226" w:lineRule="auto"/>
              <w:ind w:left="129"/>
              <w:rPr>
                <w:rFonts w:hint="eastAsia" w:ascii="宋体" w:hAnsi="宋体" w:eastAsia="宋体" w:cs="宋体"/>
                <w:spacing w:val="5"/>
                <w:sz w:val="16"/>
                <w:szCs w:val="16"/>
                <w:lang w:val="en-US" w:eastAsia="zh-CN"/>
              </w:rPr>
            </w:pPr>
            <w:r>
              <w:rPr>
                <w:rFonts w:hint="eastAsia" w:ascii="宋体" w:hAnsi="宋体" w:eastAsia="宋体" w:cs="宋体"/>
                <w:spacing w:val="5"/>
                <w:sz w:val="16"/>
                <w:szCs w:val="16"/>
                <w:lang w:val="en-US" w:eastAsia="zh-CN"/>
              </w:rPr>
              <w:t>企业及广大居民满意度</w:t>
            </w:r>
          </w:p>
        </w:tc>
        <w:tc>
          <w:tcPr>
            <w:tcW w:w="1310" w:type="dxa"/>
            <w:tcBorders>
              <w:top w:val="single" w:color="000000" w:sz="2" w:space="0"/>
              <w:bottom w:val="single" w:color="000000" w:sz="2" w:space="0"/>
            </w:tcBorders>
            <w:noWrap w:val="0"/>
            <w:vAlign w:val="center"/>
          </w:tcPr>
          <w:p>
            <w:pPr>
              <w:spacing w:before="7" w:line="226" w:lineRule="auto"/>
              <w:ind w:left="129"/>
              <w:jc w:val="center"/>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90%</w:t>
            </w:r>
          </w:p>
        </w:tc>
        <w:tc>
          <w:tcPr>
            <w:tcW w:w="1268" w:type="dxa"/>
            <w:tcBorders>
              <w:top w:val="single" w:color="000000" w:sz="2" w:space="0"/>
              <w:bottom w:val="single" w:color="000000" w:sz="2" w:space="0"/>
            </w:tcBorders>
            <w:noWrap w:val="0"/>
            <w:vAlign w:val="center"/>
          </w:tcPr>
          <w:p>
            <w:pPr>
              <w:spacing w:before="7" w:line="226" w:lineRule="auto"/>
              <w:ind w:left="129"/>
              <w:jc w:val="center"/>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90%</w:t>
            </w:r>
          </w:p>
        </w:tc>
        <w:tc>
          <w:tcPr>
            <w:tcW w:w="716" w:type="dxa"/>
            <w:tcBorders>
              <w:top w:val="single" w:color="000000" w:sz="2" w:space="0"/>
              <w:bottom w:val="single" w:color="000000" w:sz="2" w:space="0"/>
            </w:tcBorders>
            <w:noWrap w:val="0"/>
            <w:vAlign w:val="center"/>
          </w:tcPr>
          <w:p>
            <w:pPr>
              <w:spacing w:before="7" w:line="226" w:lineRule="auto"/>
              <w:ind w:left="129"/>
              <w:jc w:val="center"/>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w:t>
            </w:r>
          </w:p>
        </w:tc>
        <w:tc>
          <w:tcPr>
            <w:tcW w:w="873" w:type="dxa"/>
            <w:tcBorders>
              <w:top w:val="single" w:color="000000" w:sz="2" w:space="0"/>
              <w:bottom w:val="single" w:color="000000" w:sz="2" w:space="0"/>
            </w:tcBorders>
            <w:noWrap w:val="0"/>
            <w:vAlign w:val="center"/>
          </w:tcPr>
          <w:p>
            <w:pPr>
              <w:spacing w:before="7" w:line="226" w:lineRule="auto"/>
              <w:ind w:left="129"/>
              <w:jc w:val="center"/>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w:t>
            </w:r>
          </w:p>
        </w:tc>
        <w:tc>
          <w:tcPr>
            <w:tcW w:w="1450" w:type="dxa"/>
            <w:tcBorders>
              <w:top w:val="single" w:color="000000" w:sz="2" w:space="0"/>
              <w:bottom w:val="single" w:color="000000" w:sz="2" w:space="0"/>
            </w:tcBorders>
            <w:noWrap w:val="0"/>
            <w:vAlign w:val="top"/>
          </w:tcPr>
          <w:p>
            <w:pPr>
              <w:spacing w:before="7" w:line="226" w:lineRule="auto"/>
              <w:ind w:left="129"/>
              <w:rPr>
                <w:rFonts w:hint="eastAsia" w:ascii="宋体" w:hAnsi="宋体" w:eastAsia="宋体" w:cs="宋体"/>
                <w:spacing w:val="5"/>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000000" w:sz="2" w:space="0"/>
            </w:tcBorders>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000000" w:sz="2" w:space="0"/>
            </w:tcBorders>
            <w:noWrap w:val="0"/>
            <w:vAlign w:val="top"/>
          </w:tcPr>
          <w:p>
            <w:pPr>
              <w:spacing w:before="75" w:line="195" w:lineRule="auto"/>
              <w:ind w:left="230"/>
              <w:rPr>
                <w:rFonts w:hint="default" w:ascii="宋体" w:hAnsi="宋体" w:eastAsia="宋体" w:cs="宋体"/>
                <w:sz w:val="19"/>
                <w:szCs w:val="19"/>
                <w:lang w:val="en-US" w:eastAsia="zh-CN"/>
              </w:rPr>
            </w:pPr>
            <w:r>
              <w:rPr>
                <w:rFonts w:hint="eastAsia" w:ascii="宋体" w:hAnsi="宋体" w:eastAsia="宋体" w:cs="宋体"/>
                <w:spacing w:val="-4"/>
                <w:sz w:val="19"/>
                <w:szCs w:val="19"/>
                <w:lang w:val="en-US" w:eastAsia="zh-CN"/>
              </w:rPr>
              <w:t>100</w:t>
            </w:r>
          </w:p>
        </w:tc>
        <w:tc>
          <w:tcPr>
            <w:tcW w:w="873" w:type="dxa"/>
            <w:tcBorders>
              <w:top w:val="single" w:color="000000" w:sz="2" w:space="0"/>
            </w:tcBorders>
            <w:noWrap w:val="0"/>
            <w:vAlign w:val="top"/>
          </w:tcPr>
          <w:p>
            <w:pPr>
              <w:pStyle w:val="10"/>
              <w:ind w:firstLine="210" w:firstLineChars="100"/>
              <w:rPr>
                <w:rFonts w:hint="default" w:ascii="宋体" w:hAnsi="宋体" w:eastAsia="宋体" w:cs="宋体"/>
                <w:lang w:val="en-US" w:eastAsia="zh-CN"/>
              </w:rPr>
            </w:pPr>
            <w:r>
              <w:rPr>
                <w:rFonts w:hint="eastAsia" w:ascii="宋体" w:hAnsi="宋体" w:eastAsia="宋体" w:cs="宋体"/>
                <w:lang w:val="en-US" w:eastAsia="zh-CN"/>
              </w:rPr>
              <w:t>100</w:t>
            </w:r>
          </w:p>
        </w:tc>
        <w:tc>
          <w:tcPr>
            <w:tcW w:w="1450" w:type="dxa"/>
            <w:tcBorders>
              <w:top w:val="single" w:color="000000" w:sz="2" w:space="0"/>
            </w:tcBorders>
            <w:noWrap w:val="0"/>
            <w:vAlign w:val="top"/>
          </w:tcPr>
          <w:p>
            <w:pPr>
              <w:pStyle w:val="10"/>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10"/>
              <w:rPr>
                <w:rFonts w:hint="default" w:ascii="宋体" w:hAnsi="宋体" w:eastAsia="宋体" w:cs="宋体"/>
                <w:lang w:val="en-US" w:eastAsia="zh-CN"/>
              </w:rPr>
            </w:pPr>
            <w:r>
              <w:rPr>
                <w:rFonts w:hint="eastAsia" w:ascii="宋体" w:hAnsi="宋体" w:eastAsia="宋体" w:cs="宋体"/>
                <w:lang w:val="en-US" w:eastAsia="zh-CN"/>
              </w:rPr>
              <w:t>业务工作经费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10"/>
              <w:rPr>
                <w:rFonts w:hint="default" w:ascii="宋体" w:hAnsi="宋体" w:eastAsia="宋体" w:cs="宋体"/>
                <w:lang w:val="en-US" w:eastAsia="zh-CN"/>
              </w:rPr>
            </w:pPr>
            <w:r>
              <w:rPr>
                <w:rFonts w:hint="eastAsia" w:ascii="宋体" w:hAnsi="宋体" w:eastAsia="宋体" w:cs="宋体"/>
                <w:lang w:val="en-US" w:eastAsia="zh-CN"/>
              </w:rPr>
              <w:t>岳阳楼区政府</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pStyle w:val="10"/>
              <w:rPr>
                <w:rFonts w:hint="default" w:ascii="宋体" w:hAnsi="宋体" w:eastAsia="宋体" w:cs="宋体"/>
                <w:lang w:val="en-US" w:eastAsia="zh-CN"/>
              </w:rPr>
            </w:pPr>
            <w:r>
              <w:rPr>
                <w:rFonts w:hint="eastAsia" w:ascii="宋体" w:hAnsi="宋体" w:eastAsia="宋体" w:cs="宋体"/>
                <w:lang w:val="en-US" w:eastAsia="zh-CN"/>
              </w:rPr>
              <w:t>岳阳楼区应急局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10"/>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10"/>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pStyle w:val="10"/>
              <w:jc w:val="center"/>
              <w:rPr>
                <w:rFonts w:hint="default" w:ascii="宋体" w:hAnsi="宋体" w:eastAsia="宋体" w:cs="宋体"/>
                <w:lang w:val="en-US" w:eastAsia="zh-CN"/>
              </w:rPr>
            </w:pPr>
            <w:r>
              <w:rPr>
                <w:rFonts w:hint="eastAsia" w:ascii="宋体" w:hAnsi="宋体" w:eastAsia="宋体" w:cs="宋体"/>
                <w:lang w:val="en-US" w:eastAsia="zh-CN"/>
              </w:rPr>
              <w:t>83</w:t>
            </w:r>
          </w:p>
        </w:tc>
        <w:tc>
          <w:tcPr>
            <w:tcW w:w="1244" w:type="dxa"/>
            <w:noWrap w:val="0"/>
            <w:vAlign w:val="top"/>
          </w:tcPr>
          <w:p>
            <w:pPr>
              <w:pStyle w:val="10"/>
              <w:jc w:val="center"/>
              <w:rPr>
                <w:rFonts w:hint="default" w:ascii="宋体" w:hAnsi="宋体" w:eastAsia="宋体" w:cs="宋体"/>
                <w:lang w:val="en-US" w:eastAsia="zh-CN"/>
              </w:rPr>
            </w:pPr>
            <w:r>
              <w:rPr>
                <w:rFonts w:hint="eastAsia" w:ascii="宋体" w:hAnsi="宋体" w:eastAsia="宋体" w:cs="宋体"/>
                <w:lang w:val="en-US" w:eastAsia="zh-CN"/>
              </w:rPr>
              <w:t>74.99</w:t>
            </w:r>
          </w:p>
        </w:tc>
        <w:tc>
          <w:tcPr>
            <w:tcW w:w="1281" w:type="dxa"/>
            <w:noWrap w:val="0"/>
            <w:vAlign w:val="top"/>
          </w:tcPr>
          <w:p>
            <w:pPr>
              <w:pStyle w:val="10"/>
              <w:jc w:val="center"/>
              <w:rPr>
                <w:rFonts w:hint="default" w:ascii="宋体" w:hAnsi="宋体" w:eastAsia="宋体" w:cs="宋体"/>
                <w:lang w:val="en-US" w:eastAsia="zh-CN"/>
              </w:rPr>
            </w:pPr>
            <w:r>
              <w:rPr>
                <w:rFonts w:hint="eastAsia" w:ascii="宋体" w:hAnsi="宋体" w:eastAsia="宋体" w:cs="宋体"/>
                <w:lang w:val="en-US" w:eastAsia="zh-CN"/>
              </w:rPr>
              <w:t>74.99</w:t>
            </w:r>
          </w:p>
        </w:tc>
        <w:tc>
          <w:tcPr>
            <w:tcW w:w="673" w:type="dxa"/>
            <w:noWrap w:val="0"/>
            <w:vAlign w:val="top"/>
          </w:tcPr>
          <w:p>
            <w:pPr>
              <w:spacing w:before="64" w:line="195" w:lineRule="auto"/>
              <w:ind w:firstLine="174" w:firstLineChars="100"/>
              <w:jc w:val="both"/>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pStyle w:val="10"/>
              <w:jc w:val="center"/>
              <w:rPr>
                <w:rFonts w:hint="default" w:ascii="宋体" w:hAnsi="宋体" w:eastAsia="宋体" w:cs="宋体"/>
                <w:lang w:val="en-US" w:eastAsia="zh-CN"/>
              </w:rPr>
            </w:pPr>
            <w:r>
              <w:rPr>
                <w:rFonts w:hint="eastAsia" w:ascii="宋体" w:hAnsi="宋体" w:eastAsia="宋体" w:cs="宋体"/>
                <w:lang w:val="en-US" w:eastAsia="zh-CN"/>
              </w:rPr>
              <w:t>90%</w:t>
            </w:r>
          </w:p>
        </w:tc>
        <w:tc>
          <w:tcPr>
            <w:tcW w:w="1422" w:type="dxa"/>
            <w:noWrap w:val="0"/>
            <w:vAlign w:val="top"/>
          </w:tcPr>
          <w:p>
            <w:pPr>
              <w:pStyle w:val="10"/>
              <w:jc w:val="center"/>
              <w:rPr>
                <w:rFonts w:hint="default"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10"/>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pStyle w:val="10"/>
              <w:jc w:val="center"/>
              <w:rPr>
                <w:rFonts w:hint="default" w:ascii="宋体" w:hAnsi="宋体" w:eastAsia="宋体" w:cs="宋体"/>
                <w:lang w:val="en-US" w:eastAsia="zh-CN"/>
              </w:rPr>
            </w:pPr>
            <w:r>
              <w:rPr>
                <w:rFonts w:hint="eastAsia" w:ascii="宋体" w:hAnsi="宋体" w:eastAsia="宋体" w:cs="宋体"/>
                <w:lang w:val="en-US" w:eastAsia="zh-CN"/>
              </w:rPr>
              <w:t>83</w:t>
            </w:r>
          </w:p>
        </w:tc>
        <w:tc>
          <w:tcPr>
            <w:tcW w:w="1244" w:type="dxa"/>
            <w:noWrap w:val="0"/>
            <w:vAlign w:val="top"/>
          </w:tcPr>
          <w:p>
            <w:pPr>
              <w:pStyle w:val="10"/>
              <w:jc w:val="center"/>
              <w:rPr>
                <w:rFonts w:hint="default" w:ascii="宋体" w:hAnsi="宋体" w:eastAsia="宋体" w:cs="宋体"/>
                <w:lang w:val="en-US" w:eastAsia="zh-CN"/>
              </w:rPr>
            </w:pPr>
            <w:r>
              <w:rPr>
                <w:rFonts w:hint="eastAsia" w:ascii="宋体" w:hAnsi="宋体" w:eastAsia="宋体" w:cs="宋体"/>
                <w:lang w:val="en-US" w:eastAsia="zh-CN"/>
              </w:rPr>
              <w:t>74.99</w:t>
            </w:r>
          </w:p>
        </w:tc>
        <w:tc>
          <w:tcPr>
            <w:tcW w:w="1281" w:type="dxa"/>
            <w:noWrap w:val="0"/>
            <w:vAlign w:val="top"/>
          </w:tcPr>
          <w:p>
            <w:pPr>
              <w:pStyle w:val="10"/>
              <w:jc w:val="center"/>
              <w:rPr>
                <w:rFonts w:hint="default" w:ascii="宋体" w:hAnsi="宋体" w:eastAsia="宋体" w:cs="宋体"/>
                <w:lang w:val="en-US" w:eastAsia="zh-CN"/>
              </w:rPr>
            </w:pPr>
            <w:r>
              <w:rPr>
                <w:rFonts w:hint="eastAsia" w:ascii="宋体" w:hAnsi="宋体" w:eastAsia="宋体" w:cs="宋体"/>
                <w:lang w:val="en-US" w:eastAsia="zh-CN"/>
              </w:rPr>
              <w:t>74.99</w:t>
            </w:r>
          </w:p>
        </w:tc>
        <w:tc>
          <w:tcPr>
            <w:tcW w:w="673" w:type="dxa"/>
            <w:noWrap w:val="0"/>
            <w:vAlign w:val="top"/>
          </w:tcPr>
          <w:p>
            <w:pPr>
              <w:pStyle w:val="10"/>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pPr>
              <w:pStyle w:val="10"/>
              <w:jc w:val="center"/>
              <w:rPr>
                <w:rFonts w:hint="default" w:ascii="宋体" w:hAnsi="宋体" w:eastAsia="宋体" w:cs="宋体"/>
                <w:lang w:val="en-US" w:eastAsia="zh-CN"/>
              </w:rPr>
            </w:pPr>
            <w:r>
              <w:rPr>
                <w:rFonts w:hint="eastAsia" w:ascii="宋体" w:hAnsi="宋体" w:eastAsia="宋体" w:cs="宋体"/>
                <w:lang w:val="en-US" w:eastAsia="zh-CN"/>
              </w:rPr>
              <w:t>90%</w:t>
            </w:r>
          </w:p>
        </w:tc>
        <w:tc>
          <w:tcPr>
            <w:tcW w:w="1422" w:type="dxa"/>
            <w:noWrap w:val="0"/>
            <w:vAlign w:val="top"/>
          </w:tcPr>
          <w:p>
            <w:pPr>
              <w:pStyle w:val="10"/>
              <w:jc w:val="center"/>
              <w:rPr>
                <w:rFonts w:hint="default"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10"/>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10"/>
              <w:rPr>
                <w:rFonts w:hint="eastAsia" w:ascii="宋体" w:hAnsi="宋体" w:eastAsia="宋体" w:cs="宋体"/>
              </w:rPr>
            </w:pPr>
          </w:p>
        </w:tc>
        <w:tc>
          <w:tcPr>
            <w:tcW w:w="1244" w:type="dxa"/>
            <w:noWrap w:val="0"/>
            <w:vAlign w:val="top"/>
          </w:tcPr>
          <w:p>
            <w:pPr>
              <w:pStyle w:val="10"/>
              <w:rPr>
                <w:rFonts w:hint="eastAsia" w:ascii="宋体" w:hAnsi="宋体" w:eastAsia="宋体" w:cs="宋体"/>
              </w:rPr>
            </w:pPr>
          </w:p>
        </w:tc>
        <w:tc>
          <w:tcPr>
            <w:tcW w:w="1281" w:type="dxa"/>
            <w:noWrap w:val="0"/>
            <w:vAlign w:val="top"/>
          </w:tcPr>
          <w:p>
            <w:pPr>
              <w:pStyle w:val="10"/>
              <w:rPr>
                <w:rFonts w:hint="eastAsia" w:ascii="宋体" w:hAnsi="宋体" w:eastAsia="宋体" w:cs="宋体"/>
              </w:rPr>
            </w:pPr>
          </w:p>
        </w:tc>
        <w:tc>
          <w:tcPr>
            <w:tcW w:w="673" w:type="dxa"/>
            <w:noWrap w:val="0"/>
            <w:vAlign w:val="top"/>
          </w:tcPr>
          <w:p>
            <w:pPr>
              <w:pStyle w:val="10"/>
              <w:rPr>
                <w:rFonts w:hint="eastAsia" w:ascii="宋体" w:hAnsi="宋体" w:eastAsia="宋体" w:cs="宋体"/>
              </w:rPr>
            </w:pPr>
          </w:p>
        </w:tc>
        <w:tc>
          <w:tcPr>
            <w:tcW w:w="873" w:type="dxa"/>
            <w:noWrap w:val="0"/>
            <w:vAlign w:val="top"/>
          </w:tcPr>
          <w:p>
            <w:pPr>
              <w:pStyle w:val="10"/>
              <w:rPr>
                <w:rFonts w:hint="eastAsia" w:ascii="宋体" w:hAnsi="宋体" w:eastAsia="宋体" w:cs="宋体"/>
              </w:rPr>
            </w:pPr>
          </w:p>
        </w:tc>
        <w:tc>
          <w:tcPr>
            <w:tcW w:w="1422" w:type="dxa"/>
            <w:noWrap w:val="0"/>
            <w:vAlign w:val="top"/>
          </w:tcPr>
          <w:p>
            <w:pPr>
              <w:pStyle w:val="1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10"/>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10"/>
              <w:rPr>
                <w:rFonts w:hint="eastAsia" w:ascii="宋体" w:hAnsi="宋体" w:eastAsia="宋体" w:cs="宋体"/>
              </w:rPr>
            </w:pPr>
          </w:p>
        </w:tc>
        <w:tc>
          <w:tcPr>
            <w:tcW w:w="1244" w:type="dxa"/>
            <w:noWrap w:val="0"/>
            <w:vAlign w:val="top"/>
          </w:tcPr>
          <w:p>
            <w:pPr>
              <w:pStyle w:val="10"/>
              <w:rPr>
                <w:rFonts w:hint="eastAsia" w:ascii="宋体" w:hAnsi="宋体" w:eastAsia="宋体" w:cs="宋体"/>
              </w:rPr>
            </w:pPr>
          </w:p>
        </w:tc>
        <w:tc>
          <w:tcPr>
            <w:tcW w:w="1281" w:type="dxa"/>
            <w:noWrap w:val="0"/>
            <w:vAlign w:val="top"/>
          </w:tcPr>
          <w:p>
            <w:pPr>
              <w:pStyle w:val="10"/>
              <w:rPr>
                <w:rFonts w:hint="eastAsia" w:ascii="宋体" w:hAnsi="宋体" w:eastAsia="宋体" w:cs="宋体"/>
              </w:rPr>
            </w:pPr>
          </w:p>
        </w:tc>
        <w:tc>
          <w:tcPr>
            <w:tcW w:w="673" w:type="dxa"/>
            <w:noWrap w:val="0"/>
            <w:vAlign w:val="top"/>
          </w:tcPr>
          <w:p>
            <w:pPr>
              <w:pStyle w:val="10"/>
              <w:rPr>
                <w:rFonts w:hint="eastAsia" w:ascii="宋体" w:hAnsi="宋体" w:eastAsia="宋体" w:cs="宋体"/>
              </w:rPr>
            </w:pPr>
          </w:p>
        </w:tc>
        <w:tc>
          <w:tcPr>
            <w:tcW w:w="873" w:type="dxa"/>
            <w:noWrap w:val="0"/>
            <w:vAlign w:val="top"/>
          </w:tcPr>
          <w:p>
            <w:pPr>
              <w:pStyle w:val="10"/>
              <w:rPr>
                <w:rFonts w:hint="eastAsia" w:ascii="宋体" w:hAnsi="宋体" w:eastAsia="宋体" w:cs="宋体"/>
              </w:rPr>
            </w:pPr>
          </w:p>
        </w:tc>
        <w:tc>
          <w:tcPr>
            <w:tcW w:w="1422" w:type="dxa"/>
            <w:noWrap w:val="0"/>
            <w:vAlign w:val="top"/>
          </w:tcPr>
          <w:p>
            <w:pPr>
              <w:pStyle w:val="1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10"/>
              <w:rPr>
                <w:rFonts w:hint="eastAsia" w:ascii="宋体" w:hAnsi="宋体" w:eastAsia="宋体" w:cs="宋体"/>
              </w:rPr>
            </w:pPr>
          </w:p>
        </w:tc>
        <w:tc>
          <w:tcPr>
            <w:tcW w:w="4522" w:type="dxa"/>
            <w:gridSpan w:val="4"/>
            <w:noWrap w:val="0"/>
            <w:vAlign w:val="top"/>
          </w:tcPr>
          <w:p>
            <w:pPr>
              <w:spacing w:before="61" w:line="241" w:lineRule="auto"/>
              <w:ind w:right="141"/>
              <w:jc w:val="both"/>
              <w:rPr>
                <w:rFonts w:hint="eastAsia" w:ascii="宋体" w:hAnsi="宋体" w:cs="宋体"/>
                <w:sz w:val="19"/>
                <w:szCs w:val="19"/>
                <w:lang w:val="en-US" w:eastAsia="zh-CN"/>
              </w:rPr>
            </w:pPr>
            <w:r>
              <w:rPr>
                <w:rFonts w:hint="eastAsia" w:ascii="宋体" w:hAnsi="宋体" w:cs="宋体"/>
                <w:sz w:val="19"/>
                <w:szCs w:val="19"/>
                <w:lang w:val="en-US" w:eastAsia="zh-CN"/>
              </w:rPr>
              <w:t>1.完成年度罚没任务</w:t>
            </w:r>
          </w:p>
          <w:p>
            <w:pPr>
              <w:spacing w:before="61" w:line="241" w:lineRule="auto"/>
              <w:ind w:right="141"/>
              <w:jc w:val="both"/>
              <w:rPr>
                <w:rFonts w:hint="default" w:ascii="宋体" w:hAnsi="宋体" w:cs="宋体"/>
                <w:sz w:val="19"/>
                <w:szCs w:val="19"/>
                <w:lang w:val="en-US" w:eastAsia="zh-CN"/>
              </w:rPr>
            </w:pPr>
            <w:r>
              <w:rPr>
                <w:rFonts w:hint="eastAsia" w:ascii="宋体" w:hAnsi="宋体" w:cs="宋体"/>
                <w:sz w:val="19"/>
                <w:szCs w:val="19"/>
                <w:lang w:val="en-US" w:eastAsia="zh-CN"/>
              </w:rPr>
              <w:t>2.开展“安全宣传月”“防灾减灾日”等宣传活动</w:t>
            </w:r>
          </w:p>
          <w:p>
            <w:pPr>
              <w:spacing w:before="61" w:line="241" w:lineRule="auto"/>
              <w:ind w:right="141"/>
              <w:jc w:val="both"/>
              <w:rPr>
                <w:rFonts w:hint="default" w:ascii="宋体" w:hAnsi="宋体" w:cs="宋体"/>
                <w:sz w:val="19"/>
                <w:szCs w:val="19"/>
                <w:lang w:val="en-US" w:eastAsia="zh-CN"/>
              </w:rPr>
            </w:pPr>
            <w:r>
              <w:rPr>
                <w:rFonts w:hint="eastAsia" w:ascii="宋体" w:hAnsi="宋体" w:cs="宋体"/>
                <w:sz w:val="19"/>
                <w:szCs w:val="19"/>
                <w:lang w:val="en-US" w:eastAsia="zh-CN"/>
              </w:rPr>
              <w:t>3.加强应急救援队伍建设</w:t>
            </w:r>
          </w:p>
        </w:tc>
        <w:tc>
          <w:tcPr>
            <w:tcW w:w="4249" w:type="dxa"/>
            <w:gridSpan w:val="4"/>
            <w:noWrap w:val="0"/>
            <w:vAlign w:val="center"/>
          </w:tcPr>
          <w:p>
            <w:pPr>
              <w:spacing w:before="61" w:line="241" w:lineRule="auto"/>
              <w:ind w:right="141"/>
              <w:jc w:val="center"/>
              <w:rPr>
                <w:rFonts w:hint="default" w:ascii="宋体" w:hAnsi="宋体" w:cs="宋体"/>
                <w:sz w:val="19"/>
                <w:szCs w:val="19"/>
                <w:lang w:val="en-US" w:eastAsia="zh-CN"/>
              </w:rPr>
            </w:pPr>
            <w:r>
              <w:rPr>
                <w:rFonts w:hint="eastAsia" w:ascii="宋体" w:hAnsi="宋体" w:cs="宋体"/>
                <w:sz w:val="19"/>
                <w:szCs w:val="19"/>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pStyle w:val="10"/>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0"/>
              <w:rPr>
                <w:rFonts w:hint="eastAsia" w:ascii="宋体" w:hAnsi="宋体" w:eastAsia="宋体" w:cs="宋体"/>
              </w:rPr>
            </w:pPr>
          </w:p>
        </w:tc>
        <w:tc>
          <w:tcPr>
            <w:tcW w:w="1079" w:type="dxa"/>
            <w:vMerge w:val="restart"/>
            <w:tcBorders>
              <w:bottom w:val="nil"/>
            </w:tcBorders>
            <w:noWrap w:val="0"/>
            <w:vAlign w:val="top"/>
          </w:tcPr>
          <w:p>
            <w:pPr>
              <w:pStyle w:val="10"/>
              <w:spacing w:line="256" w:lineRule="auto"/>
              <w:rPr>
                <w:rFonts w:hint="eastAsia" w:ascii="宋体" w:hAnsi="宋体" w:eastAsia="宋体" w:cs="宋体"/>
              </w:rPr>
            </w:pPr>
          </w:p>
          <w:p>
            <w:pPr>
              <w:pStyle w:val="10"/>
              <w:spacing w:line="256" w:lineRule="auto"/>
              <w:rPr>
                <w:rFonts w:hint="eastAsia" w:ascii="宋体" w:hAnsi="宋体" w:eastAsia="宋体" w:cs="宋体"/>
              </w:rPr>
            </w:pPr>
          </w:p>
          <w:p>
            <w:pPr>
              <w:pStyle w:val="10"/>
              <w:spacing w:line="256" w:lineRule="auto"/>
              <w:rPr>
                <w:rFonts w:hint="eastAsia" w:ascii="宋体" w:hAnsi="宋体" w:eastAsia="宋体" w:cs="宋体"/>
              </w:rPr>
            </w:pPr>
          </w:p>
          <w:p>
            <w:pPr>
              <w:pStyle w:val="10"/>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244" w:type="dxa"/>
            <w:noWrap w:val="0"/>
            <w:vAlign w:val="center"/>
          </w:tcPr>
          <w:p>
            <w:pPr>
              <w:pStyle w:val="10"/>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排查重大安全隐患个数</w:t>
            </w:r>
          </w:p>
        </w:tc>
        <w:tc>
          <w:tcPr>
            <w:tcW w:w="1244" w:type="dxa"/>
            <w:noWrap w:val="0"/>
            <w:vAlign w:val="center"/>
          </w:tcPr>
          <w:p>
            <w:pPr>
              <w:spacing w:before="62" w:line="450" w:lineRule="exact"/>
              <w:ind w:left="144" w:leftChars="0"/>
              <w:jc w:val="center"/>
              <w:rPr>
                <w:rFonts w:hint="default" w:ascii="宋体" w:hAnsi="宋体" w:eastAsia="宋体" w:cs="宋体"/>
                <w:spacing w:val="7"/>
                <w:kern w:val="2"/>
                <w:position w:val="19"/>
                <w:sz w:val="19"/>
                <w:szCs w:val="19"/>
                <w:lang w:val="en-US" w:eastAsia="zh-CN" w:bidi="ar-SA"/>
              </w:rPr>
            </w:pPr>
            <w:r>
              <w:rPr>
                <w:rFonts w:hint="default" w:ascii="宋体" w:hAnsi="宋体" w:eastAsia="宋体" w:cs="宋体"/>
                <w:spacing w:val="7"/>
                <w:position w:val="19"/>
                <w:sz w:val="19"/>
                <w:szCs w:val="19"/>
                <w:lang w:val="en-US" w:eastAsia="zh-CN"/>
              </w:rPr>
              <w:t>≤</w:t>
            </w:r>
            <w:r>
              <w:rPr>
                <w:rFonts w:hint="eastAsia" w:ascii="宋体" w:hAnsi="宋体" w:eastAsia="宋体" w:cs="宋体"/>
                <w:spacing w:val="7"/>
                <w:position w:val="19"/>
                <w:sz w:val="19"/>
                <w:szCs w:val="19"/>
                <w:lang w:val="en-US" w:eastAsia="zh-CN"/>
              </w:rPr>
              <w:t>2399个</w:t>
            </w:r>
          </w:p>
        </w:tc>
        <w:tc>
          <w:tcPr>
            <w:tcW w:w="1281" w:type="dxa"/>
            <w:noWrap w:val="0"/>
            <w:vAlign w:val="center"/>
          </w:tcPr>
          <w:p>
            <w:pPr>
              <w:spacing w:before="62" w:line="450" w:lineRule="exact"/>
              <w:ind w:left="144" w:leftChars="0"/>
              <w:jc w:val="center"/>
              <w:rPr>
                <w:rFonts w:hint="default" w:ascii="宋体" w:hAnsi="宋体" w:eastAsia="宋体" w:cs="宋体"/>
                <w:spacing w:val="7"/>
                <w:kern w:val="2"/>
                <w:position w:val="19"/>
                <w:sz w:val="19"/>
                <w:szCs w:val="19"/>
                <w:lang w:val="en-US" w:eastAsia="zh-CN" w:bidi="ar-SA"/>
              </w:rPr>
            </w:pPr>
            <w:r>
              <w:rPr>
                <w:rFonts w:hint="eastAsia" w:ascii="宋体" w:hAnsi="宋体" w:eastAsia="宋体" w:cs="宋体"/>
                <w:spacing w:val="7"/>
                <w:position w:val="19"/>
                <w:sz w:val="19"/>
                <w:szCs w:val="19"/>
                <w:lang w:val="en-US" w:eastAsia="zh-CN"/>
              </w:rPr>
              <w:t>2395个</w:t>
            </w:r>
          </w:p>
        </w:tc>
        <w:tc>
          <w:tcPr>
            <w:tcW w:w="673" w:type="dxa"/>
            <w:noWrap w:val="0"/>
            <w:vAlign w:val="center"/>
          </w:tcPr>
          <w:p>
            <w:pPr>
              <w:spacing w:before="62" w:line="450" w:lineRule="exact"/>
              <w:ind w:left="144" w:leftChars="0"/>
              <w:jc w:val="center"/>
              <w:rPr>
                <w:rFonts w:hint="default" w:ascii="宋体" w:hAnsi="宋体" w:eastAsia="宋体" w:cs="宋体"/>
                <w:spacing w:val="7"/>
                <w:kern w:val="2"/>
                <w:position w:val="19"/>
                <w:sz w:val="19"/>
                <w:szCs w:val="19"/>
                <w:lang w:val="en-US" w:eastAsia="zh-CN" w:bidi="ar-SA"/>
              </w:rPr>
            </w:pPr>
            <w:r>
              <w:rPr>
                <w:rFonts w:hint="eastAsia" w:ascii="宋体" w:hAnsi="宋体" w:eastAsia="宋体" w:cs="宋体"/>
                <w:spacing w:val="7"/>
                <w:position w:val="19"/>
                <w:sz w:val="19"/>
                <w:szCs w:val="19"/>
                <w:lang w:val="en-US" w:eastAsia="zh-CN"/>
              </w:rPr>
              <w:t>10</w:t>
            </w:r>
          </w:p>
        </w:tc>
        <w:tc>
          <w:tcPr>
            <w:tcW w:w="873" w:type="dxa"/>
            <w:noWrap w:val="0"/>
            <w:vAlign w:val="center"/>
          </w:tcPr>
          <w:p>
            <w:pPr>
              <w:spacing w:before="62" w:line="450" w:lineRule="exact"/>
              <w:ind w:left="144" w:leftChars="0"/>
              <w:jc w:val="center"/>
              <w:rPr>
                <w:rFonts w:hint="default" w:ascii="宋体" w:hAnsi="宋体" w:eastAsia="宋体" w:cs="宋体"/>
                <w:spacing w:val="7"/>
                <w:kern w:val="2"/>
                <w:position w:val="19"/>
                <w:sz w:val="19"/>
                <w:szCs w:val="19"/>
                <w:lang w:val="en-US" w:eastAsia="zh-CN" w:bidi="ar-SA"/>
              </w:rPr>
            </w:pPr>
            <w:r>
              <w:rPr>
                <w:rFonts w:hint="eastAsia" w:ascii="宋体" w:hAnsi="宋体" w:eastAsia="宋体" w:cs="宋体"/>
                <w:spacing w:val="7"/>
                <w:position w:val="19"/>
                <w:sz w:val="19"/>
                <w:szCs w:val="19"/>
                <w:lang w:val="en-US" w:eastAsia="zh-CN"/>
              </w:rPr>
              <w:t>10</w:t>
            </w:r>
          </w:p>
        </w:tc>
        <w:tc>
          <w:tcPr>
            <w:tcW w:w="1422" w:type="dxa"/>
            <w:noWrap w:val="0"/>
            <w:vAlign w:val="center"/>
          </w:tcPr>
          <w:p>
            <w:pPr>
              <w:pStyle w:val="10"/>
              <w:spacing w:line="235" w:lineRule="exact"/>
              <w:jc w:val="center"/>
              <w:rPr>
                <w:rFonts w:hint="eastAsia" w:ascii="宋体" w:hAnsi="宋体" w:eastAsia="宋体" w:cs="宋体"/>
                <w:kern w:val="2"/>
                <w:sz w:val="20"/>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0"/>
              <w:rPr>
                <w:rFonts w:hint="eastAsia" w:ascii="宋体" w:hAnsi="宋体" w:eastAsia="宋体" w:cs="宋体"/>
              </w:rPr>
            </w:pPr>
          </w:p>
        </w:tc>
        <w:tc>
          <w:tcPr>
            <w:tcW w:w="1079" w:type="dxa"/>
            <w:vMerge w:val="continue"/>
            <w:tcBorders>
              <w:top w:val="nil"/>
              <w:bottom w:val="nil"/>
            </w:tcBorders>
            <w:noWrap w:val="0"/>
            <w:vAlign w:val="top"/>
          </w:tcPr>
          <w:p>
            <w:pPr>
              <w:pStyle w:val="10"/>
              <w:rPr>
                <w:rFonts w:hint="eastAsia" w:ascii="宋体" w:hAnsi="宋体" w:eastAsia="宋体" w:cs="宋体"/>
              </w:rPr>
            </w:pPr>
          </w:p>
        </w:tc>
        <w:tc>
          <w:tcPr>
            <w:tcW w:w="955" w:type="dxa"/>
            <w:vMerge w:val="continue"/>
            <w:tcBorders>
              <w:top w:val="nil"/>
              <w:bottom w:val="nil"/>
            </w:tcBorders>
            <w:noWrap w:val="0"/>
            <w:vAlign w:val="top"/>
          </w:tcPr>
          <w:p>
            <w:pPr>
              <w:pStyle w:val="10"/>
              <w:rPr>
                <w:rFonts w:hint="eastAsia" w:ascii="宋体" w:hAnsi="宋体" w:eastAsia="宋体" w:cs="宋体"/>
              </w:rPr>
            </w:pPr>
          </w:p>
        </w:tc>
        <w:tc>
          <w:tcPr>
            <w:tcW w:w="1244" w:type="dxa"/>
            <w:noWrap w:val="0"/>
            <w:vAlign w:val="center"/>
          </w:tcPr>
          <w:p>
            <w:pPr>
              <w:pStyle w:val="10"/>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有效应对灾害天气</w:t>
            </w:r>
          </w:p>
        </w:tc>
        <w:tc>
          <w:tcPr>
            <w:tcW w:w="1244" w:type="dxa"/>
            <w:noWrap w:val="0"/>
            <w:vAlign w:val="center"/>
          </w:tcPr>
          <w:p>
            <w:pPr>
              <w:pStyle w:val="10"/>
              <w:spacing w:line="225" w:lineRule="exact"/>
              <w:jc w:val="center"/>
              <w:rPr>
                <w:rFonts w:hint="default" w:ascii="宋体" w:hAnsi="宋体" w:eastAsia="仿宋" w:cs="宋体"/>
                <w:sz w:val="19"/>
                <w:lang w:val="en-US" w:eastAsia="zh-CN"/>
              </w:rPr>
            </w:pPr>
            <w:r>
              <w:rPr>
                <w:rFonts w:hint="eastAsia" w:ascii="仿宋" w:hAnsi="仿宋" w:eastAsia="仿宋" w:cs="仿宋"/>
                <w:spacing w:val="7"/>
                <w:position w:val="19"/>
                <w:sz w:val="19"/>
                <w:szCs w:val="19"/>
                <w:lang w:val="en-US" w:eastAsia="zh-CN"/>
              </w:rPr>
              <w:t>≤</w:t>
            </w:r>
            <w:r>
              <w:rPr>
                <w:rFonts w:hint="eastAsia" w:ascii="仿宋" w:hAnsi="仿宋" w:eastAsia="仿宋" w:cs="仿宋"/>
                <w:sz w:val="19"/>
              </w:rPr>
              <w:t>≤</w:t>
            </w:r>
            <w:r>
              <w:rPr>
                <w:rFonts w:hint="eastAsia" w:ascii="仿宋" w:hAnsi="仿宋" w:eastAsia="仿宋" w:cs="仿宋"/>
                <w:sz w:val="19"/>
                <w:lang w:val="en-US" w:eastAsia="zh-CN"/>
              </w:rPr>
              <w:t>15轮</w:t>
            </w:r>
          </w:p>
        </w:tc>
        <w:tc>
          <w:tcPr>
            <w:tcW w:w="1281" w:type="dxa"/>
            <w:noWrap w:val="0"/>
            <w:vAlign w:val="center"/>
          </w:tcPr>
          <w:p>
            <w:pPr>
              <w:pStyle w:val="10"/>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=15轮</w:t>
            </w:r>
          </w:p>
        </w:tc>
        <w:tc>
          <w:tcPr>
            <w:tcW w:w="673" w:type="dxa"/>
            <w:noWrap w:val="0"/>
            <w:vAlign w:val="center"/>
          </w:tcPr>
          <w:p>
            <w:pPr>
              <w:pStyle w:val="10"/>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pPr>
              <w:pStyle w:val="10"/>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center"/>
          </w:tcPr>
          <w:p>
            <w:pPr>
              <w:pStyle w:val="10"/>
              <w:spacing w:line="225" w:lineRule="exact"/>
              <w:jc w:val="center"/>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0"/>
              <w:rPr>
                <w:rFonts w:hint="eastAsia" w:ascii="宋体" w:hAnsi="宋体" w:eastAsia="宋体" w:cs="宋体"/>
              </w:rPr>
            </w:pPr>
          </w:p>
        </w:tc>
        <w:tc>
          <w:tcPr>
            <w:tcW w:w="1079" w:type="dxa"/>
            <w:vMerge w:val="continue"/>
            <w:tcBorders>
              <w:top w:val="nil"/>
              <w:bottom w:val="nil"/>
            </w:tcBorders>
            <w:noWrap w:val="0"/>
            <w:vAlign w:val="top"/>
          </w:tcPr>
          <w:p>
            <w:pPr>
              <w:pStyle w:val="10"/>
              <w:rPr>
                <w:rFonts w:hint="eastAsia" w:ascii="宋体" w:hAnsi="宋体" w:eastAsia="宋体" w:cs="宋体"/>
              </w:rPr>
            </w:pPr>
          </w:p>
        </w:tc>
        <w:tc>
          <w:tcPr>
            <w:tcW w:w="955" w:type="dxa"/>
            <w:vMerge w:val="restart"/>
            <w:tcBorders>
              <w:bottom w:val="nil"/>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244" w:type="dxa"/>
            <w:noWrap w:val="0"/>
            <w:vAlign w:val="center"/>
          </w:tcPr>
          <w:p>
            <w:pPr>
              <w:pStyle w:val="1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重大隐患排查整治率</w:t>
            </w:r>
          </w:p>
        </w:tc>
        <w:tc>
          <w:tcPr>
            <w:tcW w:w="1244" w:type="dxa"/>
            <w:noWrap w:val="0"/>
            <w:vAlign w:val="center"/>
          </w:tcPr>
          <w:p>
            <w:pPr>
              <w:pStyle w:val="1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100%</w:t>
            </w:r>
          </w:p>
        </w:tc>
        <w:tc>
          <w:tcPr>
            <w:tcW w:w="1281" w:type="dxa"/>
            <w:noWrap w:val="0"/>
            <w:vAlign w:val="center"/>
          </w:tcPr>
          <w:p>
            <w:pPr>
              <w:pStyle w:val="10"/>
              <w:spacing w:line="225" w:lineRule="exact"/>
              <w:jc w:val="center"/>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100%</w:t>
            </w:r>
          </w:p>
        </w:tc>
        <w:tc>
          <w:tcPr>
            <w:tcW w:w="673" w:type="dxa"/>
            <w:noWrap w:val="0"/>
            <w:vAlign w:val="center"/>
          </w:tcPr>
          <w:p>
            <w:pPr>
              <w:pStyle w:val="10"/>
              <w:spacing w:line="225" w:lineRule="exact"/>
              <w:jc w:val="center"/>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873" w:type="dxa"/>
            <w:noWrap w:val="0"/>
            <w:vAlign w:val="center"/>
          </w:tcPr>
          <w:p>
            <w:pPr>
              <w:spacing w:before="62" w:line="450" w:lineRule="exact"/>
              <w:ind w:left="144" w:leftChars="0"/>
              <w:jc w:val="center"/>
              <w:rPr>
                <w:rFonts w:hint="default" w:ascii="宋体" w:hAnsi="宋体" w:eastAsia="宋体" w:cs="宋体"/>
                <w:spacing w:val="7"/>
                <w:kern w:val="2"/>
                <w:position w:val="19"/>
                <w:sz w:val="19"/>
                <w:szCs w:val="19"/>
                <w:lang w:val="en-US" w:eastAsia="zh-CN" w:bidi="ar-SA"/>
              </w:rPr>
            </w:pPr>
            <w:r>
              <w:rPr>
                <w:rFonts w:hint="eastAsia" w:ascii="宋体" w:hAnsi="宋体" w:eastAsia="宋体" w:cs="宋体"/>
                <w:spacing w:val="7"/>
                <w:position w:val="19"/>
                <w:sz w:val="19"/>
                <w:szCs w:val="19"/>
                <w:lang w:val="en-US" w:eastAsia="zh-CN"/>
              </w:rPr>
              <w:t>10</w:t>
            </w:r>
          </w:p>
        </w:tc>
        <w:tc>
          <w:tcPr>
            <w:tcW w:w="1422" w:type="dxa"/>
            <w:noWrap w:val="0"/>
            <w:vAlign w:val="center"/>
          </w:tcPr>
          <w:p>
            <w:pPr>
              <w:pStyle w:val="10"/>
              <w:spacing w:line="235" w:lineRule="exact"/>
              <w:jc w:val="center"/>
              <w:rPr>
                <w:rFonts w:hint="eastAsia" w:ascii="宋体" w:hAnsi="宋体" w:eastAsia="宋体" w:cs="宋体"/>
                <w:kern w:val="2"/>
                <w:sz w:val="20"/>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0"/>
              <w:rPr>
                <w:rFonts w:hint="eastAsia" w:ascii="宋体" w:hAnsi="宋体" w:eastAsia="宋体" w:cs="宋体"/>
              </w:rPr>
            </w:pPr>
          </w:p>
        </w:tc>
        <w:tc>
          <w:tcPr>
            <w:tcW w:w="1079" w:type="dxa"/>
            <w:vMerge w:val="continue"/>
            <w:tcBorders>
              <w:top w:val="nil"/>
              <w:bottom w:val="nil"/>
            </w:tcBorders>
            <w:noWrap w:val="0"/>
            <w:vAlign w:val="top"/>
          </w:tcPr>
          <w:p>
            <w:pPr>
              <w:pStyle w:val="10"/>
              <w:rPr>
                <w:rFonts w:hint="eastAsia" w:ascii="宋体" w:hAnsi="宋体" w:eastAsia="宋体" w:cs="宋体"/>
              </w:rPr>
            </w:pPr>
          </w:p>
        </w:tc>
        <w:tc>
          <w:tcPr>
            <w:tcW w:w="955" w:type="dxa"/>
            <w:vMerge w:val="continue"/>
            <w:tcBorders>
              <w:top w:val="nil"/>
              <w:bottom w:val="nil"/>
            </w:tcBorders>
            <w:noWrap w:val="0"/>
            <w:vAlign w:val="top"/>
          </w:tcPr>
          <w:p>
            <w:pPr>
              <w:pStyle w:val="10"/>
              <w:rPr>
                <w:rFonts w:hint="eastAsia" w:ascii="宋体" w:hAnsi="宋体" w:eastAsia="宋体" w:cs="宋体"/>
              </w:rPr>
            </w:pPr>
          </w:p>
        </w:tc>
        <w:tc>
          <w:tcPr>
            <w:tcW w:w="1244" w:type="dxa"/>
            <w:noWrap w:val="0"/>
            <w:vAlign w:val="center"/>
          </w:tcPr>
          <w:p>
            <w:pPr>
              <w:pStyle w:val="10"/>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行刑衔接案件</w:t>
            </w:r>
          </w:p>
        </w:tc>
        <w:tc>
          <w:tcPr>
            <w:tcW w:w="1244" w:type="dxa"/>
            <w:noWrap w:val="0"/>
            <w:vAlign w:val="center"/>
          </w:tcPr>
          <w:p>
            <w:pPr>
              <w:spacing w:before="62" w:line="450" w:lineRule="exact"/>
              <w:ind w:left="144" w:leftChars="0"/>
              <w:jc w:val="center"/>
              <w:rPr>
                <w:rFonts w:hint="default" w:ascii="宋体" w:hAnsi="宋体" w:eastAsia="宋体" w:cs="宋体"/>
                <w:spacing w:val="7"/>
                <w:kern w:val="2"/>
                <w:position w:val="19"/>
                <w:sz w:val="19"/>
                <w:szCs w:val="19"/>
                <w:lang w:val="en-US" w:eastAsia="zh-CN" w:bidi="ar-SA"/>
              </w:rPr>
            </w:pPr>
            <w:r>
              <w:rPr>
                <w:rFonts w:hint="default" w:ascii="宋体" w:hAnsi="宋体" w:eastAsia="宋体" w:cs="宋体"/>
                <w:spacing w:val="7"/>
                <w:position w:val="19"/>
                <w:sz w:val="19"/>
                <w:szCs w:val="19"/>
                <w:lang w:val="en-US" w:eastAsia="zh-CN"/>
              </w:rPr>
              <w:t>≤</w:t>
            </w:r>
            <w:r>
              <w:rPr>
                <w:rFonts w:hint="eastAsia" w:ascii="宋体" w:hAnsi="宋体" w:eastAsia="宋体" w:cs="宋体"/>
                <w:spacing w:val="7"/>
                <w:position w:val="19"/>
                <w:sz w:val="19"/>
                <w:szCs w:val="19"/>
                <w:lang w:val="en-US" w:eastAsia="zh-CN"/>
              </w:rPr>
              <w:t>2起</w:t>
            </w:r>
          </w:p>
        </w:tc>
        <w:tc>
          <w:tcPr>
            <w:tcW w:w="1281" w:type="dxa"/>
            <w:noWrap w:val="0"/>
            <w:vAlign w:val="center"/>
          </w:tcPr>
          <w:p>
            <w:pPr>
              <w:spacing w:before="62" w:line="450" w:lineRule="exact"/>
              <w:ind w:left="144" w:leftChars="0"/>
              <w:jc w:val="center"/>
              <w:rPr>
                <w:rFonts w:hint="eastAsia" w:ascii="宋体" w:hAnsi="宋体" w:eastAsia="宋体" w:cs="宋体"/>
                <w:spacing w:val="7"/>
                <w:kern w:val="2"/>
                <w:position w:val="19"/>
                <w:sz w:val="19"/>
                <w:szCs w:val="19"/>
                <w:lang w:val="en-US" w:eastAsia="zh-CN" w:bidi="ar-SA"/>
              </w:rPr>
            </w:pPr>
            <w:r>
              <w:rPr>
                <w:rFonts w:hint="eastAsia" w:ascii="宋体" w:hAnsi="宋体" w:eastAsia="宋体" w:cs="宋体"/>
                <w:spacing w:val="7"/>
                <w:position w:val="19"/>
                <w:sz w:val="19"/>
                <w:szCs w:val="19"/>
                <w:lang w:val="en-US" w:eastAsia="zh-CN"/>
              </w:rPr>
              <w:t>=2起</w:t>
            </w:r>
          </w:p>
        </w:tc>
        <w:tc>
          <w:tcPr>
            <w:tcW w:w="673" w:type="dxa"/>
            <w:noWrap w:val="0"/>
            <w:vAlign w:val="center"/>
          </w:tcPr>
          <w:p>
            <w:pPr>
              <w:spacing w:before="62" w:line="450" w:lineRule="exact"/>
              <w:ind w:left="144" w:leftChars="0"/>
              <w:jc w:val="center"/>
              <w:rPr>
                <w:rFonts w:hint="default" w:ascii="宋体" w:hAnsi="宋体" w:eastAsia="宋体" w:cs="宋体"/>
                <w:spacing w:val="7"/>
                <w:kern w:val="2"/>
                <w:position w:val="19"/>
                <w:sz w:val="19"/>
                <w:szCs w:val="19"/>
                <w:lang w:val="en-US" w:eastAsia="zh-CN" w:bidi="ar-SA"/>
              </w:rPr>
            </w:pPr>
            <w:r>
              <w:rPr>
                <w:rFonts w:hint="eastAsia" w:ascii="宋体" w:hAnsi="宋体" w:eastAsia="宋体" w:cs="宋体"/>
                <w:spacing w:val="7"/>
                <w:position w:val="19"/>
                <w:sz w:val="19"/>
                <w:szCs w:val="19"/>
                <w:lang w:val="en-US" w:eastAsia="zh-CN"/>
              </w:rPr>
              <w:t>10</w:t>
            </w:r>
          </w:p>
        </w:tc>
        <w:tc>
          <w:tcPr>
            <w:tcW w:w="873" w:type="dxa"/>
            <w:noWrap w:val="0"/>
            <w:vAlign w:val="center"/>
          </w:tcPr>
          <w:p>
            <w:pPr>
              <w:spacing w:before="62" w:line="450" w:lineRule="exact"/>
              <w:ind w:left="144" w:leftChars="0"/>
              <w:jc w:val="center"/>
              <w:rPr>
                <w:rFonts w:hint="default" w:ascii="宋体" w:hAnsi="宋体" w:eastAsia="宋体" w:cs="宋体"/>
                <w:spacing w:val="7"/>
                <w:kern w:val="2"/>
                <w:position w:val="19"/>
                <w:sz w:val="19"/>
                <w:szCs w:val="19"/>
                <w:lang w:val="en-US" w:eastAsia="zh-CN" w:bidi="ar-SA"/>
              </w:rPr>
            </w:pPr>
            <w:r>
              <w:rPr>
                <w:rFonts w:hint="eastAsia" w:ascii="宋体" w:hAnsi="宋体" w:eastAsia="宋体" w:cs="宋体"/>
                <w:spacing w:val="7"/>
                <w:position w:val="19"/>
                <w:sz w:val="19"/>
                <w:szCs w:val="19"/>
                <w:lang w:val="en-US" w:eastAsia="zh-CN"/>
              </w:rPr>
              <w:t>10</w:t>
            </w:r>
          </w:p>
        </w:tc>
        <w:tc>
          <w:tcPr>
            <w:tcW w:w="1422" w:type="dxa"/>
            <w:noWrap w:val="0"/>
            <w:vAlign w:val="center"/>
          </w:tcPr>
          <w:p>
            <w:pPr>
              <w:pStyle w:val="10"/>
              <w:spacing w:line="235" w:lineRule="exact"/>
              <w:jc w:val="center"/>
              <w:rPr>
                <w:rFonts w:hint="eastAsia" w:ascii="宋体" w:hAnsi="宋体" w:eastAsia="宋体" w:cs="宋体"/>
                <w:kern w:val="2"/>
                <w:sz w:val="20"/>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pStyle w:val="10"/>
              <w:rPr>
                <w:rFonts w:hint="eastAsia" w:ascii="宋体" w:hAnsi="宋体" w:eastAsia="宋体" w:cs="宋体"/>
              </w:rPr>
            </w:pPr>
          </w:p>
        </w:tc>
        <w:tc>
          <w:tcPr>
            <w:tcW w:w="1079" w:type="dxa"/>
            <w:vMerge w:val="continue"/>
            <w:tcBorders>
              <w:top w:val="nil"/>
              <w:bottom w:val="nil"/>
            </w:tcBorders>
            <w:noWrap w:val="0"/>
            <w:vAlign w:val="top"/>
          </w:tcPr>
          <w:p>
            <w:pPr>
              <w:pStyle w:val="10"/>
              <w:rPr>
                <w:rFonts w:hint="eastAsia" w:ascii="宋体" w:hAnsi="宋体" w:eastAsia="宋体" w:cs="宋体"/>
              </w:rPr>
            </w:pPr>
          </w:p>
        </w:tc>
        <w:tc>
          <w:tcPr>
            <w:tcW w:w="955" w:type="dxa"/>
            <w:vMerge w:val="restart"/>
            <w:tcBorders>
              <w:bottom w:val="nil"/>
            </w:tcBorders>
            <w:noWrap w:val="0"/>
            <w:vAlign w:val="top"/>
          </w:tcPr>
          <w:p>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39" w:lineRule="auto"/>
              <w:ind w:left="379" w:right="175" w:hanging="178"/>
              <w:rPr>
                <w:rFonts w:hint="eastAsia" w:ascii="宋体" w:hAnsi="宋体" w:eastAsia="宋体" w:cs="宋体"/>
                <w:sz w:val="19"/>
                <w:szCs w:val="19"/>
              </w:rPr>
            </w:pPr>
          </w:p>
        </w:tc>
        <w:tc>
          <w:tcPr>
            <w:tcW w:w="1244" w:type="dxa"/>
            <w:noWrap w:val="0"/>
            <w:vAlign w:val="center"/>
          </w:tcPr>
          <w:p>
            <w:pPr>
              <w:pStyle w:val="10"/>
              <w:spacing w:line="224" w:lineRule="exact"/>
              <w:jc w:val="center"/>
              <w:rPr>
                <w:rFonts w:hint="eastAsia" w:ascii="宋体" w:hAnsi="宋体" w:eastAsia="宋体" w:cs="宋体"/>
                <w:sz w:val="19"/>
              </w:rPr>
            </w:pPr>
            <w:r>
              <w:rPr>
                <w:rFonts w:hint="eastAsia" w:ascii="宋体" w:hAnsi="宋体" w:eastAsia="宋体" w:cs="宋体"/>
                <w:sz w:val="19"/>
                <w:lang w:val="en-US" w:eastAsia="zh-CN"/>
              </w:rPr>
              <w:t>5月完成“5.12全国防灾减灾日”</w:t>
            </w:r>
          </w:p>
        </w:tc>
        <w:tc>
          <w:tcPr>
            <w:tcW w:w="1244" w:type="dxa"/>
            <w:noWrap w:val="0"/>
            <w:vAlign w:val="center"/>
          </w:tcPr>
          <w:p>
            <w:pPr>
              <w:pStyle w:val="10"/>
              <w:spacing w:line="224"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按时举办</w:t>
            </w:r>
          </w:p>
        </w:tc>
        <w:tc>
          <w:tcPr>
            <w:tcW w:w="1281" w:type="dxa"/>
            <w:noWrap w:val="0"/>
            <w:vAlign w:val="center"/>
          </w:tcPr>
          <w:p>
            <w:pPr>
              <w:pStyle w:val="10"/>
              <w:spacing w:line="224"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按时举办</w:t>
            </w:r>
          </w:p>
        </w:tc>
        <w:tc>
          <w:tcPr>
            <w:tcW w:w="673" w:type="dxa"/>
            <w:noWrap w:val="0"/>
            <w:vAlign w:val="center"/>
          </w:tcPr>
          <w:p>
            <w:pPr>
              <w:pStyle w:val="10"/>
              <w:spacing w:line="224"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center"/>
          </w:tcPr>
          <w:p>
            <w:pPr>
              <w:pStyle w:val="10"/>
              <w:spacing w:line="224"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1422" w:type="dxa"/>
            <w:noWrap w:val="0"/>
            <w:vAlign w:val="center"/>
          </w:tcPr>
          <w:p>
            <w:pPr>
              <w:pStyle w:val="10"/>
              <w:spacing w:line="224" w:lineRule="exact"/>
              <w:jc w:val="center"/>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0"/>
              <w:rPr>
                <w:rFonts w:hint="eastAsia" w:ascii="宋体" w:hAnsi="宋体" w:eastAsia="宋体" w:cs="宋体"/>
              </w:rPr>
            </w:pPr>
          </w:p>
        </w:tc>
        <w:tc>
          <w:tcPr>
            <w:tcW w:w="1079" w:type="dxa"/>
            <w:vMerge w:val="continue"/>
            <w:tcBorders>
              <w:top w:val="nil"/>
              <w:bottom w:val="nil"/>
            </w:tcBorders>
            <w:noWrap w:val="0"/>
            <w:vAlign w:val="top"/>
          </w:tcPr>
          <w:p>
            <w:pPr>
              <w:pStyle w:val="10"/>
              <w:rPr>
                <w:rFonts w:hint="eastAsia" w:ascii="宋体" w:hAnsi="宋体" w:eastAsia="宋体" w:cs="宋体"/>
              </w:rPr>
            </w:pPr>
          </w:p>
        </w:tc>
        <w:tc>
          <w:tcPr>
            <w:tcW w:w="955" w:type="dxa"/>
            <w:vMerge w:val="continue"/>
            <w:tcBorders>
              <w:top w:val="nil"/>
              <w:bottom w:val="nil"/>
            </w:tcBorders>
            <w:noWrap w:val="0"/>
            <w:vAlign w:val="top"/>
          </w:tcPr>
          <w:p>
            <w:pPr>
              <w:pStyle w:val="10"/>
              <w:rPr>
                <w:rFonts w:hint="eastAsia" w:ascii="宋体" w:hAnsi="宋体" w:eastAsia="宋体" w:cs="宋体"/>
              </w:rPr>
            </w:pPr>
          </w:p>
        </w:tc>
        <w:tc>
          <w:tcPr>
            <w:tcW w:w="1244" w:type="dxa"/>
            <w:noWrap w:val="0"/>
            <w:vAlign w:val="center"/>
          </w:tcPr>
          <w:p>
            <w:pPr>
              <w:pStyle w:val="10"/>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12月完成“敲门入户”活动</w:t>
            </w:r>
          </w:p>
        </w:tc>
        <w:tc>
          <w:tcPr>
            <w:tcW w:w="1244" w:type="dxa"/>
            <w:noWrap w:val="0"/>
            <w:vAlign w:val="center"/>
          </w:tcPr>
          <w:p>
            <w:pPr>
              <w:pStyle w:val="10"/>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12月份</w:t>
            </w:r>
          </w:p>
        </w:tc>
        <w:tc>
          <w:tcPr>
            <w:tcW w:w="1281" w:type="dxa"/>
            <w:noWrap w:val="0"/>
            <w:vAlign w:val="center"/>
          </w:tcPr>
          <w:p>
            <w:pPr>
              <w:pStyle w:val="10"/>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12月份</w:t>
            </w:r>
          </w:p>
        </w:tc>
        <w:tc>
          <w:tcPr>
            <w:tcW w:w="673" w:type="dxa"/>
            <w:noWrap w:val="0"/>
            <w:vAlign w:val="center"/>
          </w:tcPr>
          <w:p>
            <w:pPr>
              <w:pStyle w:val="10"/>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center"/>
          </w:tcPr>
          <w:p>
            <w:pPr>
              <w:pStyle w:val="10"/>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1422" w:type="dxa"/>
            <w:noWrap w:val="0"/>
            <w:vAlign w:val="center"/>
          </w:tcPr>
          <w:p>
            <w:pPr>
              <w:pStyle w:val="10"/>
              <w:spacing w:line="225" w:lineRule="exact"/>
              <w:jc w:val="center"/>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84" w:type="dxa"/>
            <w:vMerge w:val="continue"/>
            <w:tcBorders>
              <w:top w:val="nil"/>
              <w:bottom w:val="nil"/>
            </w:tcBorders>
            <w:noWrap w:val="0"/>
            <w:textDirection w:val="tbRlV"/>
            <w:vAlign w:val="top"/>
          </w:tcPr>
          <w:p>
            <w:pPr>
              <w:pStyle w:val="10"/>
              <w:rPr>
                <w:rFonts w:hint="eastAsia" w:ascii="宋体" w:hAnsi="宋体" w:eastAsia="宋体" w:cs="宋体"/>
              </w:rPr>
            </w:pPr>
          </w:p>
        </w:tc>
        <w:tc>
          <w:tcPr>
            <w:tcW w:w="1079" w:type="dxa"/>
            <w:vMerge w:val="continue"/>
            <w:tcBorders>
              <w:top w:val="nil"/>
              <w:bottom w:val="nil"/>
            </w:tcBorders>
            <w:noWrap w:val="0"/>
            <w:vAlign w:val="top"/>
          </w:tcPr>
          <w:p>
            <w:pPr>
              <w:pStyle w:val="10"/>
              <w:rPr>
                <w:rFonts w:hint="eastAsia" w:ascii="宋体" w:hAnsi="宋体" w:eastAsia="宋体" w:cs="宋体"/>
              </w:rPr>
            </w:pPr>
          </w:p>
        </w:tc>
        <w:tc>
          <w:tcPr>
            <w:tcW w:w="955" w:type="dxa"/>
            <w:tcBorders>
              <w:bottom w:val="nil"/>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244" w:type="dxa"/>
            <w:noWrap w:val="0"/>
            <w:vAlign w:val="center"/>
          </w:tcPr>
          <w:p>
            <w:pPr>
              <w:pStyle w:val="10"/>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严格按照预算执行</w:t>
            </w:r>
          </w:p>
        </w:tc>
        <w:tc>
          <w:tcPr>
            <w:tcW w:w="1244" w:type="dxa"/>
            <w:noWrap w:val="0"/>
            <w:vAlign w:val="center"/>
          </w:tcPr>
          <w:p>
            <w:pPr>
              <w:pStyle w:val="10"/>
              <w:spacing w:line="225" w:lineRule="exact"/>
              <w:jc w:val="center"/>
              <w:rPr>
                <w:rFonts w:hint="default" w:ascii="宋体" w:hAnsi="宋体" w:eastAsia="宋体" w:cs="宋体"/>
                <w:sz w:val="19"/>
                <w:lang w:val="en-US" w:eastAsia="zh-CN"/>
              </w:rPr>
            </w:pPr>
            <w:r>
              <w:rPr>
                <w:rFonts w:hint="eastAsia" w:ascii="宋体" w:hAnsi="宋体" w:eastAsia="宋体" w:cs="宋体"/>
                <w:sz w:val="19"/>
              </w:rPr>
              <w:t>≤</w:t>
            </w:r>
            <w:r>
              <w:rPr>
                <w:rFonts w:hint="eastAsia" w:ascii="宋体" w:hAnsi="宋体" w:eastAsia="宋体" w:cs="宋体"/>
                <w:sz w:val="19"/>
                <w:lang w:val="en-US" w:eastAsia="zh-CN"/>
              </w:rPr>
              <w:t>74.99万元</w:t>
            </w:r>
          </w:p>
        </w:tc>
        <w:tc>
          <w:tcPr>
            <w:tcW w:w="1281" w:type="dxa"/>
            <w:noWrap w:val="0"/>
            <w:vAlign w:val="center"/>
          </w:tcPr>
          <w:p>
            <w:pPr>
              <w:pStyle w:val="10"/>
              <w:spacing w:line="225" w:lineRule="exact"/>
              <w:jc w:val="center"/>
              <w:rPr>
                <w:rFonts w:hint="default" w:ascii="宋体" w:hAnsi="宋体" w:eastAsia="宋体" w:cs="宋体"/>
                <w:sz w:val="19"/>
                <w:lang w:val="en-US" w:eastAsia="zh-CN"/>
              </w:rPr>
            </w:pPr>
            <w:r>
              <w:rPr>
                <w:rFonts w:hint="eastAsia" w:ascii="宋体" w:hAnsi="宋体" w:eastAsia="宋体" w:cs="宋体"/>
                <w:sz w:val="19"/>
                <w:lang w:val="en-US" w:eastAsia="zh-CN"/>
              </w:rPr>
              <w:t>=74.99万元</w:t>
            </w:r>
          </w:p>
        </w:tc>
        <w:tc>
          <w:tcPr>
            <w:tcW w:w="673" w:type="dxa"/>
            <w:noWrap w:val="0"/>
            <w:vAlign w:val="center"/>
          </w:tcPr>
          <w:p>
            <w:pPr>
              <w:pStyle w:val="10"/>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center"/>
          </w:tcPr>
          <w:p>
            <w:pPr>
              <w:pStyle w:val="10"/>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1422" w:type="dxa"/>
            <w:noWrap w:val="0"/>
            <w:vAlign w:val="center"/>
          </w:tcPr>
          <w:p>
            <w:pPr>
              <w:pStyle w:val="10"/>
              <w:spacing w:line="225" w:lineRule="exact"/>
              <w:jc w:val="center"/>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84" w:type="dxa"/>
            <w:vMerge w:val="continue"/>
            <w:tcBorders>
              <w:top w:val="nil"/>
              <w:bottom w:val="nil"/>
              <w:right w:val="single" w:color="auto" w:sz="4" w:space="0"/>
            </w:tcBorders>
            <w:noWrap w:val="0"/>
            <w:textDirection w:val="tbRlV"/>
            <w:vAlign w:val="top"/>
          </w:tcPr>
          <w:p>
            <w:pPr>
              <w:pStyle w:val="10"/>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pPr>
              <w:pStyle w:val="10"/>
              <w:spacing w:line="315" w:lineRule="auto"/>
              <w:rPr>
                <w:rFonts w:hint="eastAsia" w:ascii="宋体" w:hAnsi="宋体" w:eastAsia="宋体" w:cs="宋体"/>
              </w:rPr>
            </w:pPr>
          </w:p>
          <w:p>
            <w:pPr>
              <w:pStyle w:val="10"/>
              <w:spacing w:line="315" w:lineRule="auto"/>
              <w:rPr>
                <w:rFonts w:hint="eastAsia" w:ascii="宋体" w:hAnsi="宋体" w:eastAsia="宋体" w:cs="宋体"/>
              </w:rPr>
            </w:pPr>
          </w:p>
          <w:p>
            <w:pPr>
              <w:pStyle w:val="10"/>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bottom w:val="nil"/>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center"/>
          </w:tcPr>
          <w:p>
            <w:pPr>
              <w:spacing w:before="273" w:line="226" w:lineRule="auto"/>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未发生自然灾害和森林火灾事故</w:t>
            </w:r>
          </w:p>
        </w:tc>
        <w:tc>
          <w:tcPr>
            <w:tcW w:w="1244" w:type="dxa"/>
            <w:noWrap w:val="0"/>
            <w:vAlign w:val="center"/>
          </w:tcPr>
          <w:p>
            <w:pPr>
              <w:spacing w:before="273" w:line="226" w:lineRule="auto"/>
              <w:ind w:left="125" w:leftChars="0"/>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=0起</w:t>
            </w:r>
          </w:p>
        </w:tc>
        <w:tc>
          <w:tcPr>
            <w:tcW w:w="1281" w:type="dxa"/>
            <w:noWrap w:val="0"/>
            <w:vAlign w:val="center"/>
          </w:tcPr>
          <w:p>
            <w:pPr>
              <w:spacing w:before="273" w:line="226" w:lineRule="auto"/>
              <w:ind w:left="125" w:leftChars="0"/>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0</w:t>
            </w:r>
          </w:p>
        </w:tc>
        <w:tc>
          <w:tcPr>
            <w:tcW w:w="673" w:type="dxa"/>
            <w:noWrap w:val="0"/>
            <w:vAlign w:val="center"/>
          </w:tcPr>
          <w:p>
            <w:pPr>
              <w:spacing w:before="273" w:line="226" w:lineRule="auto"/>
              <w:ind w:left="125" w:leftChars="0"/>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873" w:type="dxa"/>
            <w:noWrap w:val="0"/>
            <w:vAlign w:val="center"/>
          </w:tcPr>
          <w:p>
            <w:pPr>
              <w:spacing w:before="273" w:line="226" w:lineRule="auto"/>
              <w:ind w:left="125" w:leftChars="0"/>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1422" w:type="dxa"/>
            <w:noWrap w:val="0"/>
            <w:vAlign w:val="center"/>
          </w:tcPr>
          <w:p>
            <w:pPr>
              <w:pStyle w:val="10"/>
              <w:spacing w:line="225" w:lineRule="exact"/>
              <w:jc w:val="center"/>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084" w:type="dxa"/>
            <w:vMerge w:val="continue"/>
            <w:tcBorders>
              <w:top w:val="nil"/>
              <w:bottom w:val="nil"/>
              <w:right w:val="single" w:color="auto" w:sz="4" w:space="0"/>
            </w:tcBorders>
            <w:noWrap w:val="0"/>
            <w:textDirection w:val="tbRlV"/>
            <w:vAlign w:val="top"/>
          </w:tcPr>
          <w:p>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10"/>
              <w:rPr>
                <w:rFonts w:hint="eastAsia" w:ascii="宋体" w:hAnsi="宋体" w:eastAsia="宋体" w:cs="宋体"/>
              </w:rPr>
            </w:pPr>
          </w:p>
        </w:tc>
        <w:tc>
          <w:tcPr>
            <w:tcW w:w="955" w:type="dxa"/>
            <w:tcBorders>
              <w:bottom w:val="nil"/>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center"/>
          </w:tcPr>
          <w:p>
            <w:pPr>
              <w:spacing w:before="273" w:line="226" w:lineRule="auto"/>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安全生产宣传知晓率</w:t>
            </w:r>
          </w:p>
        </w:tc>
        <w:tc>
          <w:tcPr>
            <w:tcW w:w="1244" w:type="dxa"/>
            <w:noWrap w:val="0"/>
            <w:vAlign w:val="center"/>
          </w:tcPr>
          <w:p>
            <w:pPr>
              <w:spacing w:before="273" w:line="226" w:lineRule="auto"/>
              <w:ind w:left="125" w:leftChars="0"/>
              <w:jc w:val="center"/>
              <w:rPr>
                <w:rFonts w:hint="default"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=90%</w:t>
            </w:r>
          </w:p>
        </w:tc>
        <w:tc>
          <w:tcPr>
            <w:tcW w:w="1281" w:type="dxa"/>
            <w:noWrap w:val="0"/>
            <w:vAlign w:val="center"/>
          </w:tcPr>
          <w:p>
            <w:pPr>
              <w:spacing w:before="273" w:line="226" w:lineRule="auto"/>
              <w:ind w:left="125" w:leftChars="0"/>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90%</w:t>
            </w:r>
          </w:p>
        </w:tc>
        <w:tc>
          <w:tcPr>
            <w:tcW w:w="673" w:type="dxa"/>
            <w:noWrap w:val="0"/>
            <w:vAlign w:val="center"/>
          </w:tcPr>
          <w:p>
            <w:pPr>
              <w:spacing w:before="273" w:line="226" w:lineRule="auto"/>
              <w:ind w:left="125" w:leftChars="0"/>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873" w:type="dxa"/>
            <w:noWrap w:val="0"/>
            <w:vAlign w:val="center"/>
          </w:tcPr>
          <w:p>
            <w:pPr>
              <w:spacing w:before="273" w:line="226" w:lineRule="auto"/>
              <w:ind w:left="125" w:leftChars="0"/>
              <w:jc w:val="center"/>
              <w:rPr>
                <w:rFonts w:hint="eastAsia" w:ascii="宋体" w:hAnsi="宋体" w:eastAsia="宋体" w:cs="宋体"/>
                <w:spacing w:val="6"/>
                <w:sz w:val="19"/>
                <w:szCs w:val="19"/>
                <w:lang w:val="en-US" w:eastAsia="zh-CN"/>
              </w:rPr>
            </w:pPr>
            <w:r>
              <w:rPr>
                <w:rFonts w:hint="eastAsia" w:ascii="宋体" w:hAnsi="宋体" w:eastAsia="宋体" w:cs="宋体"/>
                <w:spacing w:val="6"/>
                <w:sz w:val="19"/>
                <w:szCs w:val="19"/>
                <w:lang w:val="en-US" w:eastAsia="zh-CN"/>
              </w:rPr>
              <w:t>10</w:t>
            </w:r>
          </w:p>
        </w:tc>
        <w:tc>
          <w:tcPr>
            <w:tcW w:w="1422" w:type="dxa"/>
            <w:noWrap w:val="0"/>
            <w:vAlign w:val="center"/>
          </w:tcPr>
          <w:p>
            <w:pPr>
              <w:pStyle w:val="10"/>
              <w:spacing w:line="225" w:lineRule="exact"/>
              <w:jc w:val="center"/>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10"/>
              <w:rPr>
                <w:rFonts w:hint="eastAsia" w:ascii="宋体" w:hAnsi="宋体" w:eastAsia="宋体" w:cs="宋体"/>
              </w:rPr>
            </w:pPr>
          </w:p>
        </w:tc>
        <w:tc>
          <w:tcPr>
            <w:tcW w:w="955" w:type="dxa"/>
            <w:tcBorders>
              <w:bottom w:val="nil"/>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center"/>
          </w:tcPr>
          <w:p>
            <w:pPr>
              <w:spacing w:before="273" w:line="226" w:lineRule="auto"/>
              <w:ind w:left="125" w:leftChars="0"/>
              <w:jc w:val="center"/>
              <w:rPr>
                <w:rFonts w:hint="eastAsia" w:ascii="宋体" w:hAnsi="宋体" w:eastAsia="宋体" w:cs="宋体"/>
                <w:spacing w:val="6"/>
                <w:sz w:val="19"/>
                <w:szCs w:val="19"/>
                <w:lang w:val="en-US" w:eastAsia="zh-CN"/>
              </w:rPr>
            </w:pPr>
          </w:p>
        </w:tc>
        <w:tc>
          <w:tcPr>
            <w:tcW w:w="1244" w:type="dxa"/>
            <w:noWrap w:val="0"/>
            <w:vAlign w:val="center"/>
          </w:tcPr>
          <w:p>
            <w:pPr>
              <w:spacing w:before="273" w:line="226" w:lineRule="auto"/>
              <w:ind w:left="125" w:leftChars="0"/>
              <w:jc w:val="center"/>
              <w:rPr>
                <w:rFonts w:hint="eastAsia" w:ascii="宋体" w:hAnsi="宋体" w:eastAsia="宋体" w:cs="宋体"/>
                <w:spacing w:val="6"/>
                <w:sz w:val="19"/>
                <w:szCs w:val="19"/>
                <w:lang w:val="en-US" w:eastAsia="zh-CN"/>
              </w:rPr>
            </w:pPr>
          </w:p>
        </w:tc>
        <w:tc>
          <w:tcPr>
            <w:tcW w:w="1281" w:type="dxa"/>
            <w:noWrap w:val="0"/>
            <w:vAlign w:val="center"/>
          </w:tcPr>
          <w:p>
            <w:pPr>
              <w:spacing w:before="273" w:line="226" w:lineRule="auto"/>
              <w:ind w:left="125" w:leftChars="0"/>
              <w:jc w:val="center"/>
              <w:rPr>
                <w:rFonts w:hint="eastAsia" w:ascii="宋体" w:hAnsi="宋体" w:eastAsia="宋体" w:cs="宋体"/>
                <w:spacing w:val="6"/>
                <w:sz w:val="19"/>
                <w:szCs w:val="19"/>
                <w:lang w:val="en-US" w:eastAsia="zh-CN"/>
              </w:rPr>
            </w:pPr>
          </w:p>
        </w:tc>
        <w:tc>
          <w:tcPr>
            <w:tcW w:w="673" w:type="dxa"/>
            <w:noWrap w:val="0"/>
            <w:vAlign w:val="center"/>
          </w:tcPr>
          <w:p>
            <w:pPr>
              <w:spacing w:before="273" w:line="226" w:lineRule="auto"/>
              <w:ind w:left="125" w:leftChars="0"/>
              <w:jc w:val="center"/>
              <w:rPr>
                <w:rFonts w:hint="eastAsia" w:ascii="宋体" w:hAnsi="宋体" w:eastAsia="宋体" w:cs="宋体"/>
                <w:spacing w:val="6"/>
                <w:sz w:val="19"/>
                <w:szCs w:val="19"/>
                <w:lang w:val="en-US" w:eastAsia="zh-CN"/>
              </w:rPr>
            </w:pPr>
          </w:p>
        </w:tc>
        <w:tc>
          <w:tcPr>
            <w:tcW w:w="873" w:type="dxa"/>
            <w:noWrap w:val="0"/>
            <w:vAlign w:val="center"/>
          </w:tcPr>
          <w:p>
            <w:pPr>
              <w:spacing w:before="273" w:line="226" w:lineRule="auto"/>
              <w:ind w:left="125" w:leftChars="0"/>
              <w:jc w:val="center"/>
              <w:rPr>
                <w:rFonts w:hint="eastAsia" w:ascii="宋体" w:hAnsi="宋体" w:eastAsia="宋体" w:cs="宋体"/>
                <w:spacing w:val="6"/>
                <w:sz w:val="19"/>
                <w:szCs w:val="19"/>
                <w:lang w:val="en-US" w:eastAsia="zh-CN"/>
              </w:rPr>
            </w:pPr>
          </w:p>
        </w:tc>
        <w:tc>
          <w:tcPr>
            <w:tcW w:w="1422" w:type="dxa"/>
            <w:noWrap w:val="0"/>
            <w:vAlign w:val="center"/>
          </w:tcPr>
          <w:p>
            <w:pPr>
              <w:pStyle w:val="10"/>
              <w:spacing w:line="225" w:lineRule="exact"/>
              <w:jc w:val="center"/>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10"/>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pPr>
              <w:pStyle w:val="10"/>
              <w:rPr>
                <w:rFonts w:hint="eastAsia" w:ascii="宋体" w:hAnsi="宋体" w:eastAsia="宋体" w:cs="宋体"/>
              </w:rPr>
            </w:pPr>
          </w:p>
        </w:tc>
        <w:tc>
          <w:tcPr>
            <w:tcW w:w="955" w:type="dxa"/>
            <w:tcBorders>
              <w:bottom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leftChars="0" w:firstLine="210" w:firstLineChars="100"/>
              <w:jc w:val="left"/>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减少烟花鞭炮燃放</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leftChars="0" w:firstLine="210" w:firstLineChars="100"/>
              <w:jc w:val="left"/>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建立长效管理机制</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leftChars="0" w:firstLine="210" w:firstLineChars="100"/>
              <w:jc w:val="left"/>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开展相关活动</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leftChars="0" w:firstLine="210" w:firstLineChars="100"/>
              <w:jc w:val="left"/>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leftChars="0" w:firstLine="210" w:firstLineChars="100"/>
              <w:jc w:val="left"/>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1422" w:type="dxa"/>
            <w:noWrap w:val="0"/>
            <w:vAlign w:val="center"/>
          </w:tcPr>
          <w:p>
            <w:pPr>
              <w:pStyle w:val="10"/>
              <w:spacing w:line="225" w:lineRule="exact"/>
              <w:jc w:val="center"/>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0"/>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center"/>
          </w:tcPr>
          <w:p>
            <w:pPr>
              <w:spacing w:before="26" w:line="226" w:lineRule="auto"/>
              <w:jc w:val="both"/>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对于安全生产工作宣传力度、执法工作基本满意</w:t>
            </w:r>
          </w:p>
        </w:tc>
        <w:tc>
          <w:tcPr>
            <w:tcW w:w="1244" w:type="dxa"/>
            <w:noWrap w:val="0"/>
            <w:vAlign w:val="center"/>
          </w:tcPr>
          <w:p>
            <w:pPr>
              <w:spacing w:before="26" w:line="226" w:lineRule="auto"/>
              <w:ind w:left="346"/>
              <w:jc w:val="center"/>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≥90%</w:t>
            </w:r>
          </w:p>
        </w:tc>
        <w:tc>
          <w:tcPr>
            <w:tcW w:w="1281" w:type="dxa"/>
            <w:noWrap w:val="0"/>
            <w:vAlign w:val="center"/>
          </w:tcPr>
          <w:p>
            <w:pPr>
              <w:spacing w:before="26" w:line="226" w:lineRule="auto"/>
              <w:ind w:left="346"/>
              <w:jc w:val="center"/>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=90%</w:t>
            </w:r>
          </w:p>
        </w:tc>
        <w:tc>
          <w:tcPr>
            <w:tcW w:w="673" w:type="dxa"/>
            <w:noWrap w:val="0"/>
            <w:vAlign w:val="center"/>
          </w:tcPr>
          <w:p>
            <w:pPr>
              <w:spacing w:before="26" w:line="226" w:lineRule="auto"/>
              <w:ind w:left="346"/>
              <w:jc w:val="center"/>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10</w:t>
            </w:r>
          </w:p>
        </w:tc>
        <w:tc>
          <w:tcPr>
            <w:tcW w:w="873" w:type="dxa"/>
            <w:noWrap w:val="0"/>
            <w:vAlign w:val="center"/>
          </w:tcPr>
          <w:p>
            <w:pPr>
              <w:spacing w:before="26" w:line="226" w:lineRule="auto"/>
              <w:ind w:left="346"/>
              <w:jc w:val="center"/>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lang w:val="en-US" w:eastAsia="zh-CN"/>
              </w:rPr>
              <w:t>10</w:t>
            </w:r>
          </w:p>
        </w:tc>
        <w:tc>
          <w:tcPr>
            <w:tcW w:w="1422" w:type="dxa"/>
            <w:noWrap w:val="0"/>
            <w:vAlign w:val="center"/>
          </w:tcPr>
          <w:p>
            <w:pPr>
              <w:pStyle w:val="10"/>
              <w:spacing w:line="225" w:lineRule="exact"/>
              <w:jc w:val="center"/>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10"/>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pPr>
              <w:pStyle w:val="10"/>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pPr>
              <w:pStyle w:val="10"/>
              <w:rPr>
                <w:rFonts w:hint="eastAsia" w:ascii="宋体" w:hAnsi="宋体" w:eastAsia="宋体" w:cs="宋体"/>
              </w:rPr>
            </w:pPr>
          </w:p>
        </w:tc>
        <w:tc>
          <w:tcPr>
            <w:tcW w:w="1244" w:type="dxa"/>
            <w:noWrap w:val="0"/>
            <w:vAlign w:val="top"/>
          </w:tcPr>
          <w:p>
            <w:pPr>
              <w:pStyle w:val="10"/>
              <w:spacing w:line="225" w:lineRule="exact"/>
              <w:rPr>
                <w:rFonts w:hint="eastAsia" w:ascii="宋体" w:hAnsi="宋体" w:eastAsia="宋体" w:cs="宋体"/>
                <w:sz w:val="19"/>
              </w:rPr>
            </w:pPr>
          </w:p>
        </w:tc>
        <w:tc>
          <w:tcPr>
            <w:tcW w:w="1244" w:type="dxa"/>
            <w:noWrap w:val="0"/>
            <w:vAlign w:val="top"/>
          </w:tcPr>
          <w:p>
            <w:pPr>
              <w:pStyle w:val="10"/>
              <w:spacing w:line="225" w:lineRule="exact"/>
              <w:rPr>
                <w:rFonts w:hint="eastAsia" w:ascii="宋体" w:hAnsi="宋体" w:eastAsia="宋体" w:cs="宋体"/>
                <w:sz w:val="19"/>
              </w:rPr>
            </w:pPr>
          </w:p>
        </w:tc>
        <w:tc>
          <w:tcPr>
            <w:tcW w:w="1281" w:type="dxa"/>
            <w:noWrap w:val="0"/>
            <w:vAlign w:val="top"/>
          </w:tcPr>
          <w:p>
            <w:pPr>
              <w:pStyle w:val="10"/>
              <w:spacing w:line="225" w:lineRule="exact"/>
              <w:rPr>
                <w:rFonts w:hint="eastAsia" w:ascii="宋体" w:hAnsi="宋体" w:eastAsia="宋体" w:cs="宋体"/>
                <w:sz w:val="19"/>
              </w:rPr>
            </w:pPr>
          </w:p>
        </w:tc>
        <w:tc>
          <w:tcPr>
            <w:tcW w:w="673" w:type="dxa"/>
            <w:noWrap w:val="0"/>
            <w:vAlign w:val="top"/>
          </w:tcPr>
          <w:p>
            <w:pPr>
              <w:pStyle w:val="10"/>
              <w:spacing w:line="225" w:lineRule="exact"/>
              <w:rPr>
                <w:rFonts w:hint="eastAsia" w:ascii="宋体" w:hAnsi="宋体" w:eastAsia="宋体" w:cs="宋体"/>
                <w:sz w:val="19"/>
              </w:rPr>
            </w:pPr>
          </w:p>
        </w:tc>
        <w:tc>
          <w:tcPr>
            <w:tcW w:w="873" w:type="dxa"/>
            <w:noWrap w:val="0"/>
            <w:vAlign w:val="top"/>
          </w:tcPr>
          <w:p>
            <w:pPr>
              <w:pStyle w:val="10"/>
              <w:spacing w:line="225" w:lineRule="exact"/>
              <w:rPr>
                <w:rFonts w:hint="eastAsia" w:ascii="宋体" w:hAnsi="宋体" w:eastAsia="宋体" w:cs="宋体"/>
                <w:sz w:val="19"/>
              </w:rPr>
            </w:pPr>
          </w:p>
        </w:tc>
        <w:tc>
          <w:tcPr>
            <w:tcW w:w="1422" w:type="dxa"/>
            <w:noWrap w:val="0"/>
            <w:vAlign w:val="top"/>
          </w:tcPr>
          <w:p>
            <w:pPr>
              <w:pStyle w:val="10"/>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pPr>
              <w:pStyle w:val="10"/>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pPr>
              <w:pStyle w:val="10"/>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pPr>
              <w:pStyle w:val="10"/>
              <w:rPr>
                <w:rFonts w:hint="eastAsia" w:ascii="宋体" w:hAnsi="宋体" w:eastAsia="宋体" w:cs="宋体"/>
              </w:rPr>
            </w:pPr>
          </w:p>
        </w:tc>
        <w:tc>
          <w:tcPr>
            <w:tcW w:w="1244" w:type="dxa"/>
            <w:noWrap w:val="0"/>
            <w:vAlign w:val="top"/>
          </w:tcPr>
          <w:p>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10"/>
              <w:rPr>
                <w:rFonts w:hint="eastAsia" w:ascii="宋体" w:hAnsi="宋体" w:eastAsia="宋体" w:cs="宋体"/>
              </w:rPr>
            </w:pPr>
          </w:p>
        </w:tc>
        <w:tc>
          <w:tcPr>
            <w:tcW w:w="1281" w:type="dxa"/>
            <w:noWrap w:val="0"/>
            <w:vAlign w:val="top"/>
          </w:tcPr>
          <w:p>
            <w:pPr>
              <w:pStyle w:val="10"/>
              <w:rPr>
                <w:rFonts w:hint="eastAsia" w:ascii="宋体" w:hAnsi="宋体" w:eastAsia="宋体" w:cs="宋体"/>
              </w:rPr>
            </w:pPr>
          </w:p>
        </w:tc>
        <w:tc>
          <w:tcPr>
            <w:tcW w:w="673" w:type="dxa"/>
            <w:noWrap w:val="0"/>
            <w:vAlign w:val="top"/>
          </w:tcPr>
          <w:p>
            <w:pPr>
              <w:pStyle w:val="10"/>
              <w:rPr>
                <w:rFonts w:hint="eastAsia" w:ascii="宋体" w:hAnsi="宋体" w:eastAsia="宋体" w:cs="宋体"/>
              </w:rPr>
            </w:pPr>
          </w:p>
        </w:tc>
        <w:tc>
          <w:tcPr>
            <w:tcW w:w="873" w:type="dxa"/>
            <w:noWrap w:val="0"/>
            <w:vAlign w:val="top"/>
          </w:tcPr>
          <w:p>
            <w:pPr>
              <w:spacing w:before="67" w:line="195" w:lineRule="auto"/>
              <w:ind w:left="208"/>
              <w:rPr>
                <w:rFonts w:hint="eastAsia" w:ascii="宋体" w:hAnsi="宋体" w:eastAsia="宋体" w:cs="宋体"/>
                <w:spacing w:val="-4"/>
                <w:sz w:val="19"/>
                <w:szCs w:val="19"/>
              </w:rPr>
            </w:pPr>
          </w:p>
        </w:tc>
        <w:tc>
          <w:tcPr>
            <w:tcW w:w="1422" w:type="dxa"/>
            <w:noWrap w:val="0"/>
            <w:vAlign w:val="top"/>
          </w:tcPr>
          <w:p>
            <w:pPr>
              <w:pStyle w:val="1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spacing w:before="67" w:line="195" w:lineRule="auto"/>
              <w:ind w:left="208"/>
              <w:rPr>
                <w:rFonts w:hint="eastAsia"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100</w:t>
            </w:r>
          </w:p>
          <w:p>
            <w:pPr>
              <w:spacing w:before="67" w:line="195" w:lineRule="auto"/>
              <w:ind w:left="208"/>
              <w:rPr>
                <w:rFonts w:hint="default" w:ascii="宋体" w:hAnsi="宋体" w:eastAsia="宋体" w:cs="宋体"/>
                <w:spacing w:val="-4"/>
                <w:sz w:val="19"/>
                <w:szCs w:val="19"/>
                <w:lang w:val="en-US" w:eastAsia="zh-CN"/>
              </w:rPr>
            </w:pPr>
          </w:p>
        </w:tc>
        <w:tc>
          <w:tcPr>
            <w:tcW w:w="1422" w:type="dxa"/>
            <w:noWrap w:val="0"/>
            <w:vAlign w:val="top"/>
          </w:tcPr>
          <w:p>
            <w:pPr>
              <w:pStyle w:val="10"/>
              <w:rPr>
                <w:rFonts w:hint="eastAsia" w:ascii="宋体" w:hAnsi="宋体" w:eastAsia="宋体" w:cs="宋体"/>
              </w:rPr>
            </w:pPr>
          </w:p>
        </w:tc>
      </w:tr>
    </w:tbl>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岳阳楼区应急管理局</w:t>
      </w:r>
      <w:r>
        <w:rPr>
          <w:rFonts w:hint="eastAsia" w:ascii="方正小标宋简体" w:hAnsi="方正小标宋简体" w:eastAsia="方正小标宋简体" w:cs="方正小标宋简体"/>
          <w:b w:val="0"/>
          <w:bCs w:val="0"/>
          <w:color w:val="000000"/>
          <w:spacing w:val="2"/>
          <w:sz w:val="42"/>
          <w:szCs w:val="42"/>
          <w:lang w:eastAsia="zh-CN"/>
        </w:rPr>
        <w:t>整体支出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5</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6</w:t>
      </w:r>
      <w:r>
        <w:rPr>
          <w:rFonts w:ascii="楷体" w:hAnsi="楷体" w:eastAsia="楷体" w:cs="楷体"/>
          <w:spacing w:val="43"/>
          <w:sz w:val="31"/>
          <w:szCs w:val="31"/>
        </w:rPr>
        <w:t xml:space="preserve"> </w:t>
      </w:r>
      <w:r>
        <w:rPr>
          <w:rFonts w:ascii="楷体" w:hAnsi="楷体" w:eastAsia="楷体" w:cs="楷体"/>
          <w:spacing w:val="-8"/>
          <w:sz w:val="31"/>
          <w:szCs w:val="31"/>
        </w:rPr>
        <w:t>日</w:t>
      </w:r>
    </w:p>
    <w:p>
      <w:pPr>
        <w:spacing w:line="335" w:lineRule="auto"/>
        <w:rPr>
          <w:rFonts w:ascii="Arial"/>
          <w:sz w:val="21"/>
        </w:rPr>
      </w:pPr>
    </w:p>
    <w:p>
      <w:pPr>
        <w:pStyle w:val="3"/>
        <w:spacing w:before="102" w:line="224" w:lineRule="auto"/>
        <w:ind w:left="3216"/>
      </w:pPr>
      <w:r>
        <w:rPr>
          <w:spacing w:val="8"/>
        </w:rPr>
        <w:t>（此页为封面）</w:t>
      </w:r>
    </w:p>
    <w:p>
      <w:pPr>
        <w:spacing w:line="224" w:lineRule="auto"/>
        <w:sectPr>
          <w:footerReference r:id="rId6" w:type="default"/>
          <w:pgSz w:w="11900" w:h="16833"/>
          <w:pgMar w:top="1401" w:right="1583" w:bottom="1445" w:left="1618" w:header="0" w:footer="1170"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spacing w:val="6"/>
          <w:sz w:val="44"/>
          <w:szCs w:val="44"/>
          <w:lang w:val="en-US" w:eastAsia="zh-CN"/>
        </w:rPr>
        <w:t>岳阳楼区应急管理局</w:t>
      </w:r>
      <w:r>
        <w:rPr>
          <w:rFonts w:hint="eastAsia" w:ascii="方正小标宋简体" w:hAnsi="方正小标宋简体" w:eastAsia="方正小标宋简体" w:cs="方正小标宋简体"/>
          <w:spacing w:val="6"/>
          <w:sz w:val="44"/>
          <w:szCs w:val="44"/>
        </w:rPr>
        <w:t>整体支出</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pPr>
        <w:spacing w:line="283" w:lineRule="auto"/>
        <w:rPr>
          <w:rFonts w:ascii="Arial"/>
          <w:sz w:val="21"/>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黑体" w:hAnsi="黑体" w:eastAsia="黑体" w:cs="黑体"/>
          <w:spacing w:val="5"/>
          <w:sz w:val="31"/>
          <w:szCs w:val="31"/>
        </w:rPr>
      </w:pPr>
      <w:r>
        <w:rPr>
          <w:rFonts w:hint="eastAsia" w:ascii="黑体" w:hAnsi="黑体" w:eastAsia="黑体" w:cs="黑体"/>
          <w:spacing w:val="5"/>
          <w:kern w:val="2"/>
          <w:sz w:val="31"/>
          <w:szCs w:val="31"/>
          <w:lang w:val="en-US" w:eastAsia="zh-CN" w:bidi="ar-SA"/>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pPr>
        <w:keepNext w:val="0"/>
        <w:keepLines w:val="0"/>
        <w:pageBreakBefore w:val="0"/>
        <w:widowControl/>
        <w:kinsoku/>
        <w:wordWrap/>
        <w:overflowPunct/>
        <w:topLinePunct w:val="0"/>
        <w:autoSpaceDE/>
        <w:autoSpaceDN/>
        <w:bidi w:val="0"/>
        <w:adjustRightInd/>
        <w:snapToGrid/>
        <w:spacing w:after="1" w:line="600" w:lineRule="exact"/>
        <w:ind w:firstLine="628"/>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（一）职能职责</w:t>
      </w:r>
      <w:r>
        <w:rPr>
          <w:rFonts w:hint="eastAsia" w:asciiTheme="minorEastAsia" w:hAnsiTheme="minorEastAsia" w:eastAsiaTheme="minorEastAsia" w:cstheme="minorEastAsia"/>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1、承担区人民政府安全生产委员会的日常工作。 </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2、对本部门监督的高危和行业生产经营单位的生产安全事故应急救援进行审查。 </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3、拟定全区安全生产发展规划和科技规划，组织、指导安全生产科研成果鉴定和先进技术推广、示范工作。 </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4、依法国家法律、法规，综合监督管理八大行业生产经营单位的安全生产工作。 </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5、依法组织一般生产安全事故的调查处理和结案办理工作，协助上级做好较大以上事故的调查处理工作。 </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6、负责指导、协调全区安全生产监测检验工作。 </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7、负责组织、指导全区安全生产宣传、教育工作；负责安全生产监督管理人员的培训组织、考核工作。 </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8、依照法律对危险化学品、非煤矿山、烟花爆竹、有毒有害作业场所等需要审查批准或验收的事故，进行审查、验收和发证。 </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9、全区防汛抗旱、地质灾害、森林防火、救灾救援等工作。 </w:t>
      </w:r>
    </w:p>
    <w:p>
      <w:pPr>
        <w:keepNext w:val="0"/>
        <w:keepLines w:val="0"/>
        <w:pageBreakBefore w:val="0"/>
        <w:widowControl/>
        <w:kinsoku/>
        <w:wordWrap/>
        <w:overflowPunct/>
        <w:topLinePunct w:val="0"/>
        <w:autoSpaceDE/>
        <w:autoSpaceDN/>
        <w:bidi w:val="0"/>
        <w:adjustRightInd/>
        <w:snapToGrid/>
        <w:spacing w:after="1" w:line="600" w:lineRule="exact"/>
        <w:ind w:firstLine="628"/>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（二）机构设置</w:t>
      </w:r>
      <w:r>
        <w:rPr>
          <w:rFonts w:hint="eastAsia" w:asciiTheme="minorEastAsia" w:hAnsiTheme="minorEastAsia" w:eastAsiaTheme="minorEastAsia" w:cstheme="minorEastAsia"/>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 xml:space="preserve">1、人员构成：应急局总编制数49人，行政编制13人，参公事业编制12人，事业编制24人。 2、内设股室：根据编办核定，我局内设7个职能股室，2个二级机构，（办公室、协调股、危化股、法规股、行业监管股、烟花爆竹股与非煤矿山股、统计事故调查股，其中二级机构有应急管理综合行政执法大队、安全生产应急救援中心加挂“防震减灾事务中心）。 </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heme="minorEastAsia" w:hAnsiTheme="minorEastAsia" w:eastAsiaTheme="minorEastAsia" w:cstheme="minorEastAsia"/>
          <w:sz w:val="32"/>
          <w:szCs w:val="32"/>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2023年基本支出为623.74万元，其中：人员经费546.52万元，主要包括：基本工资、津贴补贴、奖金、绩效工资、机关事业单位基本养老保险缴费、职业年金缴费、职工基本医疗保险缴费、其他社会保障缴费、住房公积金、退休费、其他对个人和家庭的补助；商品和服务支出84.78万元，主要包括：办公费、印刷费、咨询费、水费、电费、邮电费、物业管理费、差旅费、维修(护)费、会议费、培训费、公务接待费、工会经费、其他商品和服务支出。</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2023年项目支出为1194.6万元，其中：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业务工作经费382.55万元，主要用于完成特定行政工作任务或事业发展目标、全区生产各行业举报线索奖励、公务车运行及维护。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仓田消防站建设专项支出809.11万元，主要用于仓田消防站整体建设费用。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楷体" w:hAnsi="楷体" w:eastAsia="楷体" w:cs="楷体"/>
          <w:spacing w:val="9"/>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三、</w:t>
      </w:r>
      <w:r>
        <w:rPr>
          <w:rFonts w:ascii="黑体" w:hAnsi="黑体" w:eastAsia="黑体" w:cs="黑体"/>
          <w:spacing w:val="8"/>
          <w:sz w:val="31"/>
          <w:szCs w:val="31"/>
        </w:rPr>
        <w:t>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eastAsiaTheme="minorEastAsia"/>
          <w:lang w:val="en-US" w:eastAsia="zh-CN"/>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2023年度本部门无政府性基金安排的支出。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7"/>
          <w:position w:val="21"/>
          <w:sz w:val="31"/>
          <w:szCs w:val="31"/>
        </w:rPr>
      </w:pPr>
      <w:r>
        <w:rPr>
          <w:rFonts w:hint="eastAsia" w:ascii="黑体" w:hAnsi="黑体" w:eastAsia="黑体" w:cs="黑体"/>
          <w:spacing w:val="7"/>
          <w:position w:val="21"/>
          <w:sz w:val="31"/>
          <w:szCs w:val="31"/>
          <w:lang w:val="en-US" w:eastAsia="zh-CN"/>
        </w:rPr>
        <w:t>四、</w:t>
      </w:r>
      <w:r>
        <w:rPr>
          <w:rFonts w:ascii="黑体" w:hAnsi="黑体" w:eastAsia="黑体" w:cs="黑体"/>
          <w:spacing w:val="7"/>
          <w:position w:val="21"/>
          <w:sz w:val="31"/>
          <w:szCs w:val="31"/>
        </w:rPr>
        <w:t>国有资本经营预算支出情况</w:t>
      </w:r>
    </w:p>
    <w:p>
      <w:pPr>
        <w:pStyle w:val="2"/>
        <w:numPr>
          <w:ilvl w:val="0"/>
          <w:numId w:val="0"/>
        </w:numPr>
        <w:ind w:firstLine="640" w:firstLineChars="200"/>
        <w:rPr>
          <w:rFonts w:hint="eastAsia" w:asciiTheme="minorEastAsia" w:hAnsiTheme="minorEastAsia" w:cstheme="minorEastAsia"/>
          <w:sz w:val="32"/>
          <w:szCs w:val="32"/>
          <w:lang w:val="en-US" w:eastAsia="zh-CN"/>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2023年度本部门无国有资本经营预算支出</w:t>
      </w:r>
      <w:r>
        <w:rPr>
          <w:rFonts w:hint="eastAsia" w:asciiTheme="minorEastAsia" w:hAnsiTheme="minorEastAsia" w:cstheme="minorEastAsia"/>
          <w:sz w:val="32"/>
          <w:szCs w:val="32"/>
          <w:lang w:val="en-US" w:eastAsia="zh-CN"/>
        </w:rPr>
        <w:t>。</w:t>
      </w:r>
    </w:p>
    <w:p>
      <w:pPr>
        <w:pStyle w:val="2"/>
        <w:numPr>
          <w:ilvl w:val="0"/>
          <w:numId w:val="0"/>
        </w:numPr>
        <w:ind w:left="0" w:leftChars="0" w:firstLine="0" w:firstLineChars="0"/>
        <w:rPr>
          <w:rFonts w:ascii="黑体" w:hAnsi="黑体" w:eastAsia="黑体" w:cs="黑体"/>
          <w:spacing w:val="8"/>
          <w:sz w:val="31"/>
          <w:szCs w:val="31"/>
        </w:rPr>
      </w:pPr>
      <w:r>
        <w:rPr>
          <w:rFonts w:hint="eastAsia" w:ascii="黑体" w:hAnsi="黑体" w:eastAsia="黑体" w:cs="黑体"/>
          <w:spacing w:val="8"/>
          <w:sz w:val="31"/>
          <w:szCs w:val="31"/>
          <w:lang w:val="en-US" w:eastAsia="zh-CN"/>
        </w:rPr>
        <w:t>五、</w:t>
      </w:r>
      <w:r>
        <w:rPr>
          <w:rFonts w:ascii="黑体" w:hAnsi="黑体" w:eastAsia="黑体" w:cs="黑体"/>
          <w:spacing w:val="8"/>
          <w:sz w:val="31"/>
          <w:szCs w:val="31"/>
        </w:rPr>
        <w:t>社会保险基金预算支出情况</w:t>
      </w:r>
    </w:p>
    <w:p>
      <w:pPr>
        <w:ind w:firstLine="640" w:firstLineChars="200"/>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2022年度本部门无社会保险基金预算支出。</w:t>
      </w:r>
    </w:p>
    <w:p>
      <w:pPr>
        <w:numPr>
          <w:ilvl w:val="0"/>
          <w:numId w:val="0"/>
        </w:numPr>
        <w:ind w:leftChars="0"/>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岳阳楼区应急管理局深入学习贯彻习近平总书记关于安全生产和应急管理重要论述和重要指示批示精神，认真落实省委省政府、市委市政府“打好安全生产翻身仗”总体要求和决策部署，锚定“三坚决两确保”工作目标，持续提升公共安全治理水平。全区共发生生产安全事故7起，死亡7人，其中一般生产安全事故1起，死亡1人，同比均下降66%；十二类车辆道路运输事故6起，死亡6人。</w:t>
      </w:r>
      <w:r>
        <w:rPr>
          <w:rFonts w:hint="eastAsia" w:ascii="仿宋_GB2312" w:hAnsi="仿宋_GB2312" w:eastAsia="仿宋_GB2312" w:cs="仿宋_GB2312"/>
          <w:color w:val="000000" w:themeColor="text1"/>
          <w:sz w:val="32"/>
          <w:szCs w:val="32"/>
          <w:lang w:eastAsia="zh-CN"/>
          <w14:textFill>
            <w14:solidFill>
              <w14:schemeClr w14:val="tx1"/>
            </w14:solidFill>
          </w14:textFill>
        </w:rPr>
        <w:t>全区</w:t>
      </w:r>
      <w:r>
        <w:rPr>
          <w:rFonts w:hint="eastAsia" w:ascii="仿宋_GB2312" w:hAnsi="仿宋_GB2312" w:eastAsia="仿宋_GB2312" w:cs="仿宋_GB2312"/>
          <w:color w:val="000000" w:themeColor="text1"/>
          <w:sz w:val="32"/>
          <w:szCs w:val="32"/>
          <w14:textFill>
            <w14:solidFill>
              <w14:schemeClr w14:val="tx1"/>
            </w14:solidFill>
          </w14:textFill>
        </w:rPr>
        <w:t>未发生较大以上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安全事故</w:t>
      </w:r>
      <w:r>
        <w:rPr>
          <w:rFonts w:hint="eastAsia" w:ascii="仿宋_GB2312" w:hAnsi="仿宋_GB2312" w:eastAsia="仿宋_GB2312" w:cs="仿宋_GB2312"/>
          <w:color w:val="000000" w:themeColor="text1"/>
          <w:sz w:val="32"/>
          <w:szCs w:val="32"/>
          <w:lang w:eastAsia="zh-CN"/>
          <w14:textFill>
            <w14:solidFill>
              <w14:schemeClr w14:val="tx1"/>
            </w14:solidFill>
          </w14:textFill>
        </w:rPr>
        <w:t>，未发生</w:t>
      </w:r>
      <w:r>
        <w:rPr>
          <w:rFonts w:hint="eastAsia" w:ascii="仿宋_GB2312" w:hAnsi="仿宋_GB2312" w:eastAsia="仿宋_GB2312" w:cs="仿宋_GB2312"/>
          <w:color w:val="000000" w:themeColor="text1"/>
          <w:sz w:val="32"/>
          <w:szCs w:val="32"/>
          <w14:textFill>
            <w14:solidFill>
              <w14:schemeClr w14:val="tx1"/>
            </w14:solidFill>
          </w14:textFill>
        </w:rPr>
        <w:t>自然灾害亡人事件和森林火灾事故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汛期以来没有出现大的灾情险情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安全生产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、防灾减灾和应急处突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w:t>
      </w:r>
      <w:r>
        <w:rPr>
          <w:rFonts w:hint="eastAsia" w:ascii="仿宋_GB2312" w:hAnsi="仿宋_GB2312" w:eastAsia="仿宋_GB2312" w:cs="仿宋_GB2312"/>
          <w:sz w:val="32"/>
          <w:lang w:val="en-US" w:eastAsia="zh-CN"/>
        </w:rPr>
        <w:t>形势总体保持平稳。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b/>
          <w:bCs/>
          <w:kern w:val="2"/>
          <w:sz w:val="32"/>
          <w:szCs w:val="24"/>
          <w:lang w:val="en-US" w:eastAsia="zh-CN" w:bidi="ar-SA"/>
        </w:rPr>
        <w:t>（一）</w:t>
      </w:r>
      <w:r>
        <w:rPr>
          <w:rFonts w:hint="eastAsia" w:ascii="楷体_GB2312" w:hAnsi="楷体_GB2312" w:eastAsia="楷体_GB2312" w:cs="楷体_GB2312"/>
          <w:b/>
          <w:bCs/>
          <w:sz w:val="32"/>
          <w:lang w:val="en-US" w:eastAsia="zh-CN"/>
        </w:rPr>
        <w:t>强化政治引领，筑牢思想理论根基。</w:t>
      </w:r>
      <w:r>
        <w:rPr>
          <w:rFonts w:hint="eastAsia" w:ascii="仿宋_GB2312" w:hAnsi="仿宋_GB2312" w:eastAsia="仿宋_GB2312" w:cs="仿宋_GB2312"/>
          <w:sz w:val="32"/>
          <w:lang w:val="en-US" w:eastAsia="zh-CN"/>
        </w:rPr>
        <w:t>严格落实“第一议题”制度，组织学习贯彻习近平总书记重要指示批示精神、党的二十大精神等专题学习12次，</w:t>
      </w:r>
      <w:r>
        <w:rPr>
          <w:rFonts w:hint="eastAsia" w:ascii="仿宋_GB2312" w:hAnsi="仿宋_GB2312" w:eastAsia="仿宋_GB2312" w:cs="仿宋_GB2312"/>
          <w:sz w:val="32"/>
          <w:szCs w:val="32"/>
        </w:rPr>
        <w:t>不断提高</w:t>
      </w:r>
      <w:r>
        <w:rPr>
          <w:rFonts w:hint="eastAsia" w:ascii="仿宋_GB2312" w:hAnsi="仿宋_GB2312" w:eastAsia="仿宋_GB2312" w:cs="仿宋_GB2312"/>
          <w:sz w:val="32"/>
          <w:szCs w:val="32"/>
          <w:lang w:eastAsia="zh-CN"/>
        </w:rPr>
        <w:t>领导班子、党</w:t>
      </w:r>
      <w:r>
        <w:rPr>
          <w:rFonts w:hint="eastAsia" w:ascii="仿宋_GB2312" w:hAnsi="仿宋_GB2312" w:eastAsia="仿宋_GB2312" w:cs="仿宋_GB2312"/>
          <w:sz w:val="32"/>
          <w:szCs w:val="32"/>
        </w:rPr>
        <w:t>员干部政</w:t>
      </w:r>
      <w:r>
        <w:rPr>
          <w:rFonts w:hint="eastAsia" w:ascii="仿宋_GB2312" w:hAnsi="仿宋_GB2312" w:eastAsia="仿宋_GB2312" w:cs="仿宋_GB2312"/>
          <w:sz w:val="32"/>
          <w:szCs w:val="32"/>
          <w:lang w:eastAsia="zh-CN"/>
        </w:rPr>
        <w:t>治</w:t>
      </w:r>
      <w:r>
        <w:rPr>
          <w:rFonts w:hint="eastAsia" w:ascii="仿宋_GB2312" w:hAnsi="仿宋_GB2312" w:eastAsia="仿宋_GB2312" w:cs="仿宋_GB2312"/>
          <w:sz w:val="32"/>
          <w:szCs w:val="32"/>
        </w:rPr>
        <w:t>判断力、政</w:t>
      </w:r>
      <w:r>
        <w:rPr>
          <w:rFonts w:hint="eastAsia" w:ascii="仿宋_GB2312" w:hAnsi="仿宋_GB2312" w:eastAsia="仿宋_GB2312" w:cs="仿宋_GB2312"/>
          <w:sz w:val="32"/>
          <w:szCs w:val="32"/>
          <w:lang w:eastAsia="zh-CN"/>
        </w:rPr>
        <w:t>治</w:t>
      </w:r>
      <w:r>
        <w:rPr>
          <w:rFonts w:hint="eastAsia" w:ascii="仿宋_GB2312" w:hAnsi="仿宋_GB2312" w:eastAsia="仿宋_GB2312" w:cs="仿宋_GB2312"/>
          <w:sz w:val="32"/>
          <w:szCs w:val="32"/>
        </w:rPr>
        <w:t>领悟力、政</w:t>
      </w:r>
      <w:r>
        <w:rPr>
          <w:rFonts w:hint="eastAsia" w:ascii="仿宋_GB2312" w:hAnsi="仿宋_GB2312" w:eastAsia="仿宋_GB2312" w:cs="仿宋_GB2312"/>
          <w:sz w:val="32"/>
          <w:szCs w:val="32"/>
          <w:lang w:eastAsia="zh-CN"/>
        </w:rPr>
        <w:t>治</w:t>
      </w:r>
      <w:r>
        <w:rPr>
          <w:rFonts w:hint="eastAsia" w:ascii="仿宋_GB2312" w:hAnsi="仿宋_GB2312" w:eastAsia="仿宋_GB2312" w:cs="仿宋_GB2312"/>
          <w:sz w:val="32"/>
          <w:szCs w:val="32"/>
        </w:rPr>
        <w:t>执行力</w:t>
      </w:r>
      <w:r>
        <w:rPr>
          <w:rFonts w:hint="eastAsia" w:ascii="仿宋_GB2312" w:hAnsi="仿宋_GB2312" w:eastAsia="仿宋_GB2312" w:cs="仿宋_GB2312"/>
          <w:sz w:val="32"/>
          <w:lang w:val="en-US" w:eastAsia="zh-CN"/>
        </w:rPr>
        <w:t>。扎实写好巡查整改涉及我区安全生产领域的“后半篇”文章，牵头推进巡查整改专项检查反馈问题整改。加强组织建设，进一步选优配强领导班子，积极、稳妥做好党员发展，多名干部提交入党申请书。高质量完成专题民主生活会，巩固拓展主题教育学习成果，持续贯彻“大兴调查研究之风”，局领导每月带队深入街道、社区进行调研，强化“区—街道—社区”协同联动，加快构建“大安全大应急”框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lang w:val="en-US" w:eastAsia="zh-CN"/>
        </w:rPr>
      </w:pPr>
      <w:r>
        <w:rPr>
          <w:rFonts w:hint="eastAsia" w:ascii="楷体_GB2312" w:hAnsi="楷体_GB2312" w:eastAsia="楷体_GB2312" w:cs="楷体_GB2312"/>
          <w:b/>
          <w:bCs/>
          <w:kern w:val="2"/>
          <w:sz w:val="32"/>
          <w:szCs w:val="24"/>
          <w:lang w:val="en-US" w:eastAsia="zh-CN" w:bidi="ar-SA"/>
        </w:rPr>
        <w:t>（二）加强队伍建设，强化干部履职担当。</w:t>
      </w:r>
      <w:r>
        <w:rPr>
          <w:rFonts w:hint="eastAsia" w:ascii="仿宋_GB2312" w:hAnsi="仿宋_GB2312" w:eastAsia="仿宋_GB2312" w:cs="仿宋_GB2312"/>
          <w:sz w:val="32"/>
          <w:lang w:val="en-US" w:eastAsia="zh-CN"/>
        </w:rPr>
        <w:t>强化干部队伍作风建设，强力推进“两带头五整治”专项整治，局班子定期专题研究党风廉政建设工作，班子成员严格落实“一岗双责”，带头接受群众监督；组织开展干部队伍教育整顿活动，完成集中学习4次，以班子示范带动整体，营造风清气正的良好政治氛围。进一步盘活和壮大应急队伍，新调入2名领导干部、1名事业编制人员和招录2名事业编制人员，队伍结构得到了进一步优化。开展以强带弱、以老带新，加强干部素质培养，推进干部能力培养的针对性、系统性和持续性，我局3名干部受到市应急管理局来信表扬。规范应急综合执法人员队伍，严格执行安全生产领域行政执法月度通报制度，每月召开安全生产行政执法工作分析会，进一步提升安全监管执法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2"/>
          <w:sz w:val="32"/>
          <w:szCs w:val="24"/>
          <w:lang w:val="en-US" w:eastAsia="zh-CN" w:bidi="ar-SA"/>
        </w:rPr>
        <w:t>（三）强化综合统筹，压实安全责任链条。</w:t>
      </w:r>
      <w:r>
        <w:rPr>
          <w:rFonts w:hint="eastAsia" w:ascii="仿宋_GB2312" w:hAnsi="仿宋_GB2312" w:eastAsia="仿宋_GB2312" w:cs="仿宋_GB2312"/>
          <w:b w:val="0"/>
          <w:bCs w:val="0"/>
          <w:sz w:val="32"/>
          <w:szCs w:val="32"/>
          <w:lang w:val="en-US" w:eastAsia="zh-CN"/>
        </w:rPr>
        <w:t>出台《岳阳楼区打好安全生产翻身仗工作实施方案》，细化推动5项重点任务29个具体举措落地见效，做到任务清单化、责任具体化、督导常态化。出台</w:t>
      </w:r>
      <w:r>
        <w:rPr>
          <w:rFonts w:hint="eastAsia" w:ascii="仿宋_GB2312" w:hAnsi="仿宋_GB2312" w:eastAsia="仿宋_GB2312" w:cs="仿宋_GB2312"/>
          <w:b w:val="0"/>
          <w:bCs w:val="0"/>
          <w:sz w:val="32"/>
          <w:szCs w:val="32"/>
          <w:lang w:eastAsia="zh-CN"/>
        </w:rPr>
        <w:t>《岳阳市岳阳楼区安全生产委员会关于印发2023年安全生产和消防工作考核实施方案及考核细则的通知》《岳</w:t>
      </w:r>
      <w:r>
        <w:rPr>
          <w:rFonts w:hint="eastAsia" w:ascii="仿宋_GB2312" w:hAnsi="仿宋_GB2312" w:eastAsia="仿宋_GB2312" w:cs="仿宋_GB2312"/>
          <w:sz w:val="32"/>
          <w:szCs w:val="32"/>
          <w:lang w:eastAsia="zh-CN"/>
        </w:rPr>
        <w:t>阳楼区</w:t>
      </w:r>
      <w:r>
        <w:rPr>
          <w:rFonts w:hint="eastAsia" w:ascii="仿宋_GB2312" w:eastAsia="仿宋_GB2312"/>
          <w:b w:val="0"/>
          <w:bCs w:val="0"/>
          <w:sz w:val="32"/>
          <w:szCs w:val="32"/>
        </w:rPr>
        <w:t>安全生产月度约谈实施办法</w:t>
      </w:r>
      <w:r>
        <w:rPr>
          <w:rFonts w:hint="eastAsia" w:ascii="仿宋_GB2312" w:hAnsi="仿宋_GB2312" w:eastAsia="仿宋_GB2312" w:cs="仿宋_GB2312"/>
          <w:sz w:val="32"/>
          <w:szCs w:val="32"/>
          <w:lang w:eastAsia="zh-CN"/>
        </w:rPr>
        <w:t>》等重要文件，严格执行“月考核、月排名、月通报、月约谈”制度</w:t>
      </w:r>
      <w:r>
        <w:rPr>
          <w:rFonts w:hint="eastAsia" w:ascii="仿宋_GB2312" w:hAnsi="仿宋_GB2312" w:eastAsia="仿宋_GB2312" w:cs="仿宋_GB2312"/>
          <w:sz w:val="32"/>
          <w:szCs w:val="32"/>
          <w:lang w:val="en-US" w:eastAsia="zh-CN"/>
        </w:rPr>
        <w:t>，每月组织召开</w:t>
      </w:r>
      <w:r>
        <w:rPr>
          <w:rFonts w:hint="eastAsia" w:ascii="仿宋_GB2312" w:hAnsi="仿宋_GB2312" w:eastAsia="仿宋_GB2312" w:cs="仿宋_GB2312"/>
          <w:sz w:val="32"/>
          <w:szCs w:val="32"/>
          <w:lang w:eastAsia="zh-CN"/>
        </w:rPr>
        <w:t>安全生产考核集中约谈会，</w:t>
      </w:r>
      <w:r>
        <w:rPr>
          <w:rFonts w:hint="eastAsia" w:ascii="仿宋_GB2312" w:hAnsi="仿宋_GB2312" w:eastAsia="仿宋_GB2312" w:cs="仿宋_GB2312"/>
          <w:sz w:val="32"/>
          <w:szCs w:val="32"/>
          <w:lang w:val="en-US" w:eastAsia="zh-CN"/>
        </w:rPr>
        <w:t>区委区政府主要领导10次约谈相关单位主要负责人</w:t>
      </w:r>
      <w:r>
        <w:rPr>
          <w:rFonts w:hint="eastAsia" w:ascii="仿宋_GB2312" w:hAnsi="仿宋_GB2312" w:eastAsia="仿宋_GB2312" w:cs="仿宋_GB2312"/>
          <w:sz w:val="32"/>
          <w:szCs w:val="32"/>
          <w:lang w:eastAsia="zh-CN"/>
        </w:rPr>
        <w:t>，进一步传导压力。区安委办贯彻落实安委会成员单位专项督导制度，结合重点工作开展专项督导，及时交办问题，定期下发工作通报，</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lang w:eastAsia="zh-CN"/>
        </w:rPr>
        <w:t>压实各方责任。推动专委会每季度专题研究部署安全生产工作，形成“1+13”工作模式，全面覆盖各行业领域，确保安全生产各项措施落到实处。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eastAsia="zh-CN"/>
        </w:rPr>
      </w:pPr>
      <w:r>
        <w:rPr>
          <w:rFonts w:hint="eastAsia" w:ascii="楷体_GB2312" w:hAnsi="楷体_GB2312" w:eastAsia="楷体_GB2312" w:cs="楷体_GB2312"/>
          <w:b/>
          <w:bCs/>
          <w:i w:val="0"/>
          <w:iCs w:val="0"/>
          <w:caps w:val="0"/>
          <w:color w:val="585858"/>
          <w:spacing w:val="0"/>
          <w:sz w:val="32"/>
          <w:szCs w:val="32"/>
          <w:lang w:eastAsia="zh-CN"/>
        </w:rPr>
        <w:t>（四）</w:t>
      </w:r>
      <w:r>
        <w:rPr>
          <w:rFonts w:hint="eastAsia" w:ascii="楷体_GB2312" w:hAnsi="楷体_GB2312" w:eastAsia="楷体_GB2312" w:cs="楷体_GB2312"/>
          <w:b/>
          <w:bCs/>
          <w:i w:val="0"/>
          <w:iCs w:val="0"/>
          <w:caps w:val="0"/>
          <w:color w:val="585858"/>
          <w:spacing w:val="0"/>
          <w:sz w:val="32"/>
          <w:szCs w:val="32"/>
        </w:rPr>
        <w:t>严格行业监管，</w:t>
      </w:r>
      <w:r>
        <w:rPr>
          <w:rFonts w:hint="eastAsia" w:ascii="楷体_GB2312" w:hAnsi="楷体_GB2312" w:eastAsia="楷体_GB2312" w:cs="楷体_GB2312"/>
          <w:b/>
          <w:bCs/>
          <w:i w:val="0"/>
          <w:iCs w:val="0"/>
          <w:caps w:val="0"/>
          <w:color w:val="585858"/>
          <w:spacing w:val="0"/>
          <w:sz w:val="32"/>
          <w:szCs w:val="32"/>
          <w:lang w:eastAsia="zh-CN"/>
        </w:rPr>
        <w:t>全面</w:t>
      </w:r>
      <w:r>
        <w:rPr>
          <w:rFonts w:hint="eastAsia" w:ascii="楷体_GB2312" w:hAnsi="楷体_GB2312" w:eastAsia="楷体_GB2312" w:cs="楷体_GB2312"/>
          <w:b/>
          <w:bCs/>
          <w:i w:val="0"/>
          <w:iCs w:val="0"/>
          <w:caps w:val="0"/>
          <w:color w:val="585858"/>
          <w:spacing w:val="0"/>
          <w:sz w:val="32"/>
          <w:szCs w:val="32"/>
        </w:rPr>
        <w:t>深化专项整治。</w:t>
      </w:r>
      <w:r>
        <w:rPr>
          <w:rFonts w:hint="eastAsia" w:ascii="仿宋_GB2312" w:hAnsi="仿宋_GB2312" w:eastAsia="仿宋_GB2312" w:cs="仿宋_GB2312"/>
          <w:b w:val="0"/>
          <w:bCs w:val="0"/>
          <w:color w:val="000000"/>
          <w:kern w:val="0"/>
          <w:sz w:val="32"/>
          <w:szCs w:val="32"/>
          <w:lang w:val="en-US" w:eastAsia="zh-CN"/>
        </w:rPr>
        <w:t>持之以恒加大对消防、燃气、居民自建房、项目施工、拆迁拆违场地、老旧小区改造工地、道路交通、危化品、烟花爆竹、煤气中毒、小火亡人、特种设备、电动车充电等领域的安全生产隐患排查和整治工作，持续进行拉网式、全覆盖安全隐患排查整治。对重大事故隐患整治实行“一单四制”，区安委会挂牌督办。全区共排查各类安全隐患3755个，其中一般安全隐患和其他安全隐患1356个，均已全部整改；重大安全隐患2399个，现已整改2395个，整改率99%，未整改完成的隐患均在限期整改中；重大火灾隐患32个，区政府挂牌督办率100%。</w:t>
      </w:r>
      <w:r>
        <w:rPr>
          <w:rFonts w:hint="eastAsia" w:ascii="仿宋_GB2312" w:hAnsi="仿宋_GB2312" w:eastAsia="仿宋_GB2312" w:cs="仿宋_GB2312"/>
          <w:i w:val="0"/>
          <w:iCs w:val="0"/>
          <w:caps w:val="0"/>
          <w:color w:val="auto"/>
          <w:spacing w:val="0"/>
          <w:kern w:val="0"/>
          <w:sz w:val="32"/>
          <w:szCs w:val="32"/>
          <w:shd w:val="clear" w:fill="FFFFFF"/>
          <w:lang w:val="en-US" w:eastAsia="zh-CN"/>
        </w:rPr>
        <w:t>10月、11月应急综合执法在全市13个县市区中排名第1。坚持强执法防事故，</w:t>
      </w:r>
      <w:r>
        <w:rPr>
          <w:rFonts w:hint="eastAsia" w:ascii="仿宋_GB2312" w:hAnsi="仿宋_GB2312" w:eastAsia="仿宋_GB2312" w:cs="仿宋_GB2312"/>
          <w:i w:val="0"/>
          <w:iCs w:val="0"/>
          <w:caps w:val="0"/>
          <w:color w:val="auto"/>
          <w:spacing w:val="0"/>
          <w:kern w:val="0"/>
          <w:sz w:val="32"/>
          <w:szCs w:val="32"/>
          <w:shd w:val="clear" w:fill="FFFFFF"/>
          <w:lang w:eastAsia="zh-CN"/>
        </w:rPr>
        <w:t>持续加大重点领域、重点环节、重点部位、重点人群安全生产“打非治违”力度，立案调查</w:t>
      </w:r>
      <w:r>
        <w:rPr>
          <w:rFonts w:hint="eastAsia" w:ascii="仿宋_GB2312" w:hAnsi="仿宋_GB2312" w:eastAsia="仿宋_GB2312" w:cs="仿宋_GB2312"/>
          <w:i w:val="0"/>
          <w:iCs w:val="0"/>
          <w:caps w:val="0"/>
          <w:color w:val="auto"/>
          <w:spacing w:val="0"/>
          <w:kern w:val="0"/>
          <w:sz w:val="32"/>
          <w:szCs w:val="32"/>
          <w:shd w:val="clear" w:fill="FFFFFF"/>
          <w:lang w:val="en-US" w:eastAsia="zh-CN"/>
        </w:rPr>
        <w:t>92</w:t>
      </w:r>
      <w:r>
        <w:rPr>
          <w:rFonts w:hint="eastAsia" w:ascii="仿宋_GB2312" w:hAnsi="仿宋_GB2312" w:eastAsia="仿宋_GB2312" w:cs="仿宋_GB2312"/>
          <w:i w:val="0"/>
          <w:iCs w:val="0"/>
          <w:caps w:val="0"/>
          <w:color w:val="auto"/>
          <w:spacing w:val="0"/>
          <w:kern w:val="0"/>
          <w:sz w:val="32"/>
          <w:szCs w:val="32"/>
          <w:shd w:val="clear" w:fill="FFFFFF"/>
          <w:lang w:eastAsia="zh-CN"/>
        </w:rPr>
        <w:t>起，责令停产整顿1起，行刑衔接2人。</w:t>
      </w:r>
      <w:r>
        <w:rPr>
          <w:rFonts w:hint="eastAsia" w:ascii="仿宋_GB2312" w:hAnsi="仿宋_GB2312" w:eastAsia="仿宋_GB2312" w:cs="仿宋_GB2312"/>
          <w:i w:val="0"/>
          <w:iCs w:val="0"/>
          <w:caps w:val="0"/>
          <w:color w:val="auto"/>
          <w:spacing w:val="0"/>
          <w:kern w:val="0"/>
          <w:sz w:val="32"/>
          <w:szCs w:val="32"/>
          <w:shd w:val="clear" w:fill="FFFFFF"/>
          <w:lang w:val="en-US" w:eastAsia="zh-CN"/>
        </w:rPr>
        <w:t>工矿商贸四大直管行业保持零事故发生。</w:t>
      </w:r>
      <w:r>
        <w:rPr>
          <w:rFonts w:hint="eastAsia" w:ascii="仿宋_GB2312" w:hAnsi="仿宋_GB2312" w:eastAsia="仿宋_GB2312" w:cs="仿宋_GB2312"/>
          <w:i w:val="0"/>
          <w:iCs w:val="0"/>
          <w:caps w:val="0"/>
          <w:color w:val="auto"/>
          <w:spacing w:val="0"/>
          <w:kern w:val="0"/>
          <w:sz w:val="32"/>
          <w:szCs w:val="32"/>
          <w:shd w:val="clear" w:fill="FFFFFF"/>
          <w:lang w:eastAsia="zh-CN"/>
        </w:rPr>
        <w:t>工贸领域切实开展机械制造行业和轻工行业重大事故隐患专项排查整治行动，重大隐患100%“清零”；烟花爆竹领域联合</w:t>
      </w:r>
      <w:r>
        <w:rPr>
          <w:rFonts w:hint="eastAsia" w:ascii="仿宋_GB2312" w:hAnsi="仿宋_GB2312" w:eastAsia="仿宋_GB2312" w:cs="仿宋_GB2312"/>
          <w:i w:val="0"/>
          <w:iCs w:val="0"/>
          <w:caps w:val="0"/>
          <w:color w:val="auto"/>
          <w:spacing w:val="0"/>
          <w:kern w:val="0"/>
          <w:sz w:val="32"/>
          <w:szCs w:val="32"/>
          <w:shd w:val="clear" w:fill="FFFFFF"/>
          <w:lang w:val="en-US" w:eastAsia="zh-CN"/>
        </w:rPr>
        <w:t>城管禁炮大队</w:t>
      </w:r>
      <w:r>
        <w:rPr>
          <w:rFonts w:hint="eastAsia" w:ascii="仿宋_GB2312" w:hAnsi="仿宋_GB2312" w:eastAsia="仿宋_GB2312" w:cs="仿宋_GB2312"/>
          <w:i w:val="0"/>
          <w:iCs w:val="0"/>
          <w:caps w:val="0"/>
          <w:color w:val="auto"/>
          <w:spacing w:val="0"/>
          <w:kern w:val="0"/>
          <w:sz w:val="32"/>
          <w:szCs w:val="32"/>
          <w:shd w:val="clear" w:fill="FFFFFF"/>
          <w:lang w:eastAsia="zh-CN"/>
        </w:rPr>
        <w:t>开展大型炮源清缴行动50余次，排查经营门店5400余家，查获非法储存烟花爆竹仓库9个；危化领域扎实推进沿江一公里化工企业生产、关停、搬迁等工作，成品油市场“打非治违”整治行动办理非法经营成品油案件8起，查封油罐4个，行政立案6起，办理行刑衔接案2起，刑事拘留2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楷体_GB2312" w:hAnsi="楷体_GB2312" w:eastAsia="楷体_GB2312" w:cs="楷体_GB2312"/>
          <w:b/>
          <w:bCs/>
          <w:i w:val="0"/>
          <w:iCs w:val="0"/>
          <w:caps w:val="0"/>
          <w:color w:val="585858"/>
          <w:spacing w:val="0"/>
          <w:sz w:val="32"/>
          <w:szCs w:val="32"/>
          <w:lang w:eastAsia="zh-CN"/>
        </w:rPr>
        <w:t>（五）</w:t>
      </w:r>
      <w:r>
        <w:rPr>
          <w:rFonts w:hint="eastAsia" w:ascii="楷体_GB2312" w:hAnsi="楷体_GB2312" w:eastAsia="楷体_GB2312" w:cs="楷体_GB2312"/>
          <w:b/>
          <w:bCs/>
          <w:i w:val="0"/>
          <w:iCs w:val="0"/>
          <w:caps w:val="0"/>
          <w:color w:val="585858"/>
          <w:spacing w:val="0"/>
          <w:sz w:val="32"/>
          <w:szCs w:val="32"/>
        </w:rPr>
        <w:t>完善</w:t>
      </w:r>
      <w:r>
        <w:rPr>
          <w:rFonts w:hint="eastAsia" w:ascii="楷体_GB2312" w:hAnsi="楷体_GB2312" w:eastAsia="楷体_GB2312" w:cs="楷体_GB2312"/>
          <w:b/>
          <w:bCs/>
          <w:i w:val="0"/>
          <w:iCs w:val="0"/>
          <w:caps w:val="0"/>
          <w:color w:val="585858"/>
          <w:spacing w:val="0"/>
          <w:sz w:val="32"/>
          <w:szCs w:val="32"/>
          <w:lang w:eastAsia="zh-CN"/>
        </w:rPr>
        <w:t>应急</w:t>
      </w:r>
      <w:r>
        <w:rPr>
          <w:rFonts w:hint="eastAsia" w:ascii="楷体_GB2312" w:hAnsi="楷体_GB2312" w:eastAsia="楷体_GB2312" w:cs="楷体_GB2312"/>
          <w:b/>
          <w:bCs/>
          <w:i w:val="0"/>
          <w:iCs w:val="0"/>
          <w:caps w:val="0"/>
          <w:color w:val="585858"/>
          <w:spacing w:val="0"/>
          <w:sz w:val="32"/>
          <w:szCs w:val="32"/>
        </w:rPr>
        <w:t>体系，提升灾害防治水平。</w:t>
      </w: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持续推进基层应急能力建设，严格按照“六有”“三有”标准推进应急能力建设，全区15个街道（乡）全部完成应急能力建设达标工作，108个社区（村）均实现安全生产和消防网格化管理。筹备申报“省安全发展示范乡镇”岳阳楼街道、“市安全发展示范乡镇”吕仙亭街道，示范创建工作再上新台阶。加强应急物资保障能力建设，改造增强区级应急物资仓库，更新应急物资储备。2023年，有效应对2轮低温雨雪冰冻灾害天气，着力抓好了“治水”防大汛和“防火”保森林。全面修订了《防汛抗旱应急预案》《水库应急预案》等重要预案。今年来，有效应对15轮暴雨洪水，实现人员零伤亡、重大工程零出险，防汛工作得到省防汛指表扬。由区森防办牵头，联合应急、农业、消防等单位在麻布山高频率、不间断开展森林防火督查，开展了夏季和秋冬季防灭火演练，切实做到守住山、看住人、管住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黑体" w:hAnsi="黑体" w:eastAsia="黑体" w:cs="黑体"/>
          <w:spacing w:val="8"/>
          <w:sz w:val="31"/>
          <w:szCs w:val="31"/>
          <w:lang w:eastAsia="zh-CN"/>
        </w:rPr>
      </w:pPr>
      <w:r>
        <w:rPr>
          <w:rFonts w:hint="eastAsia" w:ascii="楷体_GB2312" w:hAnsi="楷体_GB2312" w:eastAsia="楷体_GB2312" w:cs="楷体_GB2312"/>
          <w:b/>
          <w:bCs/>
          <w:i w:val="0"/>
          <w:iCs w:val="0"/>
          <w:caps w:val="0"/>
          <w:color w:val="585858"/>
          <w:spacing w:val="0"/>
          <w:sz w:val="32"/>
          <w:szCs w:val="32"/>
          <w:lang w:val="en-US" w:eastAsia="zh-CN"/>
        </w:rPr>
        <w:t>（六）丰富宣培手段，营造浓厚文化氛围。</w:t>
      </w:r>
      <w:r>
        <w:rPr>
          <w:rFonts w:hint="eastAsia" w:ascii="仿宋_GB2312" w:hAnsi="仿宋_GB2312" w:eastAsia="仿宋_GB2312" w:cs="仿宋_GB2312"/>
          <w:b w:val="0"/>
          <w:bCs w:val="0"/>
          <w:color w:val="000000"/>
          <w:sz w:val="32"/>
          <w:szCs w:val="32"/>
          <w:lang w:val="en-US" w:eastAsia="zh-CN"/>
        </w:rPr>
        <w:t>邀请市应急管理局杨峰局长为区委理论学习中心组作“学习习近平关于安全生产、消防工作重要论述和‘十五条硬措施’”专题授课。在楼区门户网站开辟安全生产专栏，持续报道“安全生产翻身仗”落实情况。将安全生产和应急管理培训纳入党校各级主体班教学内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开展宣传教育“五进”活动，开展“敲门入户”送安全、消防安全培训、防一氧化碳中毒、防小火亡人、安全生产九防、用电用火用气安全、学生防溺水等专题宣传教育。积极开展“5.12全国防灾减灾日”、“安全生产月”、“119”消防宣传月、“安康杯”竞赛、“森林防火宣传月”等宣教活动，今年来，全区共开展宣教活动250余次，出动宣传人员近2800余人次，制作宣传展板400余块，横幅900余条，发放宣传手册、宣传资料70000余份</w:t>
      </w:r>
    </w:p>
    <w:p>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9"/>
          <w:position w:val="21"/>
          <w:sz w:val="31"/>
          <w:szCs w:val="31"/>
          <w:lang w:eastAsia="zh-CN"/>
        </w:rPr>
      </w:pPr>
      <w:r>
        <w:rPr>
          <w:rFonts w:ascii="黑体" w:hAnsi="黑体" w:eastAsia="黑体" w:cs="黑体"/>
          <w:spacing w:val="9"/>
          <w:position w:val="21"/>
          <w:sz w:val="31"/>
          <w:szCs w:val="31"/>
        </w:rPr>
        <w:t>七、存在的问题及原因分析</w:t>
      </w:r>
      <w:r>
        <w:rPr>
          <w:rFonts w:hint="eastAsia" w:ascii="黑体" w:hAnsi="黑体" w:eastAsia="黑体" w:cs="黑体"/>
          <w:spacing w:val="9"/>
          <w:position w:val="21"/>
          <w:sz w:val="31"/>
          <w:szCs w:val="31"/>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（一）、预算编制合理性需要提高，预算执行力度还要进一步加强。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1、认真做好预算的编制，编制范围尽可能的全面、不漏项；进一步提高预算编制的科学性、合理性、严谨性和可控性。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2、严格执行各项制度，规范财务管理，提高资金使用效率。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3、实施有效的内部控制及监督制度。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4、加强绩效管理，完善绩效管理制度。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5、认真自查，及时自纠。</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2023年度单位整体支出绩效自评结果已在财政预算绩效管理信息系统填报及岳阳楼区政府门户网站公开。</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本部门无其他情况说明。</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Arial"/>
          <w:sz w:val="21"/>
        </w:rPr>
      </w:pPr>
    </w:p>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174" w:lineRule="auto"/>
      <w:ind w:left="574"/>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174" w:lineRule="auto"/>
      <w:jc w:val="right"/>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000E4"/>
    <w:multiLevelType w:val="singleLevel"/>
    <w:tmpl w:val="DD9000E4"/>
    <w:lvl w:ilvl="0" w:tentative="0">
      <w:start w:val="9"/>
      <w:numFmt w:val="chineseCounting"/>
      <w:suff w:val="nothing"/>
      <w:lvlText w:val="%1、"/>
      <w:lvlJc w:val="left"/>
      <w:rPr>
        <w:rFonts w:hint="eastAsia"/>
      </w:rPr>
    </w:lvl>
  </w:abstractNum>
  <w:abstractNum w:abstractNumId="1">
    <w:nsid w:val="0147855C"/>
    <w:multiLevelType w:val="singleLevel"/>
    <w:tmpl w:val="0147855C"/>
    <w:lvl w:ilvl="0" w:tentative="0">
      <w:start w:val="2"/>
      <w:numFmt w:val="chineseCounting"/>
      <w:suff w:val="nothing"/>
      <w:lvlText w:val="（%1）"/>
      <w:lvlJc w:val="left"/>
      <w:rPr>
        <w:rFonts w:hint="eastAsia"/>
      </w:rPr>
    </w:lvl>
  </w:abstractNum>
  <w:abstractNum w:abstractNumId="2">
    <w:nsid w:val="4DBB2CFA"/>
    <w:multiLevelType w:val="singleLevel"/>
    <w:tmpl w:val="4DBB2CFA"/>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2I1Y2E5MTg1NzJhN2FkNjlmNDg5OTI5OGY3ZTQifQ=="/>
    <w:docVar w:name="KSO_WPS_MARK_KEY" w:val="0827ec06-f129-4db4-bf2d-513ab5854679"/>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8A223A"/>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3599D"/>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0E3B7F"/>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83891"/>
    <w:rsid w:val="096C76C1"/>
    <w:rsid w:val="096F66FB"/>
    <w:rsid w:val="09835AC1"/>
    <w:rsid w:val="09906B28"/>
    <w:rsid w:val="09912E95"/>
    <w:rsid w:val="099C1A23"/>
    <w:rsid w:val="099C4051"/>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C3350"/>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624FA"/>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47CCD"/>
    <w:rsid w:val="14791934"/>
    <w:rsid w:val="147D213D"/>
    <w:rsid w:val="14A04833"/>
    <w:rsid w:val="14B12779"/>
    <w:rsid w:val="14B37576"/>
    <w:rsid w:val="14BC5A44"/>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04727"/>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96767"/>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41A3B"/>
    <w:rsid w:val="247573F6"/>
    <w:rsid w:val="247A4BE7"/>
    <w:rsid w:val="24806762"/>
    <w:rsid w:val="24814D5C"/>
    <w:rsid w:val="24831C33"/>
    <w:rsid w:val="248601CB"/>
    <w:rsid w:val="24917BA8"/>
    <w:rsid w:val="24970D37"/>
    <w:rsid w:val="24981483"/>
    <w:rsid w:val="249A04A2"/>
    <w:rsid w:val="249B0370"/>
    <w:rsid w:val="24A24A93"/>
    <w:rsid w:val="24A24AC6"/>
    <w:rsid w:val="24A3267C"/>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9D719D"/>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CE380D"/>
    <w:rsid w:val="2DD214F8"/>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152FC"/>
    <w:rsid w:val="30762710"/>
    <w:rsid w:val="30814CF1"/>
    <w:rsid w:val="308B3F17"/>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9D4A6A"/>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A6D13"/>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94920"/>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8C44DD"/>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27E8"/>
    <w:rsid w:val="3E9656A5"/>
    <w:rsid w:val="3E997463"/>
    <w:rsid w:val="3E997A46"/>
    <w:rsid w:val="3EA818D8"/>
    <w:rsid w:val="3EAD718B"/>
    <w:rsid w:val="3EC32B2C"/>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29425E"/>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8240D"/>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0579A3"/>
    <w:rsid w:val="44172128"/>
    <w:rsid w:val="441805FD"/>
    <w:rsid w:val="4420329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11854"/>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02A7A"/>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9646B"/>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61291"/>
    <w:rsid w:val="51EC4955"/>
    <w:rsid w:val="51ED2CE3"/>
    <w:rsid w:val="51ED3290"/>
    <w:rsid w:val="51F067B7"/>
    <w:rsid w:val="51F266CE"/>
    <w:rsid w:val="51F76A27"/>
    <w:rsid w:val="52077D46"/>
    <w:rsid w:val="52100317"/>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0024A"/>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67C76"/>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CF72D8"/>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907F1"/>
    <w:rsid w:val="651D0967"/>
    <w:rsid w:val="654069DE"/>
    <w:rsid w:val="65413B3E"/>
    <w:rsid w:val="654B3E81"/>
    <w:rsid w:val="6551078B"/>
    <w:rsid w:val="65547627"/>
    <w:rsid w:val="655555A6"/>
    <w:rsid w:val="655B28DC"/>
    <w:rsid w:val="655D3488"/>
    <w:rsid w:val="655F14F0"/>
    <w:rsid w:val="65660277"/>
    <w:rsid w:val="656E6D13"/>
    <w:rsid w:val="65990AED"/>
    <w:rsid w:val="65A13A93"/>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1324B7"/>
    <w:rsid w:val="661E5B72"/>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26F5B"/>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170F9"/>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95F05"/>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74579"/>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AA5CD8"/>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D45608"/>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847EF5"/>
    <w:rsid w:val="79987ED2"/>
    <w:rsid w:val="799D46B1"/>
    <w:rsid w:val="79AE1AE3"/>
    <w:rsid w:val="79AE77FB"/>
    <w:rsid w:val="79AF50E3"/>
    <w:rsid w:val="79B85AA8"/>
    <w:rsid w:val="79C342A8"/>
    <w:rsid w:val="79C34F9F"/>
    <w:rsid w:val="79C81B6A"/>
    <w:rsid w:val="79D46A29"/>
    <w:rsid w:val="79DD544C"/>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3F45D0"/>
    <w:rsid w:val="7C6212C4"/>
    <w:rsid w:val="7C7D684C"/>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15BE7"/>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01CDB"/>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CE1063"/>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5381</Words>
  <Characters>5930</Characters>
  <Lines>0</Lines>
  <Paragraphs>0</Paragraphs>
  <TotalTime>16</TotalTime>
  <ScaleCrop>false</ScaleCrop>
  <LinksUpToDate>false</LinksUpToDate>
  <CharactersWithSpaces>6084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necrolyte</cp:lastModifiedBy>
  <dcterms:modified xsi:type="dcterms:W3CDTF">2025-06-30T01:44:12Z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C29A13EC0FA64BE2A8AA7A92CDA94848_13</vt:lpwstr>
  </property>
</Properties>
</file>