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leftChars="0" w:firstLine="0" w:firstLineChars="0"/>
        <w:rPr>
          <w:rFonts w:hint="default" w:ascii="方正小标宋简体" w:hAnsi="方正小标宋简体" w:eastAsia="方正小标宋简体" w:cs="方正小标宋简体"/>
          <w:b w:val="0"/>
          <w:bCs w:val="0"/>
          <w:color w:val="auto"/>
          <w:spacing w:val="2"/>
          <w:sz w:val="42"/>
          <w:szCs w:val="42"/>
          <w:highlight w:val="none"/>
          <w:lang w:val="en-US" w:eastAsia="zh-CN"/>
        </w:rPr>
      </w:pPr>
    </w:p>
    <w:p>
      <w:pPr>
        <w:pStyle w:val="12"/>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color w:val="000000"/>
          <w:spacing w:val="2"/>
          <w:sz w:val="44"/>
          <w:szCs w:val="44"/>
          <w:lang w:val="en-US" w:eastAsia="zh-CN"/>
        </w:rPr>
      </w:pPr>
      <w:r>
        <w:rPr>
          <w:rFonts w:hint="eastAsia" w:ascii="宋体" w:hAnsi="宋体" w:eastAsia="宋体" w:cs="宋体"/>
          <w:b/>
          <w:bCs/>
          <w:color w:val="auto"/>
          <w:spacing w:val="2"/>
          <w:sz w:val="44"/>
          <w:szCs w:val="44"/>
          <w:highlight w:val="none"/>
          <w:lang w:val="en-US" w:eastAsia="zh-CN"/>
        </w:rPr>
        <w:t>2024年度岳阳市</w:t>
      </w:r>
      <w:r>
        <w:rPr>
          <w:rFonts w:hint="eastAsia" w:ascii="宋体" w:hAnsi="宋体" w:eastAsia="宋体" w:cs="宋体"/>
          <w:b/>
          <w:bCs/>
          <w:color w:val="000000"/>
          <w:spacing w:val="2"/>
          <w:sz w:val="44"/>
          <w:szCs w:val="44"/>
          <w:lang w:val="en-US" w:eastAsia="zh-CN"/>
        </w:rPr>
        <w:t>岳阳楼区人民政府</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color w:val="000000"/>
          <w:spacing w:val="2"/>
          <w:sz w:val="44"/>
          <w:szCs w:val="44"/>
          <w:lang w:val="en-US" w:eastAsia="zh-CN"/>
        </w:rPr>
      </w:pPr>
      <w:r>
        <w:rPr>
          <w:rFonts w:hint="eastAsia" w:ascii="宋体" w:hAnsi="宋体" w:eastAsia="宋体" w:cs="宋体"/>
          <w:b/>
          <w:bCs/>
          <w:color w:val="000000"/>
          <w:spacing w:val="2"/>
          <w:sz w:val="44"/>
          <w:szCs w:val="44"/>
          <w:lang w:val="en-US" w:eastAsia="zh-CN"/>
        </w:rPr>
        <w:t>金融工作办公室整体支出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color w:val="000000"/>
          <w:spacing w:val="0"/>
          <w:position w:val="0"/>
          <w:sz w:val="44"/>
          <w:szCs w:val="44"/>
          <w:lang w:val="en-US" w:eastAsia="zh-CN"/>
        </w:rPr>
      </w:pPr>
      <w:r>
        <w:rPr>
          <w:rFonts w:hint="eastAsia" w:ascii="宋体" w:hAnsi="宋体" w:eastAsia="宋体" w:cs="宋体"/>
          <w:b/>
          <w:bCs/>
          <w:color w:val="000000"/>
          <w:spacing w:val="2"/>
          <w:sz w:val="44"/>
          <w:szCs w:val="44"/>
          <w:lang w:val="en-US" w:eastAsia="zh-CN"/>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pStyle w:val="2"/>
        <w:rPr>
          <w:rFonts w:hint="eastAsia" w:ascii="宋体" w:hAnsi="宋体" w:eastAsia="宋体" w:cs="宋体"/>
          <w:color w:val="auto"/>
          <w:spacing w:val="0"/>
          <w:position w:val="0"/>
          <w:sz w:val="22"/>
          <w:szCs w:val="22"/>
          <w:highlight w:val="none"/>
          <w:lang w:val="en-US" w:eastAsia="zh-CN"/>
        </w:rPr>
      </w:pPr>
    </w:p>
    <w:p>
      <w:pPr>
        <w:pStyle w:val="3"/>
        <w:rPr>
          <w:rFonts w:hint="eastAsia" w:ascii="宋体" w:hAnsi="宋体" w:eastAsia="宋体" w:cs="宋体"/>
          <w:color w:val="auto"/>
          <w:spacing w:val="0"/>
          <w:position w:val="0"/>
          <w:sz w:val="22"/>
          <w:szCs w:val="22"/>
          <w:highlight w:val="none"/>
          <w:lang w:val="en-US" w:eastAsia="zh-CN"/>
        </w:rPr>
      </w:pPr>
    </w:p>
    <w:p>
      <w:pPr>
        <w:rPr>
          <w:rFonts w:hint="eastAsia" w:ascii="宋体" w:hAnsi="宋体" w:eastAsia="宋体" w:cs="宋体"/>
          <w:color w:val="auto"/>
          <w:spacing w:val="0"/>
          <w:position w:val="0"/>
          <w:sz w:val="22"/>
          <w:szCs w:val="22"/>
          <w:highlight w:val="none"/>
          <w:lang w:val="en-US" w:eastAsia="zh-CN"/>
        </w:rPr>
      </w:pPr>
    </w:p>
    <w:p>
      <w:pPr>
        <w:pStyle w:val="2"/>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pStyle w:val="2"/>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宋体" w:hAnsi="宋体" w:eastAsia="宋体" w:cs="宋体"/>
          <w:color w:val="auto"/>
          <w:spacing w:val="0"/>
          <w:position w:val="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pacing w:val="0"/>
          <w:position w:val="0"/>
          <w:sz w:val="36"/>
          <w:szCs w:val="36"/>
          <w:highlight w:val="none"/>
          <w:lang w:val="en-US" w:eastAsia="zh-CN"/>
        </w:rPr>
      </w:pPr>
      <w:r>
        <w:rPr>
          <w:rFonts w:hint="eastAsia" w:ascii="宋体" w:hAnsi="宋体" w:eastAsia="宋体" w:cs="宋体"/>
          <w:color w:val="auto"/>
          <w:spacing w:val="0"/>
          <w:position w:val="0"/>
          <w:sz w:val="36"/>
          <w:szCs w:val="36"/>
          <w:highlight w:val="none"/>
          <w:lang w:val="en-US" w:eastAsia="zh-CN"/>
        </w:rPr>
        <w:t>部门(单位)名称：岳阳市第二中学</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pacing w:val="0"/>
          <w:position w:val="0"/>
          <w:sz w:val="36"/>
          <w:szCs w:val="36"/>
          <w:highlight w:val="none"/>
          <w:lang w:val="en-US" w:eastAsia="zh-CN"/>
        </w:rPr>
      </w:pPr>
      <w:r>
        <w:rPr>
          <w:rFonts w:hint="eastAsia" w:ascii="宋体" w:hAnsi="宋体" w:eastAsia="宋体" w:cs="宋体"/>
          <w:color w:val="auto"/>
          <w:spacing w:val="0"/>
          <w:position w:val="0"/>
          <w:sz w:val="36"/>
          <w:szCs w:val="36"/>
          <w:highlight w:val="none"/>
          <w:lang w:val="en-US" w:eastAsia="zh-CN"/>
        </w:rPr>
        <w:t xml:space="preserve">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pacing w:val="0"/>
          <w:position w:val="0"/>
          <w:sz w:val="36"/>
          <w:szCs w:val="36"/>
          <w:highlight w:val="none"/>
          <w:lang w:val="en-US" w:eastAsia="zh-CN"/>
        </w:rPr>
      </w:pPr>
      <w:r>
        <w:rPr>
          <w:rFonts w:hint="eastAsia" w:ascii="宋体" w:hAnsi="宋体" w:eastAsia="宋体" w:cs="宋体"/>
          <w:color w:val="auto"/>
          <w:spacing w:val="0"/>
          <w:position w:val="0"/>
          <w:sz w:val="36"/>
          <w:szCs w:val="36"/>
          <w:highlight w:val="none"/>
          <w:lang w:val="en-US" w:eastAsia="zh-CN"/>
        </w:rPr>
        <w:t>2025年07月0</w:t>
      </w:r>
      <w:r>
        <w:rPr>
          <w:rFonts w:hint="eastAsia" w:ascii="宋体" w:hAnsi="宋体" w:cs="宋体"/>
          <w:color w:val="auto"/>
          <w:spacing w:val="0"/>
          <w:position w:val="0"/>
          <w:sz w:val="36"/>
          <w:szCs w:val="36"/>
          <w:highlight w:val="none"/>
          <w:lang w:val="en-US" w:eastAsia="zh-CN"/>
        </w:rPr>
        <w:t>9</w:t>
      </w:r>
      <w:r>
        <w:rPr>
          <w:rFonts w:hint="eastAsia" w:ascii="宋体" w:hAnsi="宋体" w:eastAsia="宋体" w:cs="宋体"/>
          <w:color w:val="auto"/>
          <w:spacing w:val="0"/>
          <w:position w:val="0"/>
          <w:sz w:val="36"/>
          <w:szCs w:val="36"/>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val="0"/>
          <w:bCs w:val="0"/>
          <w:color w:val="000000"/>
          <w:spacing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val="0"/>
          <w:bCs w:val="0"/>
          <w:color w:val="000000"/>
          <w:spacing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val="0"/>
          <w:bCs w:val="0"/>
          <w:color w:val="000000"/>
          <w:spacing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仿宋" w:hAnsi="仿宋" w:eastAsia="仿宋" w:cs="仿宋"/>
          <w:b/>
          <w:bCs/>
          <w:color w:val="000000"/>
          <w:spacing w:val="2"/>
          <w:sz w:val="44"/>
          <w:szCs w:val="44"/>
          <w:lang w:val="en-US" w:eastAsia="zh-CN"/>
        </w:rPr>
      </w:pPr>
      <w:r>
        <w:rPr>
          <w:rFonts w:hint="eastAsia" w:ascii="仿宋" w:hAnsi="仿宋" w:eastAsia="仿宋" w:cs="仿宋"/>
          <w:b/>
          <w:bCs/>
          <w:color w:val="000000"/>
          <w:spacing w:val="2"/>
          <w:sz w:val="44"/>
          <w:szCs w:val="44"/>
          <w:lang w:val="en-US" w:eastAsia="zh-CN"/>
        </w:rPr>
        <w:t>2024年度岳阳楼区人民政府</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仿宋" w:hAnsi="仿宋" w:eastAsia="仿宋" w:cs="仿宋"/>
          <w:b/>
          <w:bCs/>
          <w:color w:val="000000"/>
          <w:spacing w:val="2"/>
          <w:sz w:val="44"/>
          <w:szCs w:val="44"/>
          <w:lang w:val="en-US" w:eastAsia="zh-CN"/>
        </w:rPr>
      </w:pPr>
      <w:r>
        <w:rPr>
          <w:rFonts w:hint="eastAsia" w:ascii="仿宋" w:hAnsi="仿宋" w:eastAsia="仿宋" w:cs="仿宋"/>
          <w:b/>
          <w:bCs/>
          <w:color w:val="000000"/>
          <w:spacing w:val="2"/>
          <w:sz w:val="44"/>
          <w:szCs w:val="44"/>
          <w:lang w:val="en-US" w:eastAsia="zh-CN"/>
        </w:rPr>
        <w:t>金融工作办公室整体支出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仿宋" w:hAnsi="仿宋" w:eastAsia="仿宋" w:cs="仿宋"/>
          <w:b/>
          <w:bCs/>
          <w:color w:val="000000"/>
          <w:spacing w:val="0"/>
          <w:position w:val="0"/>
          <w:sz w:val="44"/>
          <w:szCs w:val="44"/>
          <w:lang w:val="en-US" w:eastAsia="zh-CN"/>
        </w:rPr>
      </w:pPr>
      <w:r>
        <w:rPr>
          <w:rFonts w:hint="eastAsia" w:ascii="仿宋" w:hAnsi="仿宋" w:eastAsia="仿宋" w:cs="仿宋"/>
          <w:b/>
          <w:bCs/>
          <w:color w:val="000000"/>
          <w:spacing w:val="2"/>
          <w:sz w:val="44"/>
          <w:szCs w:val="44"/>
          <w:lang w:val="en-US" w:eastAsia="zh-CN"/>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 w:hAnsi="仿宋" w:eastAsia="仿宋" w:cs="仿宋"/>
          <w:b/>
          <w:bCs/>
          <w:color w:val="000000"/>
          <w:spacing w:val="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color w:val="000000"/>
          <w:spacing w:val="0"/>
          <w:position w:val="0"/>
          <w:sz w:val="28"/>
          <w:szCs w:val="28"/>
          <w:lang w:val="en-US" w:eastAsia="zh-CN"/>
        </w:rPr>
      </w:pPr>
      <w:r>
        <w:rPr>
          <w:rFonts w:hint="eastAsia" w:ascii="仿宋" w:hAnsi="仿宋" w:eastAsia="仿宋" w:cs="仿宋"/>
          <w:b/>
          <w:bCs/>
          <w:color w:val="000000"/>
          <w:spacing w:val="0"/>
          <w:position w:val="0"/>
          <w:sz w:val="28"/>
          <w:szCs w:val="28"/>
          <w:lang w:val="en-US" w:eastAsia="zh-CN"/>
        </w:rPr>
        <w:t>一、单位基本情况</w:t>
      </w:r>
    </w:p>
    <w:p>
      <w:pPr>
        <w:widowControl/>
        <w:spacing w:line="240" w:lineRule="atLeast"/>
        <w:ind w:firstLine="560" w:firstLineChars="200"/>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金融办主要负责研究分析国家金融政策、宏观金融形势和全区金融运行情况，会同有关部门推进全区金融市场体系建设；</w:t>
      </w:r>
      <w:r>
        <w:rPr>
          <w:rFonts w:hint="eastAsia" w:ascii="仿宋" w:hAnsi="仿宋" w:eastAsia="仿宋" w:cs="仿宋"/>
          <w:color w:val="000000"/>
          <w:kern w:val="0"/>
          <w:sz w:val="28"/>
          <w:szCs w:val="28"/>
        </w:rPr>
        <w:t>贯彻执行国家有关金融工作的方针、政策和法律，组织拟订金融领域有关地方性文件草案；组织拟订全区金融业发展战略、中长期规划；组织拟订加强全区金融行业服务、促进金融业发展的意见和政策建议；</w:t>
      </w:r>
      <w:r>
        <w:rPr>
          <w:rFonts w:hint="eastAsia" w:ascii="仿宋" w:hAnsi="仿宋" w:eastAsia="仿宋" w:cs="仿宋"/>
          <w:color w:val="000000"/>
          <w:sz w:val="28"/>
          <w:szCs w:val="28"/>
        </w:rPr>
        <w:t>贯彻执行上级证券、期货、保险市场发展规划、相关政策并组织实施，</w:t>
      </w:r>
      <w:r>
        <w:rPr>
          <w:rFonts w:hint="eastAsia" w:ascii="仿宋" w:hAnsi="仿宋" w:eastAsia="仿宋" w:cs="仿宋"/>
          <w:color w:val="000000"/>
          <w:kern w:val="0"/>
          <w:sz w:val="28"/>
          <w:szCs w:val="28"/>
        </w:rPr>
        <w:t>提升企业竞争力;打击和处置非法集资,预防经济犯罪宣传活动</w:t>
      </w:r>
      <w:r>
        <w:rPr>
          <w:rFonts w:hint="eastAsia" w:ascii="仿宋" w:hAnsi="仿宋" w:eastAsia="仿宋" w:cs="仿宋"/>
          <w:color w:val="000000"/>
          <w:sz w:val="28"/>
          <w:szCs w:val="28"/>
        </w:rPr>
        <w:t>等工作，</w:t>
      </w:r>
      <w:r>
        <w:rPr>
          <w:rFonts w:hint="eastAsia" w:ascii="仿宋" w:hAnsi="仿宋" w:eastAsia="仿宋" w:cs="仿宋"/>
          <w:color w:val="000000"/>
          <w:sz w:val="28"/>
          <w:szCs w:val="28"/>
          <w:lang w:val="en-US" w:eastAsia="zh-CN"/>
        </w:rPr>
        <w:t>共有</w:t>
      </w:r>
      <w:r>
        <w:rPr>
          <w:rFonts w:hint="eastAsia" w:ascii="仿宋" w:hAnsi="仿宋" w:eastAsia="仿宋" w:cs="仿宋"/>
          <w:color w:val="000000"/>
          <w:sz w:val="28"/>
          <w:szCs w:val="28"/>
        </w:rPr>
        <w:t>在编在职人数</w:t>
      </w: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退休人数1人</w:t>
      </w:r>
      <w:r>
        <w:rPr>
          <w:rFonts w:hint="eastAsia" w:ascii="仿宋" w:hAnsi="仿宋" w:eastAsia="仿宋" w:cs="仿宋"/>
          <w:color w:val="000000"/>
          <w:sz w:val="28"/>
          <w:szCs w:val="28"/>
        </w:rPr>
        <w:t>。</w:t>
      </w:r>
    </w:p>
    <w:p>
      <w:pPr>
        <w:widowControl/>
        <w:spacing w:line="240" w:lineRule="atLeast"/>
        <w:jc w:val="left"/>
        <w:textAlignment w:val="center"/>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二、一般公共预算支出情况</w:t>
      </w:r>
    </w:p>
    <w:p>
      <w:pPr>
        <w:keepNext w:val="0"/>
        <w:keepLines w:val="0"/>
        <w:pageBreakBefore w:val="0"/>
        <w:widowControl w:val="0"/>
        <w:kinsoku/>
        <w:wordWrap/>
        <w:overflowPunct/>
        <w:topLinePunct w:val="0"/>
        <w:autoSpaceDE/>
        <w:autoSpaceDN/>
        <w:bidi w:val="0"/>
        <w:adjustRightInd/>
        <w:snapToGrid/>
        <w:ind w:firstLine="281" w:firstLineChars="100"/>
        <w:jc w:val="left"/>
        <w:textAlignment w:val="auto"/>
        <w:rPr>
          <w:rFonts w:hint="eastAsia" w:ascii="仿宋" w:hAnsi="仿宋" w:eastAsia="仿宋" w:cs="仿宋"/>
          <w:b/>
          <w:bCs/>
          <w:color w:val="000000"/>
          <w:spacing w:val="0"/>
          <w:position w:val="0"/>
          <w:sz w:val="28"/>
          <w:szCs w:val="28"/>
          <w:lang w:val="en-US" w:eastAsia="zh-CN"/>
        </w:rPr>
      </w:pPr>
      <w:r>
        <w:rPr>
          <w:rFonts w:hint="eastAsia" w:ascii="仿宋" w:hAnsi="仿宋" w:eastAsia="仿宋" w:cs="仿宋"/>
          <w:b/>
          <w:bCs/>
          <w:color w:val="000000"/>
          <w:spacing w:val="0"/>
          <w:position w:val="0"/>
          <w:sz w:val="28"/>
          <w:szCs w:val="28"/>
          <w:lang w:val="en-US" w:eastAsia="zh-CN"/>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000000"/>
          <w:kern w:val="0"/>
          <w:sz w:val="28"/>
          <w:szCs w:val="28"/>
        </w:rPr>
      </w:pPr>
      <w:r>
        <w:rPr>
          <w:rFonts w:hint="eastAsia" w:ascii="仿宋" w:hAnsi="仿宋" w:eastAsia="仿宋" w:cs="仿宋"/>
          <w:color w:val="000000"/>
          <w:sz w:val="28"/>
          <w:szCs w:val="28"/>
        </w:rPr>
        <w:t>基本支出</w:t>
      </w:r>
      <w:r>
        <w:rPr>
          <w:rFonts w:hint="eastAsia" w:ascii="仿宋" w:hAnsi="仿宋" w:eastAsia="仿宋" w:cs="仿宋"/>
          <w:color w:val="000000"/>
          <w:sz w:val="28"/>
          <w:szCs w:val="28"/>
          <w:lang w:val="en-US" w:eastAsia="zh-CN"/>
        </w:rPr>
        <w:t>235.63</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val="en-US" w:eastAsia="zh-CN"/>
        </w:rPr>
        <w:t>其中：人员经费215.15万元，主要包括基本工资66.88万元、津贴补贴15.88万元、奖金53万元、伙食补助费7.17万元、绩效工资27.33万元、机关事业单位基本养老保险缴费16.40万元、职工基本医疗保险缴费6.51万元、其他社会保障缴费1.82万元、住房公积金18.33万元、</w:t>
      </w:r>
      <w:r>
        <w:rPr>
          <w:rFonts w:hint="eastAsia" w:ascii="仿宋" w:hAnsi="仿宋" w:eastAsia="仿宋" w:cs="仿宋"/>
          <w:color w:val="000000"/>
          <w:kern w:val="2"/>
          <w:sz w:val="28"/>
          <w:szCs w:val="28"/>
          <w:lang w:val="en-US" w:eastAsia="zh-CN"/>
        </w:rPr>
        <w:t>退休费1.68万元，</w:t>
      </w:r>
      <w:r>
        <w:rPr>
          <w:rFonts w:hint="eastAsia" w:ascii="仿宋" w:hAnsi="仿宋" w:eastAsia="仿宋" w:cs="仿宋"/>
          <w:bCs/>
          <w:color w:val="auto"/>
          <w:sz w:val="28"/>
          <w:szCs w:val="28"/>
          <w:highlight w:val="none"/>
          <w:lang w:val="en-US" w:eastAsia="zh-CN"/>
        </w:rPr>
        <w:t>其他工资福利支出0.15</w:t>
      </w:r>
      <w:r>
        <w:rPr>
          <w:rFonts w:hint="eastAsia" w:ascii="仿宋" w:hAnsi="仿宋" w:eastAsia="仿宋" w:cs="仿宋"/>
          <w:bCs/>
          <w:color w:val="auto"/>
          <w:sz w:val="28"/>
          <w:szCs w:val="28"/>
          <w:highlight w:val="none"/>
        </w:rPr>
        <w:t>万元</w:t>
      </w:r>
      <w:r>
        <w:rPr>
          <w:rFonts w:hint="eastAsia" w:ascii="仿宋" w:hAnsi="仿宋" w:eastAsia="仿宋" w:cs="仿宋"/>
          <w:bCs/>
          <w:color w:val="auto"/>
          <w:sz w:val="28"/>
          <w:szCs w:val="28"/>
          <w:highlight w:val="none"/>
          <w:lang w:eastAsia="zh-CN"/>
        </w:rPr>
        <w:t>。</w:t>
      </w:r>
      <w:r>
        <w:rPr>
          <w:rFonts w:hint="eastAsia" w:ascii="仿宋" w:hAnsi="仿宋" w:eastAsia="仿宋" w:cs="仿宋"/>
          <w:color w:val="000000"/>
          <w:sz w:val="28"/>
          <w:szCs w:val="28"/>
          <w:lang w:val="en-US" w:eastAsia="zh-CN"/>
        </w:rPr>
        <w:t>公用经费20.48万元，主要包括：办公费4.38万元、水费0.3万元、电费1.22万元、差旅费0.18万元、维修（护）费0.45万元、其他交通费用13.27万元、其他商品</w:t>
      </w:r>
      <w:r>
        <w:rPr>
          <w:rFonts w:hint="eastAsia" w:ascii="仿宋" w:hAnsi="仿宋" w:eastAsia="仿宋" w:cs="仿宋"/>
          <w:color w:val="000000"/>
          <w:kern w:val="2"/>
          <w:sz w:val="28"/>
          <w:szCs w:val="28"/>
          <w:lang w:val="en-US" w:eastAsia="zh-CN"/>
        </w:rPr>
        <w:t>服务支出0.68万元。</w:t>
      </w:r>
    </w:p>
    <w:p>
      <w:pPr>
        <w:widowControl/>
        <w:spacing w:line="240" w:lineRule="atLeast"/>
        <w:ind w:firstLine="281" w:firstLineChars="100"/>
        <w:jc w:val="left"/>
        <w:textAlignment w:val="center"/>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（二）项目支出情况</w:t>
      </w:r>
    </w:p>
    <w:p>
      <w:pPr>
        <w:widowControl/>
        <w:spacing w:line="240" w:lineRule="atLeast"/>
        <w:ind w:firstLine="560" w:firstLineChars="200"/>
        <w:jc w:val="left"/>
        <w:textAlignment w:val="center"/>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项目支出数198.50</w:t>
      </w:r>
      <w:r>
        <w:rPr>
          <w:rFonts w:hint="eastAsia" w:ascii="仿宋" w:hAnsi="仿宋" w:eastAsia="仿宋" w:cs="仿宋"/>
          <w:color w:val="000000"/>
          <w:kern w:val="2"/>
          <w:sz w:val="28"/>
          <w:szCs w:val="28"/>
        </w:rPr>
        <w:t>万元。</w:t>
      </w:r>
      <w:r>
        <w:rPr>
          <w:rFonts w:hint="eastAsia" w:ascii="仿宋" w:hAnsi="仿宋" w:eastAsia="仿宋" w:cs="仿宋"/>
          <w:color w:val="000000"/>
          <w:kern w:val="2"/>
          <w:sz w:val="28"/>
          <w:szCs w:val="28"/>
          <w:lang w:eastAsia="zh-CN"/>
        </w:rPr>
        <w:t>其中：业务工作经费</w:t>
      </w:r>
      <w:r>
        <w:rPr>
          <w:rFonts w:hint="eastAsia" w:ascii="仿宋" w:hAnsi="仿宋" w:eastAsia="仿宋" w:cs="仿宋"/>
          <w:color w:val="000000"/>
          <w:kern w:val="2"/>
          <w:sz w:val="28"/>
          <w:szCs w:val="28"/>
          <w:lang w:val="en-US" w:eastAsia="zh-CN"/>
        </w:rPr>
        <w:t>28.36万元，产业发展扶持资金164.34万元（包括银都金融中心房租129.82万元，突出贡献企业和个人奖励34.52元），社会福利和救助5.8万元。主要用于防范</w:t>
      </w:r>
      <w:r>
        <w:rPr>
          <w:rFonts w:hint="eastAsia" w:ascii="仿宋" w:hAnsi="仿宋" w:eastAsia="仿宋" w:cs="仿宋"/>
          <w:color w:val="000000"/>
          <w:kern w:val="0"/>
          <w:sz w:val="28"/>
          <w:szCs w:val="28"/>
        </w:rPr>
        <w:t>打击非法集资</w:t>
      </w:r>
      <w:r>
        <w:rPr>
          <w:rFonts w:hint="eastAsia" w:ascii="仿宋" w:hAnsi="仿宋" w:eastAsia="仿宋" w:cs="仿宋"/>
          <w:color w:val="000000"/>
          <w:kern w:val="0"/>
          <w:sz w:val="28"/>
          <w:szCs w:val="28"/>
          <w:lang w:eastAsia="zh-CN"/>
        </w:rPr>
        <w:t>、广告宣传费、推进招商引企</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深化银企对接、</w:t>
      </w:r>
      <w:r>
        <w:rPr>
          <w:rFonts w:hint="eastAsia" w:ascii="仿宋" w:hAnsi="仿宋" w:eastAsia="仿宋" w:cs="仿宋"/>
          <w:color w:val="000000"/>
          <w:kern w:val="0"/>
          <w:sz w:val="28"/>
          <w:szCs w:val="28"/>
        </w:rPr>
        <w:t>企业上市、</w:t>
      </w:r>
      <w:r>
        <w:rPr>
          <w:rFonts w:hint="eastAsia" w:ascii="仿宋" w:hAnsi="仿宋" w:eastAsia="仿宋" w:cs="仿宋"/>
          <w:color w:val="000000"/>
          <w:kern w:val="0"/>
          <w:sz w:val="28"/>
          <w:szCs w:val="28"/>
          <w:lang w:eastAsia="zh-CN"/>
        </w:rPr>
        <w:t>强化金融监管等工作。</w:t>
      </w:r>
    </w:p>
    <w:p>
      <w:pPr>
        <w:widowControl/>
        <w:spacing w:line="240" w:lineRule="atLeast"/>
        <w:jc w:val="left"/>
        <w:textAlignment w:val="center"/>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000000"/>
          <w:kern w:val="2"/>
          <w:sz w:val="28"/>
          <w:szCs w:val="28"/>
          <w:lang w:val="en-US" w:eastAsia="zh-CN"/>
        </w:rPr>
        <w:t>本单位无政府性基金预算支出</w:t>
      </w:r>
    </w:p>
    <w:p>
      <w:pPr>
        <w:widowControl/>
        <w:numPr>
          <w:ilvl w:val="0"/>
          <w:numId w:val="1"/>
        </w:numPr>
        <w:spacing w:line="240" w:lineRule="atLeast"/>
        <w:jc w:val="left"/>
        <w:textAlignment w:val="center"/>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000000"/>
          <w:kern w:val="2"/>
          <w:sz w:val="28"/>
          <w:szCs w:val="28"/>
          <w:lang w:val="en-US" w:eastAsia="zh-CN"/>
        </w:rPr>
        <w:t>本单位无国有资本经营预算支出</w:t>
      </w:r>
    </w:p>
    <w:p>
      <w:pPr>
        <w:widowControl/>
        <w:spacing w:line="240" w:lineRule="atLeast"/>
        <w:jc w:val="left"/>
        <w:textAlignment w:val="center"/>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五、社会保险基金预算支出情况</w:t>
      </w:r>
    </w:p>
    <w:p>
      <w:pPr>
        <w:widowControl/>
        <w:spacing w:line="240" w:lineRule="atLeast"/>
        <w:ind w:firstLine="560" w:firstLineChars="200"/>
        <w:jc w:val="left"/>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eastAsia="zh-CN"/>
        </w:rPr>
        <w:t>本单位无社会保险基金</w:t>
      </w:r>
      <w:r>
        <w:rPr>
          <w:rFonts w:hint="eastAsia" w:ascii="仿宋" w:hAnsi="仿宋" w:eastAsia="仿宋" w:cs="仿宋"/>
          <w:color w:val="000000"/>
          <w:kern w:val="0"/>
          <w:sz w:val="28"/>
          <w:szCs w:val="28"/>
        </w:rPr>
        <w:t>预算支出</w:t>
      </w:r>
      <w:r>
        <w:rPr>
          <w:rFonts w:hint="eastAsia" w:ascii="仿宋" w:hAnsi="仿宋" w:eastAsia="仿宋" w:cs="仿宋"/>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pacing w:val="0"/>
          <w:position w:val="0"/>
          <w:sz w:val="28"/>
          <w:szCs w:val="28"/>
          <w:lang w:val="en-US" w:eastAsia="zh-CN"/>
        </w:rPr>
      </w:pPr>
      <w:r>
        <w:rPr>
          <w:rFonts w:hint="eastAsia" w:ascii="仿宋" w:hAnsi="仿宋" w:eastAsia="仿宋" w:cs="仿宋"/>
          <w:color w:val="000000"/>
          <w:spacing w:val="0"/>
          <w:position w:val="0"/>
          <w:sz w:val="28"/>
          <w:szCs w:val="28"/>
          <w:lang w:val="en-US" w:eastAsia="zh-CN"/>
        </w:rPr>
        <w:t>六</w:t>
      </w:r>
      <w:r>
        <w:rPr>
          <w:rFonts w:hint="eastAsia" w:ascii="仿宋" w:hAnsi="仿宋" w:eastAsia="仿宋" w:cs="仿宋"/>
          <w:b/>
          <w:bCs/>
          <w:color w:val="000000"/>
          <w:spacing w:val="0"/>
          <w:position w:val="0"/>
          <w:sz w:val="28"/>
          <w:szCs w:val="28"/>
          <w:lang w:val="en-US" w:eastAsia="zh-CN"/>
        </w:rPr>
        <w:t>、部门整体支出绩效情况</w:t>
      </w:r>
    </w:p>
    <w:p>
      <w:pPr>
        <w:widowControl/>
        <w:spacing w:line="240" w:lineRule="atLeast"/>
        <w:ind w:firstLine="560" w:firstLineChars="200"/>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（一）</w:t>
      </w:r>
      <w:r>
        <w:rPr>
          <w:rFonts w:hint="eastAsia" w:ascii="仿宋" w:hAnsi="仿宋" w:eastAsia="仿宋" w:cs="仿宋"/>
          <w:color w:val="000000"/>
          <w:kern w:val="0"/>
          <w:sz w:val="28"/>
          <w:szCs w:val="28"/>
        </w:rPr>
        <w:t>我办通过加强预算收支管理，不断健全内部管理制度，梳理内部管理流程，部门整体支出管理情况得到了提升。在</w:t>
      </w:r>
      <w:r>
        <w:rPr>
          <w:rFonts w:hint="eastAsia" w:ascii="仿宋" w:hAnsi="仿宋" w:eastAsia="仿宋" w:cs="仿宋"/>
          <w:color w:val="000000"/>
          <w:kern w:val="0"/>
          <w:sz w:val="28"/>
          <w:szCs w:val="28"/>
          <w:lang w:val="en-US" w:eastAsia="zh-CN"/>
        </w:rPr>
        <w:t>区委区政府的坚强领导</w:t>
      </w:r>
      <w:r>
        <w:rPr>
          <w:rFonts w:hint="eastAsia" w:ascii="仿宋" w:hAnsi="仿宋" w:eastAsia="仿宋" w:cs="仿宋"/>
          <w:color w:val="000000"/>
          <w:kern w:val="0"/>
          <w:sz w:val="28"/>
          <w:szCs w:val="28"/>
        </w:rPr>
        <w:t>下，我</w:t>
      </w:r>
      <w:r>
        <w:rPr>
          <w:rFonts w:hint="eastAsia" w:ascii="仿宋" w:hAnsi="仿宋" w:eastAsia="仿宋" w:cs="仿宋"/>
          <w:color w:val="000000"/>
          <w:kern w:val="0"/>
          <w:sz w:val="28"/>
          <w:szCs w:val="28"/>
          <w:lang w:val="en-US" w:eastAsia="zh-CN"/>
        </w:rPr>
        <w:t>办</w:t>
      </w:r>
      <w:r>
        <w:rPr>
          <w:rFonts w:hint="eastAsia" w:ascii="仿宋" w:hAnsi="仿宋" w:eastAsia="仿宋" w:cs="仿宋"/>
          <w:color w:val="000000"/>
          <w:kern w:val="0"/>
          <w:sz w:val="28"/>
          <w:szCs w:val="28"/>
        </w:rPr>
        <w:t>以服务高质量发展为宗旨，围绕加快构建和完善适应引领区和首善之区建设的现代金融服务体系开展工作，各项指标稳中有升。</w:t>
      </w:r>
    </w:p>
    <w:p>
      <w:pPr>
        <w:widowControl/>
        <w:spacing w:line="240" w:lineRule="atLeast"/>
        <w:ind w:firstLine="280" w:firstLineChars="100"/>
        <w:jc w:val="left"/>
        <w:textAlignment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（二）</w:t>
      </w:r>
      <w:r>
        <w:rPr>
          <w:rFonts w:hint="eastAsia" w:ascii="仿宋" w:hAnsi="仿宋" w:eastAsia="仿宋" w:cs="仿宋"/>
          <w:color w:val="000000"/>
          <w:kern w:val="0"/>
          <w:sz w:val="28"/>
          <w:szCs w:val="28"/>
        </w:rPr>
        <w:t>本单位所有支出实行绩效目标管理。各项项目资金其主要用途是确保单位的正常运转，促进各项工作任务顺利完成。在人员经费支出、公共支出严格执行区委区政府的各项制度；在项目经费的使用上，在保证各项任务顺利完成的同时，严格落实厉行节约的原则；严格控制使用三公经费。</w:t>
      </w:r>
      <w:r>
        <w:rPr>
          <w:rFonts w:hint="eastAsia" w:ascii="仿宋" w:hAnsi="仿宋" w:eastAsia="仿宋" w:cs="仿宋"/>
          <w:color w:val="000000"/>
          <w:kern w:val="0"/>
          <w:sz w:val="28"/>
          <w:szCs w:val="28"/>
          <w:lang w:eastAsia="zh-CN"/>
        </w:rPr>
        <w:t>提高服务质量，降低运行成本，合理配置，提高保障能力。</w:t>
      </w:r>
    </w:p>
    <w:p>
      <w:pPr>
        <w:numPr>
          <w:ilvl w:val="0"/>
          <w:numId w:val="0"/>
        </w:numPr>
        <w:spacing w:line="240" w:lineRule="auto"/>
        <w:ind w:firstLine="560" w:firstLineChars="200"/>
        <w:jc w:val="left"/>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lang w:eastAsia="zh-CN"/>
        </w:rPr>
        <w:t>（三）</w:t>
      </w:r>
      <w:r>
        <w:rPr>
          <w:rFonts w:hint="eastAsia" w:ascii="仿宋" w:hAnsi="仿宋" w:eastAsia="仿宋" w:cs="仿宋"/>
          <w:b w:val="0"/>
          <w:bCs/>
          <w:color w:val="auto"/>
          <w:kern w:val="0"/>
          <w:sz w:val="28"/>
          <w:szCs w:val="28"/>
          <w:highlight w:val="none"/>
        </w:rPr>
        <w:t>产出指标完成情况分析</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数量指标</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2024年开展招商引企对接会议4次，完成预算单位绩效目标1次、绩效监控1次、绩效评价1次。</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质量指标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推进</w:t>
      </w:r>
      <w:r>
        <w:rPr>
          <w:rFonts w:hint="eastAsia" w:ascii="仿宋" w:hAnsi="仿宋" w:eastAsia="仿宋" w:cs="仿宋"/>
          <w:b w:val="0"/>
          <w:bCs/>
          <w:sz w:val="28"/>
          <w:szCs w:val="28"/>
        </w:rPr>
        <w:t>招商</w:t>
      </w:r>
      <w:r>
        <w:rPr>
          <w:rFonts w:hint="eastAsia" w:ascii="仿宋" w:hAnsi="仿宋" w:eastAsia="仿宋" w:cs="仿宋"/>
          <w:b w:val="0"/>
          <w:bCs/>
          <w:sz w:val="28"/>
          <w:szCs w:val="28"/>
          <w:lang w:val="en-US" w:eastAsia="zh-CN"/>
        </w:rPr>
        <w:t>引企</w:t>
      </w:r>
      <w:r>
        <w:rPr>
          <w:rFonts w:hint="eastAsia" w:ascii="仿宋" w:hAnsi="仿宋" w:eastAsia="仿宋" w:cs="仿宋"/>
          <w:b w:val="0"/>
          <w:bCs/>
          <w:sz w:val="28"/>
          <w:szCs w:val="28"/>
        </w:rPr>
        <w:t>工作。</w:t>
      </w:r>
      <w:r>
        <w:rPr>
          <w:rFonts w:hint="eastAsia" w:ascii="仿宋" w:hAnsi="仿宋" w:eastAsia="仿宋" w:cs="仿宋"/>
          <w:b w:val="0"/>
          <w:bCs/>
          <w:sz w:val="28"/>
          <w:szCs w:val="28"/>
          <w:lang w:val="en-US" w:eastAsia="zh-CN"/>
        </w:rPr>
        <w:t>本年度</w:t>
      </w:r>
      <w:r>
        <w:rPr>
          <w:rFonts w:hint="eastAsia" w:ascii="仿宋" w:hAnsi="仿宋" w:eastAsia="仿宋" w:cs="仿宋"/>
          <w:sz w:val="28"/>
          <w:szCs w:val="28"/>
          <w:lang w:val="en-US" w:eastAsia="zh-CN"/>
        </w:rPr>
        <w:t>引进亚太保险、长安保险2家保险公司落户我区（其中亚太保险落户银都金融中心），中心</w:t>
      </w:r>
      <w:r>
        <w:rPr>
          <w:rFonts w:hint="eastAsia" w:ascii="仿宋" w:hAnsi="仿宋" w:eastAsia="仿宋" w:cs="仿宋"/>
          <w:color w:val="auto"/>
          <w:spacing w:val="0"/>
          <w:sz w:val="28"/>
          <w:szCs w:val="28"/>
          <w:u w:val="none" w:color="auto"/>
          <w:lang w:val="en-US" w:eastAsia="zh-CN"/>
        </w:rPr>
        <w:t>现入驻了集保险、财税服务、会计事务、资产评估等16家金融业态关联企业，</w:t>
      </w:r>
      <w:r>
        <w:rPr>
          <w:rFonts w:hint="eastAsia" w:ascii="仿宋" w:hAnsi="仿宋" w:eastAsia="仿宋" w:cs="仿宋"/>
          <w:sz w:val="28"/>
          <w:szCs w:val="28"/>
          <w:lang w:val="en-US" w:eastAsia="zh-CN"/>
        </w:rPr>
        <w:t>今年新引进5家企业（亚太财产保险有限公司岳阳中心支公司、阳光一家家庭综合保险销售服务有限公司岳阳分公司、湖南好谷智能科技有限公司、岳阳创德商贸有限公司、湖南岳之信咨询有限公司）。</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3、时效指标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color w:val="000000"/>
          <w:sz w:val="28"/>
          <w:szCs w:val="28"/>
        </w:rPr>
        <w:t>我</w:t>
      </w:r>
      <w:r>
        <w:rPr>
          <w:rFonts w:hint="eastAsia" w:ascii="仿宋" w:hAnsi="仿宋" w:eastAsia="仿宋" w:cs="仿宋"/>
          <w:color w:val="000000"/>
          <w:sz w:val="28"/>
          <w:szCs w:val="28"/>
          <w:lang w:eastAsia="zh-CN"/>
        </w:rPr>
        <w:t>办</w:t>
      </w:r>
      <w:r>
        <w:rPr>
          <w:rFonts w:hint="eastAsia" w:ascii="仿宋" w:hAnsi="仿宋" w:eastAsia="仿宋" w:cs="仿宋"/>
          <w:sz w:val="28"/>
          <w:szCs w:val="28"/>
        </w:rPr>
        <w:t>以服务高质量发展为宗旨，围绕加快构建和完善适应引领区和首善之区建设的现代金融服务体系开展工作</w:t>
      </w:r>
      <w:r>
        <w:rPr>
          <w:rFonts w:hint="eastAsia" w:ascii="仿宋" w:hAnsi="仿宋" w:eastAsia="仿宋" w:cs="仿宋"/>
          <w:sz w:val="28"/>
          <w:szCs w:val="28"/>
          <w:lang w:eastAsia="zh-CN"/>
        </w:rPr>
        <w:t>，</w:t>
      </w:r>
      <w:r>
        <w:rPr>
          <w:rFonts w:hint="eastAsia" w:ascii="仿宋" w:hAnsi="仿宋" w:eastAsia="仿宋" w:cs="仿宋"/>
          <w:sz w:val="28"/>
          <w:szCs w:val="28"/>
        </w:rPr>
        <w:t>各项</w:t>
      </w:r>
      <w:r>
        <w:rPr>
          <w:rFonts w:hint="eastAsia" w:ascii="仿宋" w:hAnsi="仿宋" w:eastAsia="仿宋" w:cs="仿宋"/>
          <w:sz w:val="28"/>
          <w:szCs w:val="28"/>
          <w:lang w:eastAsia="zh-CN"/>
        </w:rPr>
        <w:t>工作按时完成</w:t>
      </w:r>
      <w:r>
        <w:rPr>
          <w:rFonts w:hint="eastAsia" w:ascii="仿宋" w:hAnsi="仿宋" w:eastAsia="仿宋" w:cs="仿宋"/>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4、成本指标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严格控制“三公”经费列支，做到“三公”经费支出0万元；全年总成本控制在434.14万元。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pacing w:val="0"/>
          <w:positio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（四）效益</w:t>
      </w:r>
      <w:r>
        <w:rPr>
          <w:rFonts w:hint="eastAsia" w:ascii="仿宋" w:hAnsi="仿宋" w:eastAsia="仿宋" w:cs="仿宋"/>
          <w:b w:val="0"/>
          <w:bCs/>
          <w:color w:val="auto"/>
          <w:kern w:val="0"/>
          <w:sz w:val="28"/>
          <w:szCs w:val="28"/>
          <w:highlight w:val="none"/>
        </w:rPr>
        <w:t>指标完成情况分析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1、经济效益</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sz w:val="28"/>
          <w:szCs w:val="28"/>
          <w:lang w:val="en-US" w:eastAsia="zh-CN"/>
        </w:rPr>
        <w:t>完善融资担保体系</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根</w:t>
      </w:r>
      <w:r>
        <w:rPr>
          <w:rFonts w:hint="eastAsia" w:ascii="仿宋" w:hAnsi="仿宋" w:eastAsia="仿宋" w:cs="仿宋"/>
          <w:b w:val="0"/>
          <w:bCs w:val="0"/>
          <w:sz w:val="28"/>
          <w:szCs w:val="28"/>
          <w:lang w:val="en-US" w:eastAsia="zh-CN"/>
        </w:rPr>
        <w:t>据岳阳楼区政府与岳阳市融资担保有限责任公司政府性融资担保业务合作协议，2024年我区入股200万元，已全部到位，并按合作协议完善了风险补偿，保费补贴机制。同时对于单户担保金额500万元以下的小微企业和“三农”主体，平均担保费率保持在0.5%以下，远低于全省平均水平，极大降低了企业经营压力。</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社会效益</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b w:val="0"/>
          <w:bCs/>
          <w:sz w:val="28"/>
          <w:szCs w:val="28"/>
        </w:rPr>
        <w:t>落实“七联七包”责任。</w:t>
      </w:r>
      <w:r>
        <w:rPr>
          <w:rFonts w:hint="eastAsia" w:ascii="仿宋" w:hAnsi="仿宋" w:eastAsia="仿宋" w:cs="仿宋"/>
          <w:sz w:val="28"/>
          <w:szCs w:val="28"/>
        </w:rPr>
        <w:t>持续抓好惠企政策落实，积极帮助企业解决困难</w:t>
      </w:r>
      <w:r>
        <w:rPr>
          <w:rFonts w:hint="eastAsia" w:ascii="仿宋" w:hAnsi="仿宋" w:eastAsia="仿宋" w:cs="仿宋"/>
          <w:sz w:val="28"/>
          <w:szCs w:val="28"/>
          <w:lang w:eastAsia="zh-CN"/>
        </w:rPr>
        <w:t>。</w:t>
      </w:r>
      <w:r>
        <w:rPr>
          <w:rFonts w:hint="eastAsia" w:ascii="仿宋" w:hAnsi="仿宋" w:eastAsia="仿宋" w:cs="仿宋"/>
          <w:sz w:val="28"/>
          <w:szCs w:val="28"/>
        </w:rPr>
        <w:t>对辖内金融业多家重点企业开展走访调研，覆盖商业银行、保险公司、证券公司领域，收集企业需求、意见建议，针对性开展帮扶</w:t>
      </w:r>
      <w:r>
        <w:rPr>
          <w:rFonts w:hint="eastAsia" w:ascii="仿宋" w:hAnsi="仿宋" w:eastAsia="仿宋" w:cs="仿宋"/>
          <w:sz w:val="28"/>
          <w:szCs w:val="28"/>
          <w:lang w:eastAsia="zh-CN"/>
        </w:rPr>
        <w:t>，</w:t>
      </w:r>
      <w:r>
        <w:rPr>
          <w:rFonts w:hint="eastAsia" w:ascii="仿宋" w:hAnsi="仿宋" w:eastAsia="仿宋" w:cs="仿宋"/>
          <w:b w:val="0"/>
          <w:bCs w:val="0"/>
          <w:sz w:val="28"/>
          <w:szCs w:val="28"/>
          <w:lang w:eastAsia="zh-CN"/>
        </w:rPr>
        <w:t>累计收集</w:t>
      </w:r>
      <w:r>
        <w:rPr>
          <w:rFonts w:hint="eastAsia" w:ascii="仿宋" w:hAnsi="仿宋" w:eastAsia="仿宋" w:cs="仿宋"/>
          <w:b w:val="0"/>
          <w:bCs w:val="0"/>
          <w:sz w:val="28"/>
          <w:szCs w:val="28"/>
          <w:lang w:val="en-US" w:eastAsia="zh-CN"/>
        </w:rPr>
        <w:t>9张“挂号表”，</w:t>
      </w:r>
      <w:r>
        <w:rPr>
          <w:rFonts w:hint="eastAsia" w:ascii="仿宋" w:hAnsi="仿宋" w:eastAsia="仿宋" w:cs="仿宋"/>
          <w:sz w:val="28"/>
          <w:szCs w:val="28"/>
        </w:rPr>
        <w:t>涉及9家企业共1</w:t>
      </w:r>
      <w:r>
        <w:rPr>
          <w:rFonts w:hint="eastAsia" w:ascii="仿宋" w:hAnsi="仿宋" w:eastAsia="仿宋" w:cs="仿宋"/>
          <w:sz w:val="28"/>
          <w:szCs w:val="28"/>
          <w:lang w:val="en-US" w:eastAsia="zh-CN"/>
        </w:rPr>
        <w:t>5</w:t>
      </w:r>
      <w:r>
        <w:rPr>
          <w:rFonts w:hint="eastAsia" w:ascii="仿宋" w:hAnsi="仿宋" w:eastAsia="仿宋" w:cs="仿宋"/>
          <w:sz w:val="28"/>
          <w:szCs w:val="28"/>
        </w:rPr>
        <w:t>个困难点，相关问题</w:t>
      </w:r>
      <w:r>
        <w:rPr>
          <w:rFonts w:hint="eastAsia" w:ascii="仿宋" w:hAnsi="仿宋" w:eastAsia="仿宋" w:cs="仿宋"/>
          <w:sz w:val="28"/>
          <w:szCs w:val="28"/>
          <w:lang w:eastAsia="zh-CN"/>
        </w:rPr>
        <w:t>已</w:t>
      </w:r>
      <w:r>
        <w:rPr>
          <w:rFonts w:hint="eastAsia" w:ascii="仿宋" w:hAnsi="仿宋" w:eastAsia="仿宋" w:cs="仿宋"/>
          <w:sz w:val="28"/>
          <w:szCs w:val="28"/>
        </w:rPr>
        <w:t>全部解决销号</w:t>
      </w:r>
      <w:r>
        <w:rPr>
          <w:rFonts w:hint="eastAsia" w:ascii="仿宋" w:hAnsi="仿宋" w:eastAsia="仿宋" w:cs="仿宋"/>
          <w:sz w:val="28"/>
          <w:szCs w:val="28"/>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b w:val="0"/>
          <w:bCs/>
          <w:sz w:val="28"/>
          <w:szCs w:val="28"/>
          <w:lang w:val="en-US" w:eastAsia="zh-CN"/>
        </w:rPr>
        <w:t>缓解</w:t>
      </w:r>
      <w:r>
        <w:rPr>
          <w:rFonts w:hint="eastAsia" w:ascii="仿宋" w:hAnsi="仿宋" w:eastAsia="仿宋" w:cs="仿宋"/>
          <w:b w:val="0"/>
          <w:bCs/>
          <w:sz w:val="28"/>
          <w:szCs w:val="28"/>
        </w:rPr>
        <w:t>小微企业</w:t>
      </w:r>
      <w:r>
        <w:rPr>
          <w:rFonts w:hint="eastAsia" w:ascii="仿宋" w:hAnsi="仿宋" w:eastAsia="仿宋" w:cs="仿宋"/>
          <w:b w:val="0"/>
          <w:bCs/>
          <w:sz w:val="28"/>
          <w:szCs w:val="28"/>
          <w:lang w:val="en-US" w:eastAsia="zh-CN"/>
        </w:rPr>
        <w:t>融资困难</w:t>
      </w:r>
      <w:r>
        <w:rPr>
          <w:rFonts w:hint="eastAsia" w:ascii="仿宋" w:hAnsi="仿宋" w:eastAsia="仿宋" w:cs="仿宋"/>
          <w:b w:val="0"/>
          <w:bCs/>
          <w:sz w:val="28"/>
          <w:szCs w:val="28"/>
        </w:rPr>
        <w:t>。</w:t>
      </w:r>
      <w:r>
        <w:rPr>
          <w:rFonts w:hint="eastAsia" w:ascii="仿宋" w:hAnsi="仿宋" w:eastAsia="仿宋" w:cs="仿宋"/>
          <w:kern w:val="0"/>
          <w:sz w:val="28"/>
          <w:szCs w:val="28"/>
        </w:rPr>
        <w:t>按照</w:t>
      </w:r>
      <w:r>
        <w:rPr>
          <w:rFonts w:hint="eastAsia" w:ascii="仿宋" w:hAnsi="仿宋" w:eastAsia="仿宋" w:cs="仿宋"/>
          <w:sz w:val="28"/>
          <w:szCs w:val="28"/>
        </w:rPr>
        <w:t>岳阳楼区政府与岳阳市融资担保有限责任公司政府性融资担保业务合作协议，组织</w:t>
      </w:r>
      <w:r>
        <w:rPr>
          <w:rFonts w:hint="eastAsia" w:ascii="仿宋" w:hAnsi="仿宋" w:eastAsia="仿宋" w:cs="仿宋"/>
          <w:sz w:val="28"/>
          <w:szCs w:val="28"/>
          <w:lang w:val="en-US" w:eastAsia="zh-CN"/>
        </w:rPr>
        <w:t>各街道（乡）、行业主管部门收集并上报符合条件的小微企业进入“小微基金融资支持企业白名单”中。本年度，我中心本年度动态调整3批共计20家白名单企业，当前符合风补基金支持条件的企业78家，在保余额13966万元，“白名单”企业累计获得145笔风补基金担保贷款，总金额为35498万元。</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生态效益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不适用。</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社会公众满意度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color w:val="000000"/>
          <w:sz w:val="28"/>
          <w:szCs w:val="28"/>
          <w:lang w:val="en-US" w:eastAsia="zh-CN"/>
        </w:rPr>
        <w:t>本年度</w:t>
      </w:r>
      <w:r>
        <w:rPr>
          <w:rFonts w:hint="eastAsia" w:ascii="仿宋" w:hAnsi="仿宋" w:eastAsia="仿宋" w:cs="仿宋"/>
          <w:bCs/>
          <w:sz w:val="28"/>
          <w:szCs w:val="28"/>
        </w:rPr>
        <w:t>我区非法集资陈案从2018年60余起到今年1</w:t>
      </w:r>
      <w:r>
        <w:rPr>
          <w:rFonts w:hint="eastAsia" w:ascii="仿宋" w:hAnsi="仿宋" w:eastAsia="仿宋" w:cs="仿宋"/>
          <w:bCs/>
          <w:sz w:val="28"/>
          <w:szCs w:val="28"/>
          <w:lang w:val="en-US" w:eastAsia="zh-CN"/>
        </w:rPr>
        <w:t>2</w:t>
      </w:r>
      <w:r>
        <w:rPr>
          <w:rFonts w:hint="eastAsia" w:ascii="仿宋" w:hAnsi="仿宋" w:eastAsia="仿宋" w:cs="仿宋"/>
          <w:bCs/>
          <w:sz w:val="28"/>
          <w:szCs w:val="28"/>
        </w:rPr>
        <w:t>起</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包括经开区顺祥养老案件、盛大金禧案件</w:t>
      </w:r>
      <w:r>
        <w:rPr>
          <w:rFonts w:hint="eastAsia" w:ascii="仿宋" w:hAnsi="仿宋" w:eastAsia="仿宋" w:cs="仿宋"/>
          <w:bCs/>
          <w:sz w:val="28"/>
          <w:szCs w:val="28"/>
          <w:lang w:eastAsia="zh-CN"/>
        </w:rPr>
        <w:t>）</w:t>
      </w:r>
      <w:r>
        <w:rPr>
          <w:rFonts w:hint="eastAsia" w:ascii="仿宋" w:hAnsi="仿宋" w:eastAsia="仿宋" w:cs="仿宋"/>
          <w:bCs/>
          <w:sz w:val="28"/>
          <w:szCs w:val="28"/>
        </w:rPr>
        <w:t>，</w:t>
      </w:r>
      <w:r>
        <w:rPr>
          <w:rFonts w:hint="eastAsia" w:ascii="仿宋" w:hAnsi="仿宋" w:eastAsia="仿宋" w:cs="仿宋"/>
          <w:bCs/>
          <w:sz w:val="28"/>
          <w:szCs w:val="28"/>
          <w:lang w:val="en-US" w:eastAsia="zh-CN"/>
        </w:rPr>
        <w:t>司法审结率达到100%，结案率达到58%。</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color w:val="000000"/>
          <w:spacing w:val="0"/>
          <w:position w:val="0"/>
          <w:sz w:val="28"/>
          <w:szCs w:val="28"/>
          <w:lang w:val="en-US" w:eastAsia="zh-CN"/>
        </w:rPr>
      </w:pPr>
      <w:r>
        <w:rPr>
          <w:rFonts w:hint="eastAsia" w:ascii="仿宋" w:hAnsi="仿宋" w:eastAsia="仿宋" w:cs="仿宋"/>
          <w:b/>
          <w:bCs/>
          <w:color w:val="000000"/>
          <w:spacing w:val="0"/>
          <w:position w:val="0"/>
          <w:sz w:val="28"/>
          <w:szCs w:val="28"/>
          <w:lang w:val="en-US" w:eastAsia="zh-CN"/>
        </w:rPr>
        <w:t>七、存在的问题及原因分析</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1、因机构改革，财政预算指标冻结，业务工作经费项目全年执行率低。</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 w:hAnsi="仿宋" w:eastAsia="仿宋" w:cs="仿宋"/>
          <w:b/>
          <w:bCs/>
          <w:color w:val="000000"/>
          <w:spacing w:val="0"/>
          <w:position w:val="0"/>
          <w:sz w:val="28"/>
          <w:szCs w:val="28"/>
          <w:lang w:val="en-US" w:eastAsia="zh-CN"/>
        </w:rPr>
      </w:pPr>
      <w:r>
        <w:rPr>
          <w:rFonts w:hint="eastAsia" w:ascii="仿宋" w:hAnsi="仿宋" w:eastAsia="仿宋" w:cs="仿宋"/>
          <w:color w:val="000000"/>
          <w:kern w:val="2"/>
          <w:sz w:val="28"/>
          <w:szCs w:val="28"/>
          <w:lang w:val="en-US" w:eastAsia="zh-CN"/>
        </w:rPr>
        <w:t>2、预算绩效管理专业水平有待进一步提高。</w:t>
      </w:r>
      <w:r>
        <w:rPr>
          <w:rFonts w:hint="eastAsia" w:ascii="仿宋" w:hAnsi="仿宋" w:eastAsia="仿宋" w:cs="仿宋"/>
          <w:color w:val="000000"/>
          <w:kern w:val="0"/>
          <w:sz w:val="28"/>
          <w:szCs w:val="28"/>
          <w:lang w:val="en-US" w:eastAsia="zh-CN"/>
        </w:rPr>
        <w:t>加强学习信息化软件实操，提升业务能力和执行力。</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bCs/>
          <w:color w:val="000000"/>
          <w:spacing w:val="0"/>
          <w:position w:val="0"/>
          <w:sz w:val="28"/>
          <w:szCs w:val="28"/>
          <w:lang w:val="en-US" w:eastAsia="zh-CN"/>
        </w:rPr>
      </w:pPr>
      <w:r>
        <w:rPr>
          <w:rFonts w:hint="eastAsia" w:ascii="仿宋" w:hAnsi="仿宋" w:eastAsia="仿宋" w:cs="仿宋"/>
          <w:b/>
          <w:bCs/>
          <w:color w:val="000000"/>
          <w:spacing w:val="0"/>
          <w:position w:val="0"/>
          <w:sz w:val="28"/>
          <w:szCs w:val="28"/>
          <w:lang w:val="en-US" w:eastAsia="zh-CN"/>
        </w:rPr>
        <w:t>八、下一步改进措施</w:t>
      </w:r>
    </w:p>
    <w:p>
      <w:pPr>
        <w:widowControl/>
        <w:numPr>
          <w:ilvl w:val="0"/>
          <w:numId w:val="0"/>
        </w:numPr>
        <w:spacing w:line="560" w:lineRule="exact"/>
        <w:ind w:firstLine="560" w:firstLineChars="200"/>
        <w:jc w:val="left"/>
        <w:rPr>
          <w:rFonts w:hint="eastAsia" w:ascii="仿宋" w:hAnsi="仿宋" w:eastAsia="仿宋" w:cs="仿宋"/>
          <w:b/>
          <w:bCs/>
          <w:color w:val="000000"/>
          <w:spacing w:val="0"/>
          <w:position w:val="0"/>
          <w:sz w:val="28"/>
          <w:szCs w:val="28"/>
          <w:lang w:val="en-US" w:eastAsia="zh-CN"/>
        </w:rPr>
      </w:pPr>
      <w:r>
        <w:rPr>
          <w:rFonts w:hint="eastAsia" w:ascii="仿宋" w:hAnsi="仿宋" w:eastAsia="仿宋" w:cs="仿宋"/>
          <w:color w:val="000000"/>
          <w:kern w:val="0"/>
          <w:sz w:val="28"/>
          <w:szCs w:val="28"/>
          <w:lang w:val="en-US" w:eastAsia="zh-CN"/>
        </w:rPr>
        <w:t>强化预算、绩效管理意识。业财融合，提升业务水平。严控项目经费支出，确保各项工作顺利开展，力争降低成本。推动建立过紧日子的长效机制。</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b/>
          <w:bCs/>
          <w:color w:val="000000"/>
          <w:spacing w:val="0"/>
          <w:position w:val="0"/>
          <w:sz w:val="28"/>
          <w:szCs w:val="28"/>
          <w:lang w:val="en-US" w:eastAsia="zh-CN"/>
        </w:rPr>
        <w:t>九、部门整体支出绩效自评结果拟应用和公开情况</w:t>
      </w:r>
    </w:p>
    <w:p>
      <w:pPr>
        <w:pStyle w:val="6"/>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lang w:val="en-US" w:eastAsia="zh-CN"/>
        </w:rPr>
        <w:t>本单位高度重视此项绩效自评工作，积极落实主体责任，按照绩效评价相关制度规定，认真开展自评，撰写了绩效评价报告，并按要求进行信息公开，对存在的问题积极整改。</w:t>
      </w:r>
    </w:p>
    <w:p>
      <w:pPr>
        <w:pStyle w:val="6"/>
        <w:numPr>
          <w:ilvl w:val="0"/>
          <w:numId w:val="0"/>
        </w:numPr>
        <w:rPr>
          <w:rFonts w:hint="eastAsia" w:ascii="仿宋" w:hAnsi="仿宋" w:eastAsia="仿宋" w:cs="仿宋"/>
          <w:b/>
          <w:bCs/>
          <w:color w:val="000000"/>
          <w:spacing w:val="0"/>
          <w:position w:val="0"/>
          <w:sz w:val="28"/>
          <w:szCs w:val="28"/>
          <w:lang w:val="en-US" w:eastAsia="zh-CN"/>
        </w:rPr>
      </w:pPr>
      <w:r>
        <w:rPr>
          <w:rFonts w:hint="eastAsia" w:ascii="仿宋" w:hAnsi="仿宋" w:eastAsia="仿宋" w:cs="仿宋"/>
          <w:b/>
          <w:bCs/>
          <w:color w:val="000000"/>
          <w:spacing w:val="0"/>
          <w:position w:val="0"/>
          <w:sz w:val="28"/>
          <w:szCs w:val="28"/>
          <w:lang w:val="en-US" w:eastAsia="zh-CN"/>
        </w:rPr>
        <w:t>十、其他需要说明的情况</w:t>
      </w:r>
    </w:p>
    <w:p>
      <w:pPr>
        <w:widowControl/>
        <w:numPr>
          <w:ilvl w:val="0"/>
          <w:numId w:val="0"/>
        </w:numPr>
        <w:spacing w:line="560" w:lineRule="exact"/>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本单位无其他需要说明的情况。</w:t>
      </w:r>
    </w:p>
    <w:p>
      <w:pPr>
        <w:pStyle w:val="2"/>
        <w:rPr>
          <w:rFonts w:hint="eastAsia" w:ascii="仿宋" w:hAnsi="仿宋" w:eastAsia="仿宋" w:cs="仿宋"/>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附件：1、</w:t>
      </w:r>
      <w:r>
        <w:rPr>
          <w:rFonts w:hint="eastAsia" w:ascii="宋体" w:hAnsi="宋体" w:eastAsia="宋体" w:cs="宋体"/>
          <w:color w:val="auto"/>
          <w:spacing w:val="6"/>
          <w:sz w:val="28"/>
          <w:szCs w:val="28"/>
          <w:highlight w:val="none"/>
          <w:lang w:eastAsia="zh-CN"/>
        </w:rPr>
        <w:t>单位</w:t>
      </w:r>
      <w:r>
        <w:rPr>
          <w:rFonts w:hint="eastAsia" w:ascii="宋体" w:hAnsi="宋体" w:eastAsia="宋体" w:cs="宋体"/>
          <w:color w:val="auto"/>
          <w:spacing w:val="6"/>
          <w:sz w:val="28"/>
          <w:szCs w:val="28"/>
          <w:highlight w:val="none"/>
        </w:rPr>
        <w:t>整体支出绩效评价基础数据表</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888" w:firstLineChars="300"/>
        <w:jc w:val="left"/>
        <w:textAlignment w:val="auto"/>
        <w:rPr>
          <w:rFonts w:hint="eastAsia" w:ascii="宋体" w:hAnsi="宋体" w:eastAsia="宋体" w:cs="宋体"/>
          <w:color w:val="auto"/>
          <w:spacing w:val="8"/>
          <w:sz w:val="28"/>
          <w:szCs w:val="28"/>
          <w:highlight w:val="none"/>
        </w:rPr>
      </w:pPr>
      <w:r>
        <w:rPr>
          <w:rFonts w:hint="eastAsia" w:ascii="宋体" w:hAnsi="宋体" w:eastAsia="宋体" w:cs="宋体"/>
          <w:color w:val="auto"/>
          <w:spacing w:val="8"/>
          <w:sz w:val="28"/>
          <w:szCs w:val="28"/>
          <w:highlight w:val="none"/>
          <w:lang w:eastAsia="zh-CN"/>
        </w:rPr>
        <w:t>单位</w:t>
      </w:r>
      <w:r>
        <w:rPr>
          <w:rFonts w:hint="eastAsia" w:ascii="宋体" w:hAnsi="宋体" w:eastAsia="宋体" w:cs="宋体"/>
          <w:color w:val="auto"/>
          <w:spacing w:val="8"/>
          <w:sz w:val="28"/>
          <w:szCs w:val="28"/>
          <w:highlight w:val="none"/>
        </w:rPr>
        <w:t>整体支出绩效自评表</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right="0" w:firstLine="888" w:firstLineChars="300"/>
        <w:jc w:val="left"/>
        <w:textAlignment w:val="auto"/>
        <w:rPr>
          <w:rFonts w:hint="eastAsia" w:ascii="宋体" w:hAnsi="宋体" w:eastAsia="宋体" w:cs="宋体"/>
          <w:color w:val="auto"/>
          <w:spacing w:val="8"/>
          <w:sz w:val="28"/>
          <w:szCs w:val="28"/>
          <w:highlight w:val="none"/>
          <w:lang w:val="en-US" w:eastAsia="zh-CN"/>
        </w:rPr>
      </w:pPr>
      <w:r>
        <w:rPr>
          <w:rFonts w:hint="eastAsia" w:ascii="宋体" w:hAnsi="宋体" w:eastAsia="宋体" w:cs="宋体"/>
          <w:color w:val="auto"/>
          <w:spacing w:val="8"/>
          <w:sz w:val="28"/>
          <w:szCs w:val="28"/>
          <w:highlight w:val="none"/>
          <w:lang w:val="en-US" w:eastAsia="zh-CN"/>
        </w:rPr>
        <w:t>项目支出绩效自评表</w:t>
      </w:r>
    </w:p>
    <w:p>
      <w:pPr>
        <w:pStyle w:val="3"/>
        <w:rPr>
          <w:rFonts w:hint="eastAsia" w:ascii="宋体" w:hAnsi="宋体" w:eastAsia="宋体" w:cs="宋体"/>
          <w:color w:val="auto"/>
          <w:spacing w:val="8"/>
          <w:sz w:val="28"/>
          <w:szCs w:val="28"/>
          <w:highlight w:val="none"/>
          <w:lang w:val="en-US" w:eastAsia="zh-CN"/>
        </w:rPr>
      </w:pPr>
    </w:p>
    <w:p>
      <w:pPr>
        <w:rPr>
          <w:rFonts w:hint="eastAsia" w:ascii="宋体" w:hAnsi="宋体" w:eastAsia="宋体" w:cs="宋体"/>
          <w:color w:val="auto"/>
          <w:spacing w:val="8"/>
          <w:sz w:val="28"/>
          <w:szCs w:val="28"/>
          <w:highlight w:val="none"/>
          <w:lang w:val="en-US" w:eastAsia="zh-CN"/>
        </w:rPr>
      </w:pPr>
    </w:p>
    <w:p>
      <w:pPr>
        <w:pStyle w:val="2"/>
        <w:rPr>
          <w:rFonts w:hint="eastAsia" w:ascii="宋体" w:hAnsi="宋体" w:eastAsia="宋体" w:cs="宋体"/>
          <w:color w:val="auto"/>
          <w:spacing w:val="8"/>
          <w:sz w:val="28"/>
          <w:szCs w:val="28"/>
          <w:highlight w:val="none"/>
          <w:lang w:val="en-US" w:eastAsia="zh-CN"/>
        </w:rPr>
      </w:pPr>
    </w:p>
    <w:p>
      <w:pPr>
        <w:pStyle w:val="3"/>
        <w:rPr>
          <w:rFonts w:hint="eastAsia" w:ascii="宋体" w:hAnsi="宋体" w:eastAsia="宋体" w:cs="宋体"/>
          <w:color w:val="auto"/>
          <w:spacing w:val="8"/>
          <w:sz w:val="28"/>
          <w:szCs w:val="28"/>
          <w:highlight w:val="none"/>
          <w:lang w:val="en-US" w:eastAsia="zh-CN"/>
        </w:rPr>
      </w:pPr>
    </w:p>
    <w:p>
      <w:pPr>
        <w:rPr>
          <w:rFonts w:hint="eastAsia" w:ascii="宋体" w:hAnsi="宋体" w:eastAsia="宋体" w:cs="宋体"/>
          <w:color w:val="auto"/>
          <w:spacing w:val="8"/>
          <w:sz w:val="28"/>
          <w:szCs w:val="28"/>
          <w:highlight w:val="none"/>
          <w:lang w:val="en-US" w:eastAsia="zh-CN"/>
        </w:rPr>
      </w:pPr>
    </w:p>
    <w:p>
      <w:pPr>
        <w:pStyle w:val="2"/>
        <w:rPr>
          <w:rFonts w:hint="eastAsia" w:ascii="宋体" w:hAnsi="宋体" w:eastAsia="宋体" w:cs="宋体"/>
          <w:color w:val="auto"/>
          <w:spacing w:val="8"/>
          <w:sz w:val="28"/>
          <w:szCs w:val="28"/>
          <w:highlight w:val="none"/>
          <w:lang w:val="en-US" w:eastAsia="zh-CN"/>
        </w:rPr>
      </w:pPr>
    </w:p>
    <w:p>
      <w:pPr>
        <w:pStyle w:val="3"/>
        <w:rPr>
          <w:rFonts w:hint="eastAsia" w:ascii="宋体" w:hAnsi="宋体" w:eastAsia="宋体" w:cs="宋体"/>
          <w:color w:val="auto"/>
          <w:spacing w:val="8"/>
          <w:sz w:val="28"/>
          <w:szCs w:val="28"/>
          <w:highlight w:val="none"/>
          <w:lang w:val="en-US" w:eastAsia="zh-CN"/>
        </w:rPr>
      </w:pPr>
    </w:p>
    <w:p>
      <w:pPr>
        <w:rPr>
          <w:rFonts w:hint="eastAsia" w:ascii="宋体" w:hAnsi="宋体" w:eastAsia="宋体" w:cs="宋体"/>
          <w:color w:val="auto"/>
          <w:spacing w:val="8"/>
          <w:sz w:val="28"/>
          <w:szCs w:val="28"/>
          <w:highlight w:val="none"/>
          <w:lang w:val="en-US" w:eastAsia="zh-CN"/>
        </w:rPr>
      </w:pPr>
    </w:p>
    <w:p>
      <w:pPr>
        <w:pStyle w:val="2"/>
        <w:rPr>
          <w:rFonts w:hint="eastAsia" w:ascii="宋体" w:hAnsi="宋体" w:eastAsia="宋体" w:cs="宋体"/>
          <w:color w:val="auto"/>
          <w:spacing w:val="8"/>
          <w:sz w:val="28"/>
          <w:szCs w:val="28"/>
          <w:highlight w:val="none"/>
          <w:lang w:val="en-US" w:eastAsia="zh-CN"/>
        </w:rPr>
      </w:pPr>
    </w:p>
    <w:p>
      <w:pPr>
        <w:pStyle w:val="3"/>
        <w:rPr>
          <w:rFonts w:hint="eastAsia" w:ascii="宋体" w:hAnsi="宋体" w:eastAsia="宋体" w:cs="宋体"/>
          <w:color w:val="auto"/>
          <w:spacing w:val="8"/>
          <w:sz w:val="28"/>
          <w:szCs w:val="28"/>
          <w:highlight w:val="none"/>
          <w:lang w:val="en-US" w:eastAsia="zh-CN"/>
        </w:rPr>
      </w:pPr>
    </w:p>
    <w:p>
      <w:pPr>
        <w:rPr>
          <w:rFonts w:hint="eastAsia" w:ascii="宋体" w:hAnsi="宋体" w:eastAsia="宋体" w:cs="宋体"/>
          <w:color w:val="auto"/>
          <w:spacing w:val="8"/>
          <w:sz w:val="28"/>
          <w:szCs w:val="28"/>
          <w:highlight w:val="none"/>
          <w:lang w:val="en-US" w:eastAsia="zh-CN"/>
        </w:rPr>
      </w:pPr>
    </w:p>
    <w:p>
      <w:pPr>
        <w:pStyle w:val="2"/>
        <w:rPr>
          <w:rFonts w:hint="eastAsia" w:ascii="宋体" w:hAnsi="宋体" w:eastAsia="宋体" w:cs="宋体"/>
          <w:color w:val="auto"/>
          <w:spacing w:val="8"/>
          <w:sz w:val="28"/>
          <w:szCs w:val="28"/>
          <w:highlight w:val="none"/>
          <w:lang w:val="en-US" w:eastAsia="zh-CN"/>
        </w:rPr>
      </w:pPr>
    </w:p>
    <w:p>
      <w:pPr>
        <w:pStyle w:val="3"/>
        <w:rPr>
          <w:rFonts w:hint="eastAsia" w:ascii="宋体" w:hAnsi="宋体" w:eastAsia="宋体" w:cs="宋体"/>
          <w:color w:val="auto"/>
          <w:spacing w:val="8"/>
          <w:sz w:val="28"/>
          <w:szCs w:val="28"/>
          <w:highlight w:val="none"/>
          <w:lang w:val="en-US" w:eastAsia="zh-CN"/>
        </w:rPr>
      </w:pPr>
    </w:p>
    <w:p>
      <w:pPr>
        <w:rPr>
          <w:rFonts w:hint="eastAsia" w:ascii="宋体" w:hAnsi="宋体" w:eastAsia="宋体" w:cs="宋体"/>
          <w:color w:val="auto"/>
          <w:spacing w:val="8"/>
          <w:sz w:val="28"/>
          <w:szCs w:val="28"/>
          <w:highlight w:val="none"/>
          <w:lang w:val="en-US" w:eastAsia="zh-CN"/>
        </w:rPr>
      </w:pPr>
    </w:p>
    <w:p>
      <w:pPr>
        <w:pStyle w:val="2"/>
        <w:rPr>
          <w:rFonts w:hint="eastAsia" w:ascii="宋体" w:hAnsi="宋体" w:eastAsia="宋体" w:cs="宋体"/>
          <w:color w:val="auto"/>
          <w:spacing w:val="8"/>
          <w:sz w:val="28"/>
          <w:szCs w:val="28"/>
          <w:highlight w:val="none"/>
          <w:lang w:val="en-US" w:eastAsia="zh-CN"/>
        </w:rPr>
      </w:pPr>
    </w:p>
    <w:p>
      <w:pPr>
        <w:pStyle w:val="3"/>
        <w:rPr>
          <w:rFonts w:hint="eastAsia" w:ascii="宋体" w:hAnsi="宋体" w:eastAsia="宋体" w:cs="宋体"/>
          <w:color w:val="auto"/>
          <w:spacing w:val="8"/>
          <w:sz w:val="28"/>
          <w:szCs w:val="28"/>
          <w:highlight w:val="none"/>
          <w:lang w:val="en-US" w:eastAsia="zh-CN"/>
        </w:rPr>
      </w:pPr>
    </w:p>
    <w:p>
      <w:pPr>
        <w:rPr>
          <w:rFonts w:hint="eastAsia" w:ascii="宋体" w:hAnsi="宋体" w:eastAsia="宋体" w:cs="宋体"/>
          <w:color w:val="auto"/>
          <w:spacing w:val="8"/>
          <w:sz w:val="28"/>
          <w:szCs w:val="28"/>
          <w:highlight w:val="none"/>
          <w:lang w:val="en-US" w:eastAsia="zh-CN"/>
        </w:rPr>
      </w:pPr>
    </w:p>
    <w:p>
      <w:pPr>
        <w:pStyle w:val="2"/>
        <w:rPr>
          <w:rFonts w:hint="eastAsia" w:ascii="宋体" w:hAnsi="宋体" w:eastAsia="宋体" w:cs="宋体"/>
          <w:color w:val="auto"/>
          <w:spacing w:val="8"/>
          <w:sz w:val="28"/>
          <w:szCs w:val="28"/>
          <w:highlight w:val="none"/>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auto"/>
          <w:spacing w:val="10"/>
          <w:sz w:val="32"/>
          <w:szCs w:val="32"/>
          <w:highlight w:val="none"/>
          <w:lang w:val="en-US" w:eastAsia="zh-CN"/>
        </w:rPr>
      </w:pPr>
      <w:r>
        <w:rPr>
          <w:rFonts w:hint="eastAsia" w:ascii="黑体" w:hAnsi="黑体" w:eastAsia="黑体" w:cs="黑体"/>
          <w:b w:val="0"/>
          <w:bCs w:val="0"/>
          <w:color w:val="auto"/>
          <w:spacing w:val="10"/>
          <w:sz w:val="32"/>
          <w:szCs w:val="32"/>
          <w:highlight w:val="none"/>
          <w:lang w:eastAsia="zh-CN"/>
        </w:rPr>
        <w:t>附件</w:t>
      </w:r>
      <w:r>
        <w:rPr>
          <w:rFonts w:hint="eastAsia" w:ascii="黑体" w:hAnsi="黑体" w:eastAsia="黑体" w:cs="黑体"/>
          <w:b w:val="0"/>
          <w:bCs w:val="0"/>
          <w:color w:val="auto"/>
          <w:spacing w:val="1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36"/>
          <w:szCs w:val="36"/>
          <w:highlight w:val="none"/>
        </w:rPr>
      </w:pPr>
      <w:r>
        <w:rPr>
          <w:rFonts w:hint="eastAsia" w:ascii="方正小标宋简体" w:hAnsi="方正小标宋简体" w:eastAsia="方正小标宋简体" w:cs="方正小标宋简体"/>
          <w:b w:val="0"/>
          <w:bCs w:val="0"/>
          <w:color w:val="auto"/>
          <w:spacing w:val="2"/>
          <w:sz w:val="36"/>
          <w:szCs w:val="36"/>
          <w:highlight w:val="none"/>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rPr>
        <w:t>年度</w:t>
      </w:r>
      <w:r>
        <w:rPr>
          <w:rFonts w:hint="eastAsia" w:ascii="方正小标宋简体" w:hAnsi="方正小标宋简体" w:eastAsia="方正小标宋简体" w:cs="方正小标宋简体"/>
          <w:b w:val="0"/>
          <w:bCs w:val="0"/>
          <w:color w:val="auto"/>
          <w:spacing w:val="2"/>
          <w:sz w:val="36"/>
          <w:szCs w:val="36"/>
          <w:highlight w:val="none"/>
          <w:lang w:eastAsia="zh-CN"/>
        </w:rPr>
        <w:t>预算单位</w:t>
      </w:r>
      <w:r>
        <w:rPr>
          <w:rFonts w:hint="eastAsia" w:ascii="方正小标宋简体" w:hAnsi="方正小标宋简体" w:eastAsia="方正小标宋简体" w:cs="方正小标宋简体"/>
          <w:b w:val="0"/>
          <w:bCs w:val="0"/>
          <w:color w:val="auto"/>
          <w:spacing w:val="2"/>
          <w:sz w:val="36"/>
          <w:szCs w:val="36"/>
          <w:highlight w:val="none"/>
        </w:rPr>
        <w:t>整体支出绩效评价基础数据表</w:t>
      </w:r>
    </w:p>
    <w:p>
      <w:pPr>
        <w:spacing w:line="115" w:lineRule="exact"/>
        <w:rPr>
          <w:color w:val="auto"/>
          <w:highlight w:val="none"/>
        </w:rPr>
      </w:pPr>
    </w:p>
    <w:tbl>
      <w:tblPr>
        <w:tblStyle w:val="10"/>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pPr>
              <w:spacing w:before="33" w:line="198" w:lineRule="auto"/>
              <w:ind w:right="118" w:rightChars="0"/>
              <w:jc w:val="center"/>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rPr>
              <w:t>预算</w:t>
            </w:r>
            <w:r>
              <w:rPr>
                <w:rFonts w:hint="eastAsia" w:ascii="宋体" w:hAnsi="宋体" w:eastAsia="宋体" w:cs="宋体"/>
                <w:color w:val="auto"/>
                <w:spacing w:val="2"/>
                <w:sz w:val="22"/>
                <w:szCs w:val="22"/>
                <w:highlight w:val="none"/>
                <w:lang w:eastAsia="zh-CN"/>
              </w:rPr>
              <w:t>单位</w:t>
            </w:r>
            <w:r>
              <w:rPr>
                <w:rFonts w:hint="eastAsia" w:ascii="宋体" w:hAnsi="宋体" w:eastAsia="宋体" w:cs="宋体"/>
                <w:color w:val="auto"/>
                <w:spacing w:val="2"/>
                <w:sz w:val="22"/>
                <w:szCs w:val="22"/>
                <w:highlight w:val="none"/>
              </w:rPr>
              <w:t>名称</w:t>
            </w:r>
          </w:p>
        </w:tc>
        <w:tc>
          <w:tcPr>
            <w:tcW w:w="6564" w:type="dxa"/>
            <w:gridSpan w:val="6"/>
            <w:noWrap w:val="0"/>
            <w:vAlign w:val="top"/>
          </w:tcPr>
          <w:p>
            <w:pPr>
              <w:spacing w:before="103" w:line="219" w:lineRule="auto"/>
              <w:jc w:val="center"/>
              <w:rPr>
                <w:rFonts w:hint="default"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岳阳市岳阳楼区人民政府金融工作办公室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pPr>
              <w:spacing w:before="262" w:line="219" w:lineRule="auto"/>
              <w:ind w:left="575"/>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财政供养人员情况(人)</w:t>
            </w:r>
          </w:p>
        </w:tc>
        <w:tc>
          <w:tcPr>
            <w:tcW w:w="2124" w:type="dxa"/>
            <w:gridSpan w:val="2"/>
            <w:noWrap w:val="0"/>
            <w:vAlign w:val="top"/>
          </w:tcPr>
          <w:p>
            <w:pPr>
              <w:spacing w:before="10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编制数</w:t>
            </w:r>
          </w:p>
        </w:tc>
        <w:tc>
          <w:tcPr>
            <w:tcW w:w="2232" w:type="dxa"/>
            <w:gridSpan w:val="2"/>
            <w:noWrap w:val="0"/>
            <w:vAlign w:val="top"/>
          </w:tcPr>
          <w:p>
            <w:pPr>
              <w:spacing w:before="8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202</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年实际在职人数</w:t>
            </w:r>
          </w:p>
        </w:tc>
        <w:tc>
          <w:tcPr>
            <w:tcW w:w="2208" w:type="dxa"/>
            <w:gridSpan w:val="2"/>
            <w:noWrap w:val="0"/>
            <w:vAlign w:val="top"/>
          </w:tcPr>
          <w:p>
            <w:pPr>
              <w:spacing w:before="103" w:line="219" w:lineRule="auto"/>
              <w:ind w:left="70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pPr>
              <w:jc w:val="left"/>
              <w:rPr>
                <w:rFonts w:hint="eastAsia" w:ascii="宋体" w:hAnsi="宋体" w:eastAsia="宋体" w:cs="宋体"/>
                <w:color w:val="auto"/>
                <w:sz w:val="22"/>
                <w:szCs w:val="22"/>
                <w:highlight w:val="none"/>
              </w:rPr>
            </w:pPr>
          </w:p>
        </w:tc>
        <w:tc>
          <w:tcPr>
            <w:tcW w:w="2124"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lang w:val="en-US" w:eastAsia="zh-CN"/>
              </w:rPr>
              <w:t>17</w:t>
            </w:r>
          </w:p>
        </w:tc>
        <w:tc>
          <w:tcPr>
            <w:tcW w:w="2232"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w:t>
            </w:r>
          </w:p>
        </w:tc>
        <w:tc>
          <w:tcPr>
            <w:tcW w:w="2208"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00.00</w:t>
            </w:r>
            <w:r>
              <w:rPr>
                <w:rFonts w:hint="default" w:ascii="宋体" w:hAnsi="宋体" w:eastAsia="宋体" w:cs="宋体"/>
                <w:color w:val="auto"/>
                <w:sz w:val="22"/>
                <w:szCs w:val="22"/>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pPr>
              <w:spacing w:before="140" w:line="202" w:lineRule="auto"/>
              <w:ind w:left="684"/>
              <w:jc w:val="left"/>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经费控制情况(万元)</w:t>
            </w:r>
          </w:p>
        </w:tc>
        <w:tc>
          <w:tcPr>
            <w:tcW w:w="2124" w:type="dxa"/>
            <w:gridSpan w:val="2"/>
            <w:noWrap w:val="0"/>
            <w:vAlign w:val="top"/>
          </w:tcPr>
          <w:p>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3</w:t>
            </w:r>
            <w:r>
              <w:rPr>
                <w:rFonts w:hint="eastAsia" w:ascii="宋体" w:hAnsi="宋体" w:eastAsia="宋体" w:cs="宋体"/>
                <w:color w:val="auto"/>
                <w:spacing w:val="-2"/>
                <w:sz w:val="22"/>
                <w:szCs w:val="22"/>
                <w:highlight w:val="none"/>
              </w:rPr>
              <w:t>年决算数</w:t>
            </w:r>
          </w:p>
        </w:tc>
        <w:tc>
          <w:tcPr>
            <w:tcW w:w="2232" w:type="dxa"/>
            <w:gridSpan w:val="2"/>
            <w:noWrap w:val="0"/>
            <w:vAlign w:val="top"/>
          </w:tcPr>
          <w:p>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4</w:t>
            </w:r>
            <w:r>
              <w:rPr>
                <w:rFonts w:hint="eastAsia" w:ascii="宋体" w:hAnsi="宋体" w:eastAsia="宋体" w:cs="宋体"/>
                <w:color w:val="auto"/>
                <w:spacing w:val="-2"/>
                <w:sz w:val="22"/>
                <w:szCs w:val="22"/>
                <w:highlight w:val="none"/>
              </w:rPr>
              <w:t>年预算数</w:t>
            </w:r>
          </w:p>
        </w:tc>
        <w:tc>
          <w:tcPr>
            <w:tcW w:w="2208" w:type="dxa"/>
            <w:gridSpan w:val="2"/>
            <w:noWrap w:val="0"/>
            <w:vAlign w:val="top"/>
          </w:tcPr>
          <w:p>
            <w:pPr>
              <w:spacing w:before="76" w:line="219" w:lineRule="auto"/>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pacing w:val="-4"/>
                <w:sz w:val="22"/>
                <w:szCs w:val="22"/>
                <w:highlight w:val="none"/>
              </w:rPr>
              <w:t>202</w:t>
            </w:r>
            <w:r>
              <w:rPr>
                <w:rFonts w:hint="eastAsia" w:ascii="宋体" w:hAnsi="宋体" w:eastAsia="宋体" w:cs="宋体"/>
                <w:b w:val="0"/>
                <w:bCs w:val="0"/>
                <w:color w:val="auto"/>
                <w:spacing w:val="-4"/>
                <w:sz w:val="22"/>
                <w:szCs w:val="22"/>
                <w:highlight w:val="none"/>
                <w:lang w:val="en-US" w:eastAsia="zh-CN"/>
              </w:rPr>
              <w:t>4</w:t>
            </w:r>
            <w:r>
              <w:rPr>
                <w:rFonts w:hint="eastAsia" w:ascii="宋体" w:hAnsi="宋体" w:eastAsia="宋体" w:cs="宋体"/>
                <w:b w:val="0"/>
                <w:bCs w:val="0"/>
                <w:color w:val="auto"/>
                <w:spacing w:val="-4"/>
                <w:sz w:val="22"/>
                <w:szCs w:val="22"/>
                <w:highlight w:val="none"/>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pPr>
              <w:spacing w:before="141" w:line="202"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三公经费</w:t>
            </w:r>
          </w:p>
        </w:tc>
        <w:tc>
          <w:tcPr>
            <w:tcW w:w="2124"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0.88</w:t>
            </w:r>
          </w:p>
        </w:tc>
        <w:tc>
          <w:tcPr>
            <w:tcW w:w="2232"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1.71</w:t>
            </w:r>
          </w:p>
        </w:tc>
        <w:tc>
          <w:tcPr>
            <w:tcW w:w="2208"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pPr>
              <w:spacing w:before="149" w:line="193" w:lineRule="auto"/>
              <w:ind w:left="41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1、公务用车购置和维护经费</w:t>
            </w:r>
          </w:p>
        </w:tc>
        <w:tc>
          <w:tcPr>
            <w:tcW w:w="2124"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c>
          <w:tcPr>
            <w:tcW w:w="2232"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c>
          <w:tcPr>
            <w:tcW w:w="2208"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pPr>
              <w:spacing w:before="81" w:line="219" w:lineRule="auto"/>
              <w:ind w:left="81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其中：公车购置</w:t>
            </w:r>
          </w:p>
        </w:tc>
        <w:tc>
          <w:tcPr>
            <w:tcW w:w="2124"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c>
          <w:tcPr>
            <w:tcW w:w="2232"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c>
          <w:tcPr>
            <w:tcW w:w="2208"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pPr>
              <w:spacing w:before="91" w:line="219" w:lineRule="auto"/>
              <w:ind w:left="142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公车运行维护</w:t>
            </w:r>
          </w:p>
        </w:tc>
        <w:tc>
          <w:tcPr>
            <w:tcW w:w="2124"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c>
          <w:tcPr>
            <w:tcW w:w="2232"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c>
          <w:tcPr>
            <w:tcW w:w="2208"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pPr>
              <w:spacing w:before="81" w:line="220"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2、出国经费</w:t>
            </w:r>
          </w:p>
        </w:tc>
        <w:tc>
          <w:tcPr>
            <w:tcW w:w="2124"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c>
          <w:tcPr>
            <w:tcW w:w="2232"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c>
          <w:tcPr>
            <w:tcW w:w="2208" w:type="dxa"/>
            <w:gridSpan w:val="2"/>
            <w:noWrap w:val="0"/>
            <w:vAlign w:val="top"/>
          </w:tcPr>
          <w:p>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pPr>
              <w:spacing w:before="82"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3、公务接待</w:t>
            </w:r>
          </w:p>
        </w:tc>
        <w:tc>
          <w:tcPr>
            <w:tcW w:w="2124"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0.88</w:t>
            </w:r>
          </w:p>
        </w:tc>
        <w:tc>
          <w:tcPr>
            <w:tcW w:w="2232"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1.71</w:t>
            </w:r>
          </w:p>
        </w:tc>
        <w:tc>
          <w:tcPr>
            <w:tcW w:w="2208"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pPr>
              <w:spacing w:before="143" w:line="200" w:lineRule="auto"/>
              <w:ind w:left="84"/>
              <w:jc w:val="left"/>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rPr>
              <w:t>项目支出：</w:t>
            </w:r>
          </w:p>
        </w:tc>
        <w:tc>
          <w:tcPr>
            <w:tcW w:w="2124"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104.91</w:t>
            </w:r>
          </w:p>
        </w:tc>
        <w:tc>
          <w:tcPr>
            <w:tcW w:w="2232" w:type="dxa"/>
            <w:gridSpan w:val="2"/>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92</w:t>
            </w:r>
          </w:p>
        </w:tc>
        <w:tc>
          <w:tcPr>
            <w:tcW w:w="2208" w:type="dxa"/>
            <w:gridSpan w:val="2"/>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198.50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pPr>
              <w:spacing w:before="133" w:line="200"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1、业务工作经费</w:t>
            </w:r>
          </w:p>
        </w:tc>
        <w:tc>
          <w:tcPr>
            <w:tcW w:w="2124"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104.91</w:t>
            </w:r>
          </w:p>
        </w:tc>
        <w:tc>
          <w:tcPr>
            <w:tcW w:w="2232"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92</w:t>
            </w:r>
          </w:p>
        </w:tc>
        <w:tc>
          <w:tcPr>
            <w:tcW w:w="2208" w:type="dxa"/>
            <w:gridSpan w:val="2"/>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pPr>
              <w:spacing w:before="143" w:line="209"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2、产业发展扶持资金</w:t>
            </w:r>
          </w:p>
        </w:tc>
        <w:tc>
          <w:tcPr>
            <w:tcW w:w="2124"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164.34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pPr>
              <w:spacing w:before="93" w:line="219" w:lineRule="auto"/>
              <w:ind w:firstLine="224"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w:t>
            </w:r>
            <w:r>
              <w:rPr>
                <w:rFonts w:hint="eastAsia" w:ascii="宋体" w:hAnsi="宋体" w:eastAsia="宋体" w:cs="宋体"/>
                <w:color w:val="auto"/>
                <w:spacing w:val="2"/>
                <w:sz w:val="22"/>
                <w:szCs w:val="22"/>
                <w:highlight w:val="none"/>
                <w:lang w:val="en-US" w:eastAsia="zh-CN"/>
              </w:rPr>
              <w:t>社会福利和救助</w:t>
            </w:r>
          </w:p>
        </w:tc>
        <w:tc>
          <w:tcPr>
            <w:tcW w:w="2124"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92" w:type="dxa"/>
            <w:noWrap w:val="0"/>
            <w:vAlign w:val="top"/>
          </w:tcPr>
          <w:p>
            <w:pPr>
              <w:spacing w:before="85" w:line="220" w:lineRule="auto"/>
              <w:ind w:left="9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公用经费</w:t>
            </w:r>
          </w:p>
        </w:tc>
        <w:tc>
          <w:tcPr>
            <w:tcW w:w="2124"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192.78</w:t>
            </w:r>
          </w:p>
        </w:tc>
        <w:tc>
          <w:tcPr>
            <w:tcW w:w="2232"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34.2</w:t>
            </w:r>
          </w:p>
        </w:tc>
        <w:tc>
          <w:tcPr>
            <w:tcW w:w="2208"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pPr>
              <w:spacing w:before="85"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其中：办公经费</w:t>
            </w:r>
          </w:p>
        </w:tc>
        <w:tc>
          <w:tcPr>
            <w:tcW w:w="2124"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2232"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4.5</w:t>
            </w:r>
          </w:p>
        </w:tc>
        <w:tc>
          <w:tcPr>
            <w:tcW w:w="2208"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pPr>
              <w:spacing w:before="135" w:line="198" w:lineRule="auto"/>
              <w:ind w:left="1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水费、电费、差旅费</w:t>
            </w:r>
          </w:p>
        </w:tc>
        <w:tc>
          <w:tcPr>
            <w:tcW w:w="2124"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1.79</w:t>
            </w:r>
          </w:p>
        </w:tc>
        <w:tc>
          <w:tcPr>
            <w:tcW w:w="2232"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w:t>
            </w:r>
          </w:p>
        </w:tc>
        <w:tc>
          <w:tcPr>
            <w:tcW w:w="2208"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pPr>
              <w:spacing w:before="144" w:line="198" w:lineRule="auto"/>
              <w:ind w:left="112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会议费、培训费</w:t>
            </w:r>
          </w:p>
        </w:tc>
        <w:tc>
          <w:tcPr>
            <w:tcW w:w="2124"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c>
          <w:tcPr>
            <w:tcW w:w="2232"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0.5</w:t>
            </w:r>
          </w:p>
        </w:tc>
        <w:tc>
          <w:tcPr>
            <w:tcW w:w="2208"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pPr>
              <w:spacing w:before="145" w:line="189" w:lineRule="auto"/>
              <w:ind w:left="10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政府采购金额</w:t>
            </w:r>
          </w:p>
        </w:tc>
        <w:tc>
          <w:tcPr>
            <w:tcW w:w="2124"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66.15</w:t>
            </w:r>
          </w:p>
        </w:tc>
        <w:tc>
          <w:tcPr>
            <w:tcW w:w="2232"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57.18</w:t>
            </w:r>
          </w:p>
        </w:tc>
        <w:tc>
          <w:tcPr>
            <w:tcW w:w="2208"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pPr>
              <w:spacing w:before="145" w:line="198"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部门基本支出预算调整</w:t>
            </w:r>
          </w:p>
        </w:tc>
        <w:tc>
          <w:tcPr>
            <w:tcW w:w="2124" w:type="dxa"/>
            <w:gridSpan w:val="2"/>
            <w:noWrap w:val="0"/>
            <w:vAlign w:val="top"/>
          </w:tcPr>
          <w:p>
            <w:pPr>
              <w:jc w:val="center"/>
              <w:rPr>
                <w:rFonts w:hint="eastAsia" w:ascii="宋体" w:hAnsi="宋体" w:eastAsia="宋体" w:cs="宋体"/>
                <w:color w:val="auto"/>
                <w:sz w:val="22"/>
                <w:szCs w:val="22"/>
                <w:highlight w:val="none"/>
              </w:rPr>
            </w:pPr>
          </w:p>
        </w:tc>
        <w:tc>
          <w:tcPr>
            <w:tcW w:w="2232" w:type="dxa"/>
            <w:gridSpan w:val="2"/>
            <w:noWrap w:val="0"/>
            <w:vAlign w:val="top"/>
          </w:tcPr>
          <w:p>
            <w:pPr>
              <w:jc w:val="center"/>
              <w:rPr>
                <w:rFonts w:hint="eastAsia" w:ascii="宋体" w:hAnsi="宋体" w:eastAsia="宋体" w:cs="宋体"/>
                <w:color w:val="auto"/>
                <w:sz w:val="22"/>
                <w:szCs w:val="22"/>
                <w:highlight w:val="none"/>
              </w:rPr>
            </w:pPr>
          </w:p>
        </w:tc>
        <w:tc>
          <w:tcPr>
            <w:tcW w:w="2208" w:type="dxa"/>
            <w:gridSpan w:val="2"/>
            <w:noWrap w:val="0"/>
            <w:vAlign w:val="top"/>
          </w:tcPr>
          <w:p>
            <w:pPr>
              <w:jc w:val="center"/>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pPr>
              <w:spacing w:before="65" w:line="39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pacing w:val="-1"/>
                <w:position w:val="14"/>
                <w:sz w:val="22"/>
                <w:szCs w:val="22"/>
                <w:highlight w:val="none"/>
              </w:rPr>
              <w:t>楼堂馆所控制情况</w:t>
            </w:r>
          </w:p>
          <w:p>
            <w:pPr>
              <w:spacing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(202</w:t>
            </w:r>
            <w:r>
              <w:rPr>
                <w:rFonts w:hint="eastAsia" w:ascii="宋体" w:hAnsi="宋体" w:eastAsia="宋体" w:cs="宋体"/>
                <w:color w:val="auto"/>
                <w:spacing w:val="3"/>
                <w:sz w:val="22"/>
                <w:szCs w:val="22"/>
                <w:highlight w:val="none"/>
                <w:lang w:val="en-US" w:eastAsia="zh-CN"/>
              </w:rPr>
              <w:t>4</w:t>
            </w:r>
            <w:r>
              <w:rPr>
                <w:rFonts w:hint="eastAsia" w:ascii="宋体" w:hAnsi="宋体" w:eastAsia="宋体" w:cs="宋体"/>
                <w:color w:val="auto"/>
                <w:spacing w:val="3"/>
                <w:sz w:val="22"/>
                <w:szCs w:val="22"/>
                <w:highlight w:val="none"/>
              </w:rPr>
              <w:t>年完工项目)</w:t>
            </w: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(m²)</w:t>
            </w:r>
          </w:p>
        </w:tc>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模(m²)</w:t>
            </w:r>
          </w:p>
        </w:tc>
        <w:tc>
          <w:tcPr>
            <w:tcW w:w="11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规模控制率</w:t>
            </w: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0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投资概算控制率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pPr>
              <w:jc w:val="left"/>
              <w:rPr>
                <w:rFonts w:hint="eastAsia" w:ascii="宋体" w:hAnsi="宋体" w:eastAsia="宋体" w:cs="宋体"/>
                <w:color w:val="auto"/>
                <w:sz w:val="22"/>
                <w:szCs w:val="22"/>
                <w:highlight w:val="none"/>
              </w:rPr>
            </w:pPr>
          </w:p>
        </w:tc>
        <w:tc>
          <w:tcPr>
            <w:tcW w:w="1176" w:type="dxa"/>
            <w:noWrap w:val="0"/>
            <w:vAlign w:val="top"/>
          </w:tcPr>
          <w:p>
            <w:pPr>
              <w:rPr>
                <w:rFonts w:hint="eastAsia" w:ascii="宋体" w:hAnsi="宋体" w:eastAsia="宋体" w:cs="宋体"/>
                <w:color w:val="auto"/>
                <w:sz w:val="22"/>
                <w:szCs w:val="22"/>
                <w:highlight w:val="none"/>
              </w:rPr>
            </w:pPr>
          </w:p>
        </w:tc>
        <w:tc>
          <w:tcPr>
            <w:tcW w:w="948" w:type="dxa"/>
            <w:noWrap w:val="0"/>
            <w:vAlign w:val="top"/>
          </w:tcPr>
          <w:p>
            <w:pPr>
              <w:rPr>
                <w:rFonts w:hint="eastAsia" w:ascii="宋体" w:hAnsi="宋体" w:eastAsia="宋体" w:cs="宋体"/>
                <w:color w:val="auto"/>
                <w:sz w:val="22"/>
                <w:szCs w:val="22"/>
                <w:highlight w:val="none"/>
              </w:rPr>
            </w:pPr>
          </w:p>
        </w:tc>
        <w:tc>
          <w:tcPr>
            <w:tcW w:w="1176" w:type="dxa"/>
            <w:noWrap w:val="0"/>
            <w:vAlign w:val="top"/>
          </w:tcPr>
          <w:p>
            <w:pPr>
              <w:rPr>
                <w:rFonts w:hint="eastAsia" w:ascii="宋体" w:hAnsi="宋体" w:eastAsia="宋体" w:cs="宋体"/>
                <w:color w:val="auto"/>
                <w:sz w:val="22"/>
                <w:szCs w:val="22"/>
                <w:highlight w:val="none"/>
              </w:rPr>
            </w:pPr>
          </w:p>
        </w:tc>
        <w:tc>
          <w:tcPr>
            <w:tcW w:w="1056" w:type="dxa"/>
            <w:noWrap w:val="0"/>
            <w:vAlign w:val="top"/>
          </w:tcPr>
          <w:p>
            <w:pPr>
              <w:rPr>
                <w:rFonts w:hint="eastAsia" w:ascii="宋体" w:hAnsi="宋体" w:eastAsia="宋体" w:cs="宋体"/>
                <w:color w:val="auto"/>
                <w:sz w:val="22"/>
                <w:szCs w:val="22"/>
                <w:highlight w:val="none"/>
              </w:rPr>
            </w:pPr>
          </w:p>
        </w:tc>
        <w:tc>
          <w:tcPr>
            <w:tcW w:w="1056" w:type="dxa"/>
            <w:noWrap w:val="0"/>
            <w:vAlign w:val="top"/>
          </w:tcPr>
          <w:p>
            <w:pPr>
              <w:rPr>
                <w:rFonts w:hint="eastAsia" w:ascii="宋体" w:hAnsi="宋体" w:eastAsia="宋体" w:cs="宋体"/>
                <w:color w:val="auto"/>
                <w:sz w:val="22"/>
                <w:szCs w:val="22"/>
                <w:highlight w:val="none"/>
              </w:rPr>
            </w:pPr>
          </w:p>
        </w:tc>
        <w:tc>
          <w:tcPr>
            <w:tcW w:w="1152" w:type="dxa"/>
            <w:noWrap w:val="0"/>
            <w:vAlign w:val="top"/>
          </w:tcPr>
          <w:p>
            <w:pPr>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厉行节约保障措施</w:t>
            </w:r>
          </w:p>
        </w:tc>
        <w:tc>
          <w:tcPr>
            <w:tcW w:w="6564"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auto"/>
          <w:spacing w:val="0"/>
          <w:position w:val="0"/>
          <w:sz w:val="23"/>
          <w:szCs w:val="23"/>
          <w:highlight w:val="none"/>
          <w:lang w:val="en-US" w:eastAsia="zh-CN"/>
        </w:rPr>
      </w:pPr>
      <w:r>
        <w:rPr>
          <w:rFonts w:hint="eastAsia" w:ascii="宋体" w:hAnsi="宋体" w:eastAsia="宋体" w:cs="宋体"/>
          <w:color w:val="auto"/>
          <w:spacing w:val="0"/>
          <w:position w:val="0"/>
          <w:sz w:val="22"/>
          <w:szCs w:val="22"/>
          <w:highlight w:val="none"/>
        </w:rPr>
        <w:t>填表人</w:t>
      </w:r>
      <w:r>
        <w:rPr>
          <w:rFonts w:hint="eastAsia" w:ascii="宋体" w:hAnsi="宋体" w:eastAsia="宋体" w:cs="宋体"/>
          <w:color w:val="auto"/>
          <w:spacing w:val="0"/>
          <w:position w:val="0"/>
          <w:sz w:val="22"/>
          <w:szCs w:val="22"/>
          <w:highlight w:val="none"/>
          <w:lang w:eastAsia="zh-CN"/>
        </w:rPr>
        <w:t>：易帆</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联系电话： </w:t>
      </w:r>
      <w:r>
        <w:rPr>
          <w:rFonts w:hint="eastAsia" w:ascii="宋体" w:hAnsi="宋体" w:eastAsia="宋体" w:cs="宋体"/>
          <w:color w:val="auto"/>
          <w:spacing w:val="0"/>
          <w:position w:val="0"/>
          <w:sz w:val="23"/>
          <w:szCs w:val="23"/>
          <w:highlight w:val="none"/>
          <w:lang w:val="en-US" w:eastAsia="zh-CN"/>
        </w:rPr>
        <w:t>13975051506</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填报日期：</w:t>
      </w:r>
      <w:r>
        <w:rPr>
          <w:rFonts w:hint="eastAsia" w:ascii="宋体" w:hAnsi="宋体" w:eastAsia="宋体" w:cs="宋体"/>
          <w:color w:val="auto"/>
          <w:spacing w:val="0"/>
          <w:position w:val="0"/>
          <w:sz w:val="23"/>
          <w:szCs w:val="23"/>
          <w:highlight w:val="none"/>
          <w:lang w:val="en-US" w:eastAsia="zh-CN"/>
        </w:rPr>
        <w:t>2025.7.</w:t>
      </w:r>
      <w:r>
        <w:rPr>
          <w:rFonts w:hint="eastAsia" w:ascii="宋体" w:hAnsi="宋体" w:cs="宋体"/>
          <w:color w:val="auto"/>
          <w:spacing w:val="0"/>
          <w:position w:val="0"/>
          <w:sz w:val="23"/>
          <w:szCs w:val="23"/>
          <w:highlight w:val="none"/>
          <w:lang w:val="en-US" w:eastAsia="zh-CN"/>
        </w:rPr>
        <w:t>9</w:t>
      </w:r>
    </w:p>
    <w:p>
      <w:pPr>
        <w:spacing w:before="64" w:line="230" w:lineRule="auto"/>
        <w:rPr>
          <w:rFonts w:ascii="黑体" w:hAnsi="黑体" w:eastAsia="黑体" w:cs="黑体"/>
          <w:color w:val="auto"/>
          <w:spacing w:val="-4"/>
          <w:sz w:val="31"/>
          <w:szCs w:val="31"/>
          <w:highlight w:val="none"/>
        </w:rPr>
      </w:pPr>
    </w:p>
    <w:p>
      <w:pPr>
        <w:rPr>
          <w:rFonts w:hint="eastAsia" w:ascii="宋体" w:hAnsi="宋体" w:eastAsia="宋体" w:cs="宋体"/>
          <w:color w:val="auto"/>
          <w:spacing w:val="8"/>
          <w:sz w:val="28"/>
          <w:szCs w:val="28"/>
          <w:highlight w:val="none"/>
          <w:lang w:val="en-US" w:eastAsia="zh-CN"/>
        </w:rPr>
      </w:pPr>
    </w:p>
    <w:p>
      <w:pPr>
        <w:spacing w:before="64" w:line="230" w:lineRule="auto"/>
        <w:rPr>
          <w:rFonts w:hint="eastAsia" w:ascii="Times New Roman" w:hAnsi="Times New Roman" w:eastAsia="黑体" w:cs="Times New Roman"/>
          <w:color w:val="auto"/>
          <w:sz w:val="31"/>
          <w:szCs w:val="31"/>
          <w:highlight w:val="none"/>
          <w:lang w:val="en-US" w:eastAsia="zh-CN"/>
        </w:rPr>
      </w:pPr>
      <w:r>
        <w:rPr>
          <w:rFonts w:ascii="黑体" w:hAnsi="黑体" w:eastAsia="黑体" w:cs="黑体"/>
          <w:color w:val="auto"/>
          <w:spacing w:val="-4"/>
          <w:sz w:val="31"/>
          <w:szCs w:val="31"/>
          <w:highlight w:val="none"/>
        </w:rPr>
        <w:t>附件</w:t>
      </w:r>
      <w:r>
        <w:rPr>
          <w:rFonts w:ascii="黑体" w:hAnsi="黑体" w:eastAsia="黑体" w:cs="黑体"/>
          <w:color w:val="auto"/>
          <w:spacing w:val="-60"/>
          <w:sz w:val="31"/>
          <w:szCs w:val="31"/>
          <w:highlight w:val="none"/>
        </w:rPr>
        <w:t xml:space="preserve"> </w:t>
      </w:r>
      <w:r>
        <w:rPr>
          <w:rFonts w:hint="eastAsia" w:ascii="Times New Roman" w:hAnsi="Times New Roman" w:eastAsia="宋体" w:cs="Times New Roman"/>
          <w:color w:val="auto"/>
          <w:spacing w:val="-4"/>
          <w:sz w:val="31"/>
          <w:szCs w:val="31"/>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highlight w:val="none"/>
          <w:lang w:eastAsia="zh-CN"/>
        </w:rPr>
      </w:pPr>
      <w:r>
        <w:rPr>
          <w:rFonts w:hint="eastAsia" w:ascii="方正小标宋简体" w:hAnsi="方正小标宋简体" w:eastAsia="方正小标宋简体" w:cs="方正小标宋简体"/>
          <w:b w:val="0"/>
          <w:bCs w:val="0"/>
          <w:color w:val="auto"/>
          <w:spacing w:val="2"/>
          <w:sz w:val="36"/>
          <w:szCs w:val="36"/>
          <w:highlight w:val="none"/>
          <w:lang w:eastAsia="zh-CN"/>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lang w:eastAsia="zh-CN"/>
        </w:rPr>
        <w:t>年度预算单位整体支出绩效自评表</w:t>
      </w:r>
    </w:p>
    <w:p>
      <w:pPr>
        <w:spacing w:line="132" w:lineRule="exact"/>
        <w:rPr>
          <w:color w:val="auto"/>
          <w:highlight w:val="none"/>
        </w:rPr>
      </w:pPr>
    </w:p>
    <w:tbl>
      <w:tblPr>
        <w:tblStyle w:val="10"/>
        <w:tblW w:w="100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24"/>
        <w:gridCol w:w="1563"/>
        <w:gridCol w:w="1280"/>
        <w:gridCol w:w="1297"/>
        <w:gridCol w:w="576"/>
        <w:gridCol w:w="960"/>
        <w:gridCol w:w="1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3132" w:type="dxa"/>
            <w:gridSpan w:val="3"/>
            <w:noWrap w:val="0"/>
            <w:vAlign w:val="top"/>
          </w:tcPr>
          <w:p>
            <w:pPr>
              <w:spacing w:before="24" w:line="208" w:lineRule="auto"/>
              <w:ind w:left="120" w:firstLine="392" w:firstLineChars="200"/>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预算单位名称</w:t>
            </w:r>
          </w:p>
        </w:tc>
        <w:tc>
          <w:tcPr>
            <w:tcW w:w="6912" w:type="dxa"/>
            <w:gridSpan w:val="6"/>
            <w:noWrap w:val="0"/>
            <w:vAlign w:val="center"/>
          </w:tcPr>
          <w:p>
            <w:pPr>
              <w:pStyle w:val="11"/>
              <w:spacing w:line="239"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pacing w:val="-2"/>
                <w:sz w:val="22"/>
                <w:szCs w:val="22"/>
                <w:highlight w:val="none"/>
                <w:lang w:val="en-US" w:eastAsia="zh-CN"/>
              </w:rPr>
              <w:t>岳阳市岳阳楼区人民政府金融工作办公室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104" w:type="dxa"/>
            <w:vMerge w:val="restart"/>
            <w:tcBorders>
              <w:bottom w:val="nil"/>
            </w:tcBorders>
            <w:noWrap w:val="0"/>
            <w:vAlign w:val="top"/>
          </w:tcPr>
          <w:p>
            <w:pPr>
              <w:pStyle w:val="11"/>
              <w:spacing w:line="467" w:lineRule="auto"/>
              <w:rPr>
                <w:rFonts w:hint="eastAsia" w:ascii="宋体" w:hAnsi="宋体" w:eastAsia="宋体" w:cs="宋体"/>
                <w:color w:val="auto"/>
                <w:spacing w:val="2"/>
                <w:kern w:val="2"/>
                <w:sz w:val="18"/>
                <w:szCs w:val="18"/>
                <w:highlight w:val="none"/>
                <w:lang w:val="en-US" w:eastAsia="zh-CN" w:bidi="ar-SA"/>
              </w:rPr>
            </w:pPr>
          </w:p>
          <w:p>
            <w:pPr>
              <w:spacing w:line="280" w:lineRule="exact"/>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年度预</w:t>
            </w:r>
          </w:p>
          <w:p>
            <w:pPr>
              <w:spacing w:line="219" w:lineRule="auto"/>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算申请</w:t>
            </w:r>
          </w:p>
          <w:p>
            <w:pPr>
              <w:spacing w:before="62" w:line="232" w:lineRule="auto"/>
              <w:ind w:left="144" w:right="144" w:firstLine="104"/>
              <w:jc w:val="both"/>
              <w:rPr>
                <w:rFonts w:hint="eastAsia" w:ascii="宋体" w:hAnsi="宋体" w:eastAsia="宋体" w:cs="宋体"/>
                <w:color w:val="auto"/>
                <w:sz w:val="18"/>
                <w:szCs w:val="18"/>
                <w:highlight w:val="none"/>
              </w:rPr>
            </w:pPr>
            <w:r>
              <w:rPr>
                <w:rFonts w:hint="eastAsia" w:ascii="宋体" w:hAnsi="宋体" w:eastAsia="宋体" w:cs="宋体"/>
                <w:color w:val="auto"/>
                <w:spacing w:val="2"/>
                <w:kern w:val="2"/>
                <w:sz w:val="18"/>
                <w:szCs w:val="18"/>
                <w:highlight w:val="none"/>
                <w:lang w:val="en-US" w:eastAsia="zh-CN" w:bidi="ar-SA"/>
              </w:rPr>
              <w:t>(万元)</w:t>
            </w:r>
          </w:p>
        </w:tc>
        <w:tc>
          <w:tcPr>
            <w:tcW w:w="2028" w:type="dxa"/>
            <w:gridSpan w:val="2"/>
            <w:noWrap w:val="0"/>
            <w:vAlign w:val="top"/>
          </w:tcPr>
          <w:p>
            <w:pPr>
              <w:pStyle w:val="11"/>
              <w:spacing w:line="235" w:lineRule="exact"/>
              <w:rPr>
                <w:rFonts w:hint="eastAsia" w:ascii="宋体" w:hAnsi="宋体" w:eastAsia="宋体" w:cs="宋体"/>
                <w:color w:val="auto"/>
                <w:sz w:val="18"/>
                <w:szCs w:val="18"/>
                <w:highlight w:val="none"/>
              </w:rPr>
            </w:pPr>
          </w:p>
        </w:tc>
        <w:tc>
          <w:tcPr>
            <w:tcW w:w="1563" w:type="dxa"/>
            <w:noWrap w:val="0"/>
            <w:vAlign w:val="top"/>
          </w:tcPr>
          <w:p>
            <w:pPr>
              <w:spacing w:before="20" w:line="208" w:lineRule="auto"/>
              <w:ind w:left="140"/>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年初预算数</w:t>
            </w:r>
          </w:p>
        </w:tc>
        <w:tc>
          <w:tcPr>
            <w:tcW w:w="1280" w:type="dxa"/>
            <w:noWrap w:val="0"/>
            <w:vAlign w:val="top"/>
          </w:tcPr>
          <w:p>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全年预算数</w:t>
            </w:r>
          </w:p>
        </w:tc>
        <w:tc>
          <w:tcPr>
            <w:tcW w:w="1297" w:type="dxa"/>
            <w:noWrap w:val="0"/>
            <w:vAlign w:val="top"/>
          </w:tcPr>
          <w:p>
            <w:pPr>
              <w:spacing w:before="20" w:line="208" w:lineRule="auto"/>
              <w:ind w:left="13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全年执行数</w:t>
            </w:r>
          </w:p>
        </w:tc>
        <w:tc>
          <w:tcPr>
            <w:tcW w:w="576" w:type="dxa"/>
            <w:noWrap w:val="0"/>
            <w:vAlign w:val="top"/>
          </w:tcPr>
          <w:p>
            <w:pPr>
              <w:spacing w:before="20" w:line="208" w:lineRule="auto"/>
              <w:ind w:left="16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noWrap w:val="0"/>
            <w:vAlign w:val="top"/>
          </w:tcPr>
          <w:p>
            <w:pPr>
              <w:spacing w:before="20" w:line="208" w:lineRule="auto"/>
              <w:ind w:left="147"/>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执行率</w:t>
            </w:r>
          </w:p>
        </w:tc>
        <w:tc>
          <w:tcPr>
            <w:tcW w:w="1236" w:type="dxa"/>
            <w:noWrap w:val="0"/>
            <w:vAlign w:val="top"/>
          </w:tcPr>
          <w:p>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104" w:type="dxa"/>
            <w:vMerge w:val="continue"/>
            <w:tcBorders>
              <w:top w:val="nil"/>
              <w:bottom w:val="nil"/>
            </w:tcBorders>
            <w:noWrap w:val="0"/>
            <w:vAlign w:val="top"/>
          </w:tcPr>
          <w:p>
            <w:pPr>
              <w:pStyle w:val="11"/>
              <w:rPr>
                <w:rFonts w:hint="eastAsia" w:ascii="宋体" w:hAnsi="宋体" w:eastAsia="宋体" w:cs="宋体"/>
                <w:color w:val="auto"/>
                <w:sz w:val="18"/>
                <w:szCs w:val="18"/>
                <w:highlight w:val="none"/>
              </w:rPr>
            </w:pPr>
          </w:p>
        </w:tc>
        <w:tc>
          <w:tcPr>
            <w:tcW w:w="2028" w:type="dxa"/>
            <w:gridSpan w:val="2"/>
            <w:noWrap w:val="0"/>
            <w:vAlign w:val="top"/>
          </w:tcPr>
          <w:p>
            <w:pPr>
              <w:spacing w:before="20" w:line="208" w:lineRule="auto"/>
              <w:ind w:left="46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年度资金总额</w:t>
            </w:r>
          </w:p>
        </w:tc>
        <w:tc>
          <w:tcPr>
            <w:tcW w:w="1563" w:type="dxa"/>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388.88</w:t>
            </w:r>
          </w:p>
        </w:tc>
        <w:tc>
          <w:tcPr>
            <w:tcW w:w="1280" w:type="dxa"/>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434.14</w:t>
            </w:r>
          </w:p>
        </w:tc>
        <w:tc>
          <w:tcPr>
            <w:tcW w:w="1297" w:type="dxa"/>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434.14</w:t>
            </w:r>
          </w:p>
        </w:tc>
        <w:tc>
          <w:tcPr>
            <w:tcW w:w="576" w:type="dxa"/>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10</w:t>
            </w:r>
          </w:p>
        </w:tc>
        <w:tc>
          <w:tcPr>
            <w:tcW w:w="960" w:type="dxa"/>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100.00%</w:t>
            </w:r>
          </w:p>
        </w:tc>
        <w:tc>
          <w:tcPr>
            <w:tcW w:w="1236" w:type="dxa"/>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104" w:type="dxa"/>
            <w:vMerge w:val="continue"/>
            <w:tcBorders>
              <w:top w:val="nil"/>
              <w:bottom w:val="nil"/>
            </w:tcBorders>
            <w:noWrap w:val="0"/>
            <w:vAlign w:val="top"/>
          </w:tcPr>
          <w:p>
            <w:pPr>
              <w:pStyle w:val="11"/>
              <w:rPr>
                <w:rFonts w:hint="eastAsia" w:ascii="宋体" w:hAnsi="宋体" w:eastAsia="宋体" w:cs="宋体"/>
                <w:color w:val="auto"/>
                <w:sz w:val="18"/>
                <w:szCs w:val="18"/>
                <w:highlight w:val="none"/>
              </w:rPr>
            </w:pPr>
          </w:p>
        </w:tc>
        <w:tc>
          <w:tcPr>
            <w:tcW w:w="4871" w:type="dxa"/>
            <w:gridSpan w:val="4"/>
            <w:noWrap w:val="0"/>
            <w:vAlign w:val="center"/>
          </w:tcPr>
          <w:p>
            <w:pPr>
              <w:spacing w:line="193" w:lineRule="auto"/>
              <w:ind w:firstLine="180" w:firstLineChars="100"/>
              <w:jc w:val="left"/>
              <w:rPr>
                <w:rFonts w:hint="eastAsia" w:ascii="宋体" w:hAnsi="宋体" w:cs="宋体" w:eastAsiaTheme="minorEastAsia"/>
                <w:color w:val="auto"/>
                <w:spacing w:val="8"/>
                <w:sz w:val="18"/>
                <w:szCs w:val="18"/>
                <w:highlight w:val="none"/>
                <w:lang w:eastAsia="zh-CN"/>
              </w:rPr>
            </w:pPr>
            <w:r>
              <w:rPr>
                <w:rFonts w:hint="eastAsia" w:asciiTheme="minorEastAsia" w:hAnsiTheme="minorEastAsia" w:cstheme="minorEastAsia"/>
                <w:color w:val="auto"/>
                <w:sz w:val="18"/>
                <w:szCs w:val="18"/>
                <w:highlight w:val="none"/>
              </w:rPr>
              <w:t>按收入性质分</w:t>
            </w:r>
            <w:r>
              <w:rPr>
                <w:rFonts w:hint="eastAsia" w:asciiTheme="minorEastAsia" w:hAnsiTheme="minorEastAsia" w:cstheme="minorEastAsia"/>
                <w:color w:val="auto"/>
                <w:sz w:val="18"/>
                <w:szCs w:val="18"/>
                <w:highlight w:val="none"/>
                <w:lang w:eastAsia="zh-CN"/>
              </w:rPr>
              <w:t>：</w:t>
            </w:r>
          </w:p>
        </w:tc>
        <w:tc>
          <w:tcPr>
            <w:tcW w:w="4069" w:type="dxa"/>
            <w:gridSpan w:val="4"/>
            <w:noWrap w:val="0"/>
            <w:vAlign w:val="center"/>
          </w:tcPr>
          <w:p>
            <w:pPr>
              <w:spacing w:line="193" w:lineRule="auto"/>
              <w:ind w:firstLine="180" w:firstLineChars="100"/>
              <w:jc w:val="left"/>
              <w:rPr>
                <w:rFonts w:hint="eastAsia" w:ascii="宋体" w:hAnsi="宋体" w:eastAsia="宋体" w:cs="宋体"/>
                <w:color w:val="auto"/>
                <w:spacing w:val="8"/>
                <w:sz w:val="18"/>
                <w:szCs w:val="18"/>
                <w:highlight w:val="none"/>
              </w:rPr>
            </w:pPr>
            <w:r>
              <w:rPr>
                <w:rFonts w:hint="eastAsia" w:asciiTheme="minorEastAsia" w:hAnsiTheme="minorEastAsia" w:cstheme="minorEastAsia"/>
                <w:color w:val="auto"/>
                <w:sz w:val="18"/>
                <w:szCs w:val="18"/>
                <w:highlight w:val="none"/>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1104" w:type="dxa"/>
            <w:vMerge w:val="continue"/>
            <w:tcBorders>
              <w:top w:val="nil"/>
              <w:bottom w:val="nil"/>
            </w:tcBorders>
            <w:noWrap w:val="0"/>
            <w:vAlign w:val="top"/>
          </w:tcPr>
          <w:p>
            <w:pPr>
              <w:pStyle w:val="11"/>
              <w:rPr>
                <w:rFonts w:hint="eastAsia" w:ascii="宋体" w:hAnsi="宋体" w:eastAsia="宋体" w:cs="宋体"/>
                <w:color w:val="auto"/>
                <w:sz w:val="18"/>
                <w:szCs w:val="18"/>
                <w:highlight w:val="none"/>
              </w:rPr>
            </w:pPr>
          </w:p>
        </w:tc>
        <w:tc>
          <w:tcPr>
            <w:tcW w:w="4871" w:type="dxa"/>
            <w:gridSpan w:val="4"/>
            <w:noWrap w:val="0"/>
            <w:vAlign w:val="top"/>
          </w:tcPr>
          <w:p>
            <w:pPr>
              <w:spacing w:before="21" w:line="207" w:lineRule="auto"/>
              <w:ind w:left="3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1"/>
                <w:sz w:val="19"/>
                <w:szCs w:val="19"/>
                <w:highlight w:val="none"/>
              </w:rPr>
              <w:t>其中：</w:t>
            </w:r>
            <w:r>
              <w:rPr>
                <w:rFonts w:hint="eastAsia" w:ascii="宋体" w:hAnsi="宋体" w:eastAsia="宋体" w:cs="宋体"/>
                <w:color w:val="auto"/>
                <w:spacing w:val="24"/>
                <w:sz w:val="19"/>
                <w:szCs w:val="19"/>
                <w:highlight w:val="none"/>
              </w:rPr>
              <w:t xml:space="preserve">  </w:t>
            </w:r>
            <w:r>
              <w:rPr>
                <w:rFonts w:hint="eastAsia" w:ascii="宋体" w:hAnsi="宋体" w:eastAsia="宋体" w:cs="宋体"/>
                <w:color w:val="auto"/>
                <w:spacing w:val="1"/>
                <w:sz w:val="19"/>
                <w:szCs w:val="19"/>
                <w:highlight w:val="none"/>
              </w:rPr>
              <w:t>一般公共预算：</w:t>
            </w:r>
            <w:r>
              <w:rPr>
                <w:rFonts w:hint="eastAsia" w:ascii="宋体" w:hAnsi="宋体" w:eastAsia="宋体" w:cs="宋体"/>
                <w:color w:val="auto"/>
                <w:spacing w:val="1"/>
                <w:sz w:val="19"/>
                <w:szCs w:val="19"/>
                <w:highlight w:val="none"/>
                <w:lang w:val="en-US" w:eastAsia="zh-CN"/>
              </w:rPr>
              <w:t>433.99</w:t>
            </w:r>
          </w:p>
        </w:tc>
        <w:tc>
          <w:tcPr>
            <w:tcW w:w="4069" w:type="dxa"/>
            <w:gridSpan w:val="4"/>
            <w:noWrap w:val="0"/>
            <w:vAlign w:val="top"/>
          </w:tcPr>
          <w:p>
            <w:pPr>
              <w:spacing w:before="21" w:line="207"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其中：基本支出：</w:t>
            </w:r>
            <w:r>
              <w:rPr>
                <w:rFonts w:hint="eastAsia" w:ascii="宋体" w:hAnsi="宋体" w:eastAsia="宋体" w:cs="宋体"/>
                <w:color w:val="auto"/>
                <w:spacing w:val="2"/>
                <w:sz w:val="19"/>
                <w:szCs w:val="19"/>
                <w:highlight w:val="none"/>
                <w:lang w:val="en-US" w:eastAsia="zh-CN"/>
              </w:rPr>
              <w:t>235.63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104" w:type="dxa"/>
            <w:vMerge w:val="continue"/>
            <w:tcBorders>
              <w:top w:val="nil"/>
              <w:bottom w:val="nil"/>
            </w:tcBorders>
            <w:noWrap w:val="0"/>
            <w:vAlign w:val="top"/>
          </w:tcPr>
          <w:p>
            <w:pPr>
              <w:pStyle w:val="11"/>
              <w:rPr>
                <w:rFonts w:hint="eastAsia" w:ascii="宋体" w:hAnsi="宋体" w:eastAsia="宋体" w:cs="宋体"/>
                <w:color w:val="auto"/>
                <w:sz w:val="18"/>
                <w:szCs w:val="18"/>
                <w:highlight w:val="none"/>
              </w:rPr>
            </w:pPr>
          </w:p>
        </w:tc>
        <w:tc>
          <w:tcPr>
            <w:tcW w:w="4871" w:type="dxa"/>
            <w:gridSpan w:val="4"/>
            <w:noWrap w:val="0"/>
            <w:vAlign w:val="top"/>
          </w:tcPr>
          <w:p>
            <w:pPr>
              <w:spacing w:before="21" w:line="207" w:lineRule="auto"/>
              <w:ind w:left="916"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政府性基金拨款：</w:t>
            </w:r>
            <w:r>
              <w:rPr>
                <w:rFonts w:hint="eastAsia" w:ascii="宋体" w:hAnsi="宋体" w:eastAsia="宋体" w:cs="宋体"/>
                <w:color w:val="auto"/>
                <w:spacing w:val="2"/>
                <w:sz w:val="19"/>
                <w:szCs w:val="19"/>
                <w:highlight w:val="none"/>
                <w:lang w:val="en-US" w:eastAsia="zh-CN"/>
              </w:rPr>
              <w:t>0.00</w:t>
            </w:r>
          </w:p>
        </w:tc>
        <w:tc>
          <w:tcPr>
            <w:tcW w:w="4069" w:type="dxa"/>
            <w:gridSpan w:val="4"/>
            <w:noWrap w:val="0"/>
            <w:vAlign w:val="top"/>
          </w:tcPr>
          <w:p>
            <w:pPr>
              <w:spacing w:before="21" w:line="207" w:lineRule="auto"/>
              <w:ind w:left="717"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3"/>
                <w:sz w:val="19"/>
                <w:szCs w:val="19"/>
                <w:highlight w:val="none"/>
              </w:rPr>
              <w:t>项目支出：198.50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104" w:type="dxa"/>
            <w:vMerge w:val="continue"/>
            <w:tcBorders>
              <w:top w:val="nil"/>
              <w:bottom w:val="nil"/>
            </w:tcBorders>
            <w:noWrap w:val="0"/>
            <w:vAlign w:val="top"/>
          </w:tcPr>
          <w:p>
            <w:pPr>
              <w:pStyle w:val="11"/>
              <w:rPr>
                <w:rFonts w:hint="eastAsia" w:ascii="宋体" w:hAnsi="宋体" w:eastAsia="宋体" w:cs="宋体"/>
                <w:color w:val="auto"/>
                <w:sz w:val="18"/>
                <w:szCs w:val="18"/>
                <w:highlight w:val="none"/>
              </w:rPr>
            </w:pPr>
          </w:p>
        </w:tc>
        <w:tc>
          <w:tcPr>
            <w:tcW w:w="4871" w:type="dxa"/>
            <w:gridSpan w:val="4"/>
            <w:noWrap w:val="0"/>
            <w:vAlign w:val="top"/>
          </w:tcPr>
          <w:p>
            <w:pPr>
              <w:spacing w:before="20" w:line="208"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5"/>
                <w:sz w:val="19"/>
                <w:szCs w:val="19"/>
                <w:highlight w:val="none"/>
              </w:rPr>
              <w:t>纳入专户管理的非税收入拨款：</w:t>
            </w:r>
            <w:r>
              <w:rPr>
                <w:rFonts w:hint="eastAsia" w:ascii="宋体" w:hAnsi="宋体" w:eastAsia="宋体" w:cs="宋体"/>
                <w:color w:val="auto"/>
                <w:spacing w:val="5"/>
                <w:sz w:val="19"/>
                <w:szCs w:val="19"/>
                <w:highlight w:val="none"/>
                <w:lang w:val="en-US" w:eastAsia="zh-CN"/>
              </w:rPr>
              <w:t>0.00</w:t>
            </w:r>
          </w:p>
        </w:tc>
        <w:tc>
          <w:tcPr>
            <w:tcW w:w="4069" w:type="dxa"/>
            <w:gridSpan w:val="4"/>
            <w:noWrap w:val="0"/>
            <w:vAlign w:val="top"/>
          </w:tcPr>
          <w:p>
            <w:pPr>
              <w:pStyle w:val="11"/>
              <w:spacing w:line="235" w:lineRule="exact"/>
              <w:rPr>
                <w:rFonts w:hint="eastAsia" w:ascii="宋体" w:hAnsi="宋体" w:eastAsia="宋体" w:cs="宋体"/>
                <w:color w:val="auto"/>
                <w:spacing w:val="8"/>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104" w:type="dxa"/>
            <w:vMerge w:val="continue"/>
            <w:tcBorders>
              <w:top w:val="nil"/>
            </w:tcBorders>
            <w:noWrap w:val="0"/>
            <w:vAlign w:val="top"/>
          </w:tcPr>
          <w:p>
            <w:pPr>
              <w:pStyle w:val="11"/>
              <w:rPr>
                <w:rFonts w:hint="eastAsia" w:ascii="宋体" w:hAnsi="宋体" w:eastAsia="宋体" w:cs="宋体"/>
                <w:color w:val="auto"/>
                <w:sz w:val="18"/>
                <w:szCs w:val="18"/>
                <w:highlight w:val="none"/>
              </w:rPr>
            </w:pPr>
          </w:p>
        </w:tc>
        <w:tc>
          <w:tcPr>
            <w:tcW w:w="4871" w:type="dxa"/>
            <w:gridSpan w:val="4"/>
            <w:noWrap w:val="0"/>
            <w:vAlign w:val="top"/>
          </w:tcPr>
          <w:p>
            <w:pPr>
              <w:spacing w:before="20" w:line="208" w:lineRule="auto"/>
              <w:ind w:left="15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其他资金：</w:t>
            </w:r>
            <w:r>
              <w:rPr>
                <w:rFonts w:hint="eastAsia" w:ascii="宋体" w:hAnsi="宋体" w:eastAsia="宋体" w:cs="宋体"/>
                <w:color w:val="auto"/>
                <w:spacing w:val="-2"/>
                <w:sz w:val="19"/>
                <w:szCs w:val="19"/>
                <w:highlight w:val="none"/>
                <w:lang w:val="en-US" w:eastAsia="zh-CN"/>
              </w:rPr>
              <w:t>0.15</w:t>
            </w:r>
          </w:p>
        </w:tc>
        <w:tc>
          <w:tcPr>
            <w:tcW w:w="4069" w:type="dxa"/>
            <w:gridSpan w:val="4"/>
            <w:noWrap w:val="0"/>
            <w:vAlign w:val="top"/>
          </w:tcPr>
          <w:p>
            <w:pPr>
              <w:pStyle w:val="11"/>
              <w:spacing w:line="235" w:lineRule="exact"/>
              <w:rPr>
                <w:rFonts w:hint="eastAsia" w:ascii="宋体" w:hAnsi="宋体" w:eastAsia="宋体" w:cs="宋体"/>
                <w:color w:val="auto"/>
                <w:spacing w:val="8"/>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104" w:type="dxa"/>
            <w:vMerge w:val="restart"/>
            <w:tcBorders>
              <w:bottom w:val="nil"/>
            </w:tcBorders>
            <w:noWrap w:val="0"/>
            <w:vAlign w:val="top"/>
          </w:tcPr>
          <w:p>
            <w:pPr>
              <w:pStyle w:val="11"/>
              <w:spacing w:line="242" w:lineRule="auto"/>
              <w:rPr>
                <w:rFonts w:hint="eastAsia" w:ascii="宋体" w:hAnsi="宋体" w:eastAsia="宋体" w:cs="宋体"/>
                <w:color w:val="auto"/>
                <w:sz w:val="18"/>
                <w:szCs w:val="18"/>
                <w:highlight w:val="none"/>
              </w:rPr>
            </w:pPr>
          </w:p>
          <w:p>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pPr>
              <w:spacing w:before="62" w:line="230" w:lineRule="auto"/>
              <w:ind w:left="358" w:leftChars="85" w:right="139" w:hanging="180" w:hangingChars="100"/>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en-US" w:bidi="ar-SA"/>
              </w:rPr>
              <w:t>年度总体目标</w:t>
            </w:r>
          </w:p>
        </w:tc>
        <w:tc>
          <w:tcPr>
            <w:tcW w:w="4871" w:type="dxa"/>
            <w:gridSpan w:val="4"/>
            <w:noWrap w:val="0"/>
            <w:vAlign w:val="top"/>
          </w:tcPr>
          <w:p>
            <w:pPr>
              <w:spacing w:before="20" w:line="208" w:lineRule="auto"/>
              <w:ind w:left="195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预期目标</w:t>
            </w:r>
          </w:p>
        </w:tc>
        <w:tc>
          <w:tcPr>
            <w:tcW w:w="4069" w:type="dxa"/>
            <w:gridSpan w:val="4"/>
            <w:noWrap w:val="0"/>
            <w:vAlign w:val="top"/>
          </w:tcPr>
          <w:p>
            <w:pPr>
              <w:spacing w:before="20" w:line="208" w:lineRule="auto"/>
              <w:ind w:left="156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jc w:val="center"/>
        </w:trPr>
        <w:tc>
          <w:tcPr>
            <w:tcW w:w="1104" w:type="dxa"/>
            <w:vMerge w:val="continue"/>
            <w:tcBorders>
              <w:top w:val="nil"/>
            </w:tcBorders>
            <w:noWrap w:val="0"/>
            <w:vAlign w:val="top"/>
          </w:tcPr>
          <w:p>
            <w:pPr>
              <w:pStyle w:val="11"/>
              <w:rPr>
                <w:rFonts w:hint="eastAsia" w:ascii="宋体" w:hAnsi="宋体" w:eastAsia="宋体" w:cs="宋体"/>
                <w:color w:val="auto"/>
                <w:sz w:val="18"/>
                <w:szCs w:val="18"/>
                <w:highlight w:val="none"/>
              </w:rPr>
            </w:pPr>
          </w:p>
        </w:tc>
        <w:tc>
          <w:tcPr>
            <w:tcW w:w="4871" w:type="dxa"/>
            <w:gridSpan w:val="4"/>
            <w:noWrap w:val="0"/>
            <w:vAlign w:val="center"/>
          </w:tcPr>
          <w:p>
            <w:pPr>
              <w:jc w:val="left"/>
              <w:rPr>
                <w:rFonts w:hint="eastAsia" w:ascii="Arial"/>
                <w:color w:val="auto"/>
                <w:spacing w:val="0"/>
                <w:sz w:val="20"/>
                <w:highlight w:val="none"/>
                <w:lang w:val="en-US" w:eastAsia="zh-CN"/>
              </w:rPr>
            </w:pPr>
            <w:r>
              <w:rPr>
                <w:rFonts w:hint="eastAsia" w:ascii="Arial"/>
                <w:color w:val="auto"/>
                <w:spacing w:val="0"/>
                <w:sz w:val="20"/>
                <w:highlight w:val="none"/>
                <w:lang w:val="en-US" w:eastAsia="zh-CN"/>
              </w:rPr>
              <w:t>目标1：加强金融服务体系建设；</w:t>
            </w:r>
          </w:p>
          <w:p>
            <w:pPr>
              <w:jc w:val="left"/>
              <w:rPr>
                <w:rFonts w:hint="eastAsia" w:ascii="Arial"/>
                <w:color w:val="auto"/>
                <w:spacing w:val="0"/>
                <w:sz w:val="20"/>
                <w:highlight w:val="none"/>
                <w:lang w:val="en-US" w:eastAsia="zh-CN"/>
              </w:rPr>
            </w:pPr>
            <w:r>
              <w:rPr>
                <w:rFonts w:hint="eastAsia" w:ascii="Arial"/>
                <w:color w:val="auto"/>
                <w:spacing w:val="0"/>
                <w:sz w:val="20"/>
                <w:highlight w:val="none"/>
                <w:lang w:val="en-US" w:eastAsia="zh-CN"/>
              </w:rPr>
              <w:t>目标2：大力引进金融机构；</w:t>
            </w:r>
          </w:p>
          <w:p>
            <w:pPr>
              <w:jc w:val="left"/>
              <w:rPr>
                <w:rFonts w:hint="eastAsia" w:ascii="Arial"/>
                <w:color w:val="auto"/>
                <w:spacing w:val="0"/>
                <w:sz w:val="20"/>
                <w:highlight w:val="none"/>
                <w:lang w:val="en-US" w:eastAsia="zh-CN"/>
              </w:rPr>
            </w:pPr>
            <w:r>
              <w:rPr>
                <w:rFonts w:hint="eastAsia" w:ascii="Arial"/>
                <w:color w:val="auto"/>
                <w:spacing w:val="0"/>
                <w:sz w:val="20"/>
                <w:highlight w:val="none"/>
                <w:lang w:val="en-US" w:eastAsia="zh-CN"/>
              </w:rPr>
              <w:t>目标3：积极扩宽企业上市工作，努力为企业解困；</w:t>
            </w:r>
          </w:p>
          <w:p>
            <w:pPr>
              <w:jc w:val="left"/>
              <w:rPr>
                <w:rFonts w:hint="eastAsia" w:ascii="Arial"/>
                <w:color w:val="auto"/>
                <w:spacing w:val="0"/>
                <w:sz w:val="20"/>
                <w:highlight w:val="none"/>
                <w:lang w:val="en-US" w:eastAsia="zh-CN"/>
              </w:rPr>
            </w:pPr>
            <w:r>
              <w:rPr>
                <w:rFonts w:hint="eastAsia" w:ascii="Arial"/>
                <w:color w:val="auto"/>
                <w:spacing w:val="0"/>
                <w:sz w:val="20"/>
                <w:highlight w:val="none"/>
                <w:lang w:val="en-US" w:eastAsia="zh-CN"/>
              </w:rPr>
              <w:t>目标4：有效强化金融风险管控，金融生态环境持续优化；</w:t>
            </w:r>
          </w:p>
          <w:p>
            <w:pPr>
              <w:jc w:val="left"/>
              <w:rPr>
                <w:rFonts w:hint="default" w:ascii="宋体" w:hAnsi="宋体" w:eastAsia="宋体" w:cs="宋体"/>
                <w:color w:val="auto"/>
                <w:sz w:val="18"/>
                <w:szCs w:val="18"/>
                <w:highlight w:val="none"/>
                <w:lang w:val="en-US" w:eastAsia="zh-CN"/>
              </w:rPr>
            </w:pPr>
            <w:r>
              <w:rPr>
                <w:rFonts w:hint="eastAsia" w:ascii="Arial"/>
                <w:color w:val="auto"/>
                <w:spacing w:val="0"/>
                <w:sz w:val="20"/>
                <w:highlight w:val="none"/>
                <w:lang w:val="en-US" w:eastAsia="zh-CN"/>
              </w:rPr>
              <w:t>目标5：加大打击非法集资宣传活动，化解民间借贷纠纷，打击传销。</w:t>
            </w:r>
          </w:p>
        </w:tc>
        <w:tc>
          <w:tcPr>
            <w:tcW w:w="4069" w:type="dxa"/>
            <w:gridSpan w:val="4"/>
            <w:noWrap w:val="0"/>
            <w:vAlign w:val="center"/>
          </w:tcPr>
          <w:p>
            <w:pPr>
              <w:pStyle w:val="11"/>
              <w:numPr>
                <w:ilvl w:val="0"/>
                <w:numId w:val="5"/>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推进招商引企工作。</w:t>
            </w:r>
          </w:p>
          <w:p>
            <w:pPr>
              <w:pStyle w:val="11"/>
              <w:numPr>
                <w:ilvl w:val="0"/>
                <w:numId w:val="5"/>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推进“金芙蓉”跃升行动。</w:t>
            </w:r>
          </w:p>
          <w:p>
            <w:pPr>
              <w:pStyle w:val="11"/>
              <w:numPr>
                <w:ilvl w:val="0"/>
                <w:numId w:val="5"/>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完善融资担保体系。</w:t>
            </w:r>
          </w:p>
          <w:p>
            <w:pPr>
              <w:pStyle w:val="11"/>
              <w:numPr>
                <w:ilvl w:val="0"/>
                <w:numId w:val="5"/>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缓解小微企业融资困难。</w:t>
            </w:r>
          </w:p>
          <w:p>
            <w:pPr>
              <w:pStyle w:val="11"/>
              <w:numPr>
                <w:ilvl w:val="0"/>
                <w:numId w:val="5"/>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落实“七联七包”责任。</w:t>
            </w:r>
          </w:p>
          <w:p>
            <w:pPr>
              <w:pStyle w:val="11"/>
              <w:numPr>
                <w:ilvl w:val="0"/>
                <w:numId w:val="5"/>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化金融生态环境。金融机构风险隐患排查，非法金融活动预警排查，加强源头治理。</w:t>
            </w:r>
          </w:p>
          <w:p>
            <w:pPr>
              <w:pStyle w:val="11"/>
              <w:numPr>
                <w:ilvl w:val="0"/>
                <w:numId w:val="5"/>
              </w:numPr>
              <w:jc w:val="both"/>
              <w:rPr>
                <w:rFonts w:hint="eastAsia" w:ascii="宋体" w:hAnsi="宋体" w:eastAsia="宋体" w:cs="宋体"/>
                <w:color w:val="auto"/>
                <w:sz w:val="18"/>
                <w:szCs w:val="18"/>
                <w:highlight w:val="none"/>
              </w:rPr>
            </w:pPr>
            <w:r>
              <w:rPr>
                <w:rFonts w:hint="eastAsia" w:ascii="Arial" w:hAnsi="Arial" w:eastAsia="Arial" w:cs="Arial"/>
                <w:color w:val="auto"/>
                <w:spacing w:val="0"/>
                <w:kern w:val="2"/>
                <w:sz w:val="20"/>
                <w:szCs w:val="21"/>
                <w:highlight w:val="none"/>
                <w:lang w:val="en-US" w:eastAsia="zh-CN" w:bidi="ar-SA"/>
              </w:rPr>
              <w:t>强化地方金融监管，依法履行处非职责。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1104" w:type="dxa"/>
            <w:vMerge w:val="restart"/>
            <w:tcBorders>
              <w:bottom w:val="nil"/>
            </w:tcBorders>
            <w:noWrap w:val="0"/>
            <w:textDirection w:val="tbRlV"/>
            <w:vAlign w:val="top"/>
          </w:tcPr>
          <w:p>
            <w:pPr>
              <w:pStyle w:val="11"/>
              <w:spacing w:line="364" w:lineRule="auto"/>
              <w:rPr>
                <w:rFonts w:hint="eastAsia" w:ascii="宋体" w:hAnsi="宋体" w:eastAsia="宋体" w:cs="宋体"/>
                <w:color w:val="auto"/>
                <w:sz w:val="18"/>
                <w:szCs w:val="18"/>
                <w:highlight w:val="none"/>
              </w:rPr>
            </w:pPr>
          </w:p>
          <w:p>
            <w:pPr>
              <w:spacing w:before="64" w:line="216" w:lineRule="auto"/>
              <w:ind w:left="3168"/>
              <w:rPr>
                <w:rFonts w:hint="eastAsia" w:ascii="宋体" w:hAnsi="宋体" w:eastAsia="宋体" w:cs="宋体"/>
                <w:color w:val="auto"/>
                <w:sz w:val="18"/>
                <w:szCs w:val="18"/>
                <w:highlight w:val="none"/>
              </w:rPr>
            </w:pPr>
            <w:r>
              <w:rPr>
                <w:rFonts w:hint="eastAsia" w:ascii="宋体" w:hAnsi="宋体" w:eastAsia="宋体" w:cs="宋体"/>
                <w:color w:val="auto"/>
                <w:spacing w:val="39"/>
                <w:sz w:val="18"/>
                <w:szCs w:val="18"/>
                <w:highlight w:val="none"/>
              </w:rPr>
              <w:t>绩效指标</w:t>
            </w:r>
          </w:p>
        </w:tc>
        <w:tc>
          <w:tcPr>
            <w:tcW w:w="1104" w:type="dxa"/>
            <w:noWrap w:val="0"/>
            <w:vAlign w:val="top"/>
          </w:tcPr>
          <w:p>
            <w:pPr>
              <w:spacing w:before="141" w:line="226" w:lineRule="auto"/>
              <w:ind w:left="15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一级指标</w:t>
            </w:r>
          </w:p>
        </w:tc>
        <w:tc>
          <w:tcPr>
            <w:tcW w:w="924" w:type="dxa"/>
            <w:tcBorders>
              <w:bottom w:val="single" w:color="auto" w:sz="4" w:space="0"/>
            </w:tcBorders>
            <w:noWrap w:val="0"/>
            <w:vAlign w:val="top"/>
          </w:tcPr>
          <w:p>
            <w:pPr>
              <w:spacing w:before="141" w:line="226" w:lineRule="auto"/>
              <w:ind w:left="132"/>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二级指标</w:t>
            </w:r>
          </w:p>
        </w:tc>
        <w:tc>
          <w:tcPr>
            <w:tcW w:w="1563" w:type="dxa"/>
            <w:tcBorders>
              <w:bottom w:val="single" w:color="auto" w:sz="4" w:space="0"/>
            </w:tcBorders>
            <w:noWrap w:val="0"/>
            <w:vAlign w:val="top"/>
          </w:tcPr>
          <w:p>
            <w:pPr>
              <w:spacing w:before="141" w:line="226" w:lineRule="auto"/>
              <w:ind w:left="253"/>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三级指标</w:t>
            </w:r>
          </w:p>
        </w:tc>
        <w:tc>
          <w:tcPr>
            <w:tcW w:w="1280" w:type="dxa"/>
            <w:tcBorders>
              <w:bottom w:val="single" w:color="auto" w:sz="4" w:space="0"/>
            </w:tcBorders>
            <w:noWrap w:val="0"/>
            <w:vAlign w:val="top"/>
          </w:tcPr>
          <w:p>
            <w:pPr>
              <w:spacing w:before="141" w:line="226" w:lineRule="auto"/>
              <w:ind w:left="114"/>
              <w:jc w:val="center"/>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年度指标值</w:t>
            </w:r>
          </w:p>
        </w:tc>
        <w:tc>
          <w:tcPr>
            <w:tcW w:w="1297" w:type="dxa"/>
            <w:tcBorders>
              <w:bottom w:val="single" w:color="auto" w:sz="4" w:space="0"/>
            </w:tcBorders>
            <w:noWrap w:val="0"/>
            <w:vAlign w:val="top"/>
          </w:tcPr>
          <w:p>
            <w:pPr>
              <w:spacing w:before="141"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实际完成值</w:t>
            </w:r>
          </w:p>
        </w:tc>
        <w:tc>
          <w:tcPr>
            <w:tcW w:w="576" w:type="dxa"/>
            <w:tcBorders>
              <w:bottom w:val="single" w:color="auto" w:sz="4" w:space="0"/>
            </w:tcBorders>
            <w:noWrap w:val="0"/>
            <w:vAlign w:val="top"/>
          </w:tcPr>
          <w:p>
            <w:pPr>
              <w:spacing w:before="141" w:line="227"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tcBorders>
              <w:bottom w:val="single" w:color="auto" w:sz="4" w:space="0"/>
            </w:tcBorders>
            <w:noWrap w:val="0"/>
            <w:vAlign w:val="top"/>
          </w:tcPr>
          <w:p>
            <w:pPr>
              <w:spacing w:before="174" w:line="21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lang w:val="en-US" w:eastAsia="zh-CN"/>
              </w:rPr>
              <w:t>自</w:t>
            </w:r>
            <w:r>
              <w:rPr>
                <w:rFonts w:hint="eastAsia" w:ascii="宋体" w:hAnsi="宋体" w:eastAsia="宋体" w:cs="宋体"/>
                <w:color w:val="auto"/>
                <w:spacing w:val="4"/>
                <w:sz w:val="18"/>
                <w:szCs w:val="18"/>
                <w:highlight w:val="none"/>
              </w:rPr>
              <w:t>评得分</w:t>
            </w:r>
          </w:p>
        </w:tc>
        <w:tc>
          <w:tcPr>
            <w:tcW w:w="1236" w:type="dxa"/>
            <w:tcBorders>
              <w:bottom w:val="single" w:color="auto" w:sz="4" w:space="0"/>
            </w:tcBorders>
            <w:noWrap w:val="0"/>
            <w:vAlign w:val="top"/>
          </w:tcPr>
          <w:p>
            <w:pPr>
              <w:spacing w:before="21" w:line="220" w:lineRule="auto"/>
              <w:ind w:left="111" w:right="109" w:firstLine="1"/>
              <w:rPr>
                <w:rFonts w:hint="eastAsia" w:ascii="宋体" w:hAnsi="宋体" w:eastAsia="宋体" w:cs="宋体"/>
                <w:color w:val="auto"/>
                <w:sz w:val="18"/>
                <w:szCs w:val="18"/>
                <w:highlight w:val="none"/>
              </w:rPr>
            </w:pPr>
            <w:r>
              <w:rPr>
                <w:rFonts w:hint="eastAsia" w:ascii="宋体" w:hAnsi="宋体" w:eastAsia="宋体" w:cs="宋体"/>
                <w:color w:val="auto"/>
                <w:spacing w:val="13"/>
                <w:sz w:val="18"/>
                <w:szCs w:val="18"/>
                <w:highlight w:val="none"/>
              </w:rPr>
              <w:t>偏差原因</w:t>
            </w:r>
            <w:r>
              <w:rPr>
                <w:rFonts w:hint="eastAsia" w:ascii="宋体" w:hAnsi="宋体" w:cs="宋体"/>
                <w:color w:val="auto"/>
                <w:spacing w:val="13"/>
                <w:sz w:val="18"/>
                <w:szCs w:val="18"/>
                <w:highlight w:val="none"/>
                <w:lang w:eastAsia="zh-CN"/>
              </w:rPr>
              <w:t>分</w:t>
            </w:r>
            <w:r>
              <w:rPr>
                <w:rFonts w:hint="eastAsia" w:ascii="宋体" w:hAnsi="宋体" w:eastAsia="宋体" w:cs="宋体"/>
                <w:color w:val="auto"/>
                <w:spacing w:val="13"/>
                <w:sz w:val="18"/>
                <w:szCs w:val="18"/>
                <w:highlight w:val="none"/>
              </w:rPr>
              <w:t>析</w:t>
            </w:r>
            <w:r>
              <w:rPr>
                <w:rFonts w:hint="eastAsia" w:ascii="宋体" w:hAnsi="宋体" w:eastAsia="宋体" w:cs="宋体"/>
                <w:color w:val="auto"/>
                <w:spacing w:val="8"/>
                <w:sz w:val="18"/>
                <w:szCs w:val="18"/>
                <w:highlight w:val="none"/>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1104" w:type="dxa"/>
            <w:vMerge w:val="continue"/>
            <w:tcBorders>
              <w:top w:val="nil"/>
              <w:bottom w:val="nil"/>
            </w:tcBorders>
            <w:noWrap w:val="0"/>
            <w:textDirection w:val="tbRlV"/>
            <w:vAlign w:val="top"/>
          </w:tcPr>
          <w:p>
            <w:pPr>
              <w:pStyle w:val="11"/>
              <w:rPr>
                <w:rFonts w:hint="eastAsia" w:ascii="宋体" w:hAnsi="宋体" w:eastAsia="宋体" w:cs="宋体"/>
                <w:color w:val="auto"/>
                <w:sz w:val="18"/>
                <w:szCs w:val="18"/>
                <w:highlight w:val="none"/>
              </w:rPr>
            </w:pPr>
          </w:p>
        </w:tc>
        <w:tc>
          <w:tcPr>
            <w:tcW w:w="1104" w:type="dxa"/>
            <w:vMerge w:val="restart"/>
            <w:tcBorders>
              <w:bottom w:val="nil"/>
              <w:right w:val="single" w:color="auto" w:sz="4" w:space="0"/>
            </w:tcBorders>
            <w:noWrap w:val="0"/>
            <w:vAlign w:val="top"/>
          </w:tcPr>
          <w:p>
            <w:pPr>
              <w:pStyle w:val="11"/>
              <w:spacing w:line="272" w:lineRule="auto"/>
              <w:rPr>
                <w:rFonts w:hint="eastAsia" w:ascii="宋体" w:hAnsi="宋体" w:eastAsia="宋体" w:cs="宋体"/>
                <w:color w:val="auto"/>
                <w:sz w:val="18"/>
                <w:szCs w:val="18"/>
                <w:highlight w:val="none"/>
              </w:rPr>
            </w:pPr>
          </w:p>
          <w:p>
            <w:pPr>
              <w:pStyle w:val="11"/>
              <w:spacing w:line="272" w:lineRule="auto"/>
              <w:rPr>
                <w:rFonts w:hint="eastAsia" w:ascii="宋体" w:hAnsi="宋体" w:eastAsia="宋体" w:cs="宋体"/>
                <w:color w:val="auto"/>
                <w:sz w:val="18"/>
                <w:szCs w:val="18"/>
                <w:highlight w:val="none"/>
              </w:rPr>
            </w:pPr>
          </w:p>
          <w:p>
            <w:pPr>
              <w:pStyle w:val="11"/>
              <w:spacing w:line="272" w:lineRule="auto"/>
              <w:rPr>
                <w:rFonts w:hint="eastAsia" w:ascii="宋体" w:hAnsi="宋体" w:eastAsia="宋体" w:cs="宋体"/>
                <w:color w:val="auto"/>
                <w:sz w:val="18"/>
                <w:szCs w:val="18"/>
                <w:highlight w:val="none"/>
              </w:rPr>
            </w:pPr>
          </w:p>
          <w:p>
            <w:pPr>
              <w:pStyle w:val="11"/>
              <w:spacing w:line="273" w:lineRule="auto"/>
              <w:rPr>
                <w:rFonts w:hint="eastAsia" w:ascii="宋体" w:hAnsi="宋体" w:eastAsia="宋体" w:cs="宋体"/>
                <w:color w:val="auto"/>
                <w:sz w:val="18"/>
                <w:szCs w:val="18"/>
                <w:highlight w:val="none"/>
              </w:rPr>
            </w:pPr>
          </w:p>
          <w:p>
            <w:pPr>
              <w:spacing w:before="62" w:line="450" w:lineRule="exact"/>
              <w:ind w:left="144"/>
              <w:rPr>
                <w:rFonts w:hint="eastAsia" w:ascii="宋体" w:hAnsi="宋体" w:eastAsia="宋体" w:cs="宋体"/>
                <w:color w:val="auto"/>
                <w:sz w:val="18"/>
                <w:szCs w:val="18"/>
                <w:highlight w:val="none"/>
              </w:rPr>
            </w:pPr>
            <w:r>
              <w:rPr>
                <w:rFonts w:hint="eastAsia" w:ascii="宋体" w:hAnsi="宋体" w:eastAsia="宋体" w:cs="宋体"/>
                <w:color w:val="auto"/>
                <w:spacing w:val="7"/>
                <w:position w:val="19"/>
                <w:sz w:val="18"/>
                <w:szCs w:val="18"/>
                <w:highlight w:val="none"/>
              </w:rPr>
              <w:t>产出指标</w:t>
            </w:r>
          </w:p>
          <w:p>
            <w:pPr>
              <w:spacing w:line="261" w:lineRule="exact"/>
              <w:ind w:left="252"/>
              <w:rPr>
                <w:rFonts w:hint="eastAsia" w:ascii="宋体" w:hAnsi="宋体" w:eastAsia="宋体" w:cs="宋体"/>
                <w:color w:val="auto"/>
                <w:sz w:val="18"/>
                <w:szCs w:val="18"/>
                <w:highlight w:val="none"/>
              </w:rPr>
            </w:pPr>
            <w:r>
              <w:rPr>
                <w:rFonts w:hint="eastAsia" w:ascii="宋体" w:hAnsi="宋体" w:eastAsia="宋体" w:cs="宋体"/>
                <w:color w:val="auto"/>
                <w:spacing w:val="1"/>
                <w:position w:val="2"/>
                <w:sz w:val="18"/>
                <w:szCs w:val="18"/>
                <w:highlight w:val="none"/>
              </w:rPr>
              <w:t>(50</w:t>
            </w:r>
            <w:r>
              <w:rPr>
                <w:rFonts w:hint="eastAsia" w:ascii="宋体" w:hAnsi="宋体" w:eastAsia="宋体" w:cs="宋体"/>
                <w:color w:val="auto"/>
                <w:spacing w:val="14"/>
                <w:position w:val="2"/>
                <w:sz w:val="18"/>
                <w:szCs w:val="18"/>
                <w:highlight w:val="none"/>
              </w:rPr>
              <w:t xml:space="preserve"> </w:t>
            </w:r>
            <w:r>
              <w:rPr>
                <w:rFonts w:hint="eastAsia" w:ascii="宋体" w:hAnsi="宋体" w:eastAsia="宋体" w:cs="宋体"/>
                <w:color w:val="auto"/>
                <w:spacing w:val="1"/>
                <w:position w:val="2"/>
                <w:sz w:val="18"/>
                <w:szCs w:val="18"/>
                <w:highlight w:val="none"/>
              </w:rPr>
              <w:t>分)</w:t>
            </w: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274" w:line="226" w:lineRule="auto"/>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数量指标</w:t>
            </w:r>
          </w:p>
        </w:tc>
        <w:tc>
          <w:tcPr>
            <w:tcW w:w="1563"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开展招商引企对接会</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4次</w:t>
            </w:r>
          </w:p>
        </w:tc>
        <w:tc>
          <w:tcPr>
            <w:tcW w:w="1297"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4次</w:t>
            </w:r>
          </w:p>
        </w:tc>
        <w:tc>
          <w:tcPr>
            <w:tcW w:w="576"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center"/>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104" w:type="dxa"/>
            <w:vMerge w:val="continue"/>
            <w:tcBorders>
              <w:top w:val="nil"/>
              <w:bottom w:val="nil"/>
            </w:tcBorders>
            <w:noWrap w:val="0"/>
            <w:textDirection w:val="tbRlV"/>
            <w:vAlign w:val="top"/>
          </w:tcPr>
          <w:p>
            <w:pPr>
              <w:pStyle w:val="11"/>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pPr>
              <w:pStyle w:val="11"/>
              <w:rPr>
                <w:rFonts w:hint="eastAsia" w:ascii="宋体" w:hAnsi="宋体" w:eastAsia="宋体" w:cs="宋体"/>
                <w:color w:val="auto"/>
                <w:sz w:val="18"/>
                <w:szCs w:val="18"/>
                <w:highlight w:val="none"/>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jc w:val="both"/>
              <w:rPr>
                <w:rFonts w:hint="eastAsia" w:ascii="宋体" w:hAnsi="宋体" w:eastAsia="宋体" w:cs="宋体"/>
                <w:color w:val="auto"/>
                <w:spacing w:val="3"/>
                <w:kern w:val="2"/>
                <w:sz w:val="18"/>
                <w:szCs w:val="18"/>
                <w:highlight w:val="none"/>
                <w:lang w:val="en-US" w:eastAsia="zh-CN" w:bidi="ar-SA"/>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预算绩效管理</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完成预算单位绩效目标1次、绩效监控1次、绩效评价1次</w:t>
            </w:r>
          </w:p>
        </w:tc>
        <w:tc>
          <w:tcPr>
            <w:tcW w:w="1297"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已完成</w:t>
            </w:r>
          </w:p>
        </w:tc>
        <w:tc>
          <w:tcPr>
            <w:tcW w:w="576"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pStyle w:val="11"/>
              <w:spacing w:line="235" w:lineRule="exact"/>
              <w:jc w:val="center"/>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04" w:type="dxa"/>
            <w:vMerge w:val="continue"/>
            <w:tcBorders>
              <w:top w:val="nil"/>
              <w:bottom w:val="nil"/>
            </w:tcBorders>
            <w:noWrap w:val="0"/>
            <w:textDirection w:val="tbRlV"/>
            <w:vAlign w:val="top"/>
          </w:tcPr>
          <w:p>
            <w:pPr>
              <w:pStyle w:val="11"/>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pPr>
              <w:pStyle w:val="11"/>
              <w:rPr>
                <w:rFonts w:hint="eastAsia" w:ascii="宋体" w:hAnsi="宋体" w:eastAsia="宋体" w:cs="宋体"/>
                <w:color w:val="auto"/>
                <w:sz w:val="18"/>
                <w:szCs w:val="18"/>
                <w:highlight w:val="none"/>
              </w:rPr>
            </w:pPr>
          </w:p>
        </w:tc>
        <w:tc>
          <w:tcPr>
            <w:tcW w:w="924" w:type="dxa"/>
            <w:tcBorders>
              <w:top w:val="single" w:color="auto" w:sz="4" w:space="0"/>
              <w:bottom w:val="single" w:color="000000" w:sz="2" w:space="0"/>
            </w:tcBorders>
            <w:noWrap w:val="0"/>
            <w:vAlign w:val="center"/>
          </w:tcPr>
          <w:p>
            <w:pPr>
              <w:spacing w:before="274" w:line="226"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质量指标</w:t>
            </w:r>
          </w:p>
        </w:tc>
        <w:tc>
          <w:tcPr>
            <w:tcW w:w="1563" w:type="dxa"/>
            <w:tcBorders>
              <w:top w:val="single" w:color="auto" w:sz="4" w:space="0"/>
              <w:bottom w:val="single" w:color="000000" w:sz="2" w:space="0"/>
            </w:tcBorders>
            <w:noWrap w:val="0"/>
            <w:vAlign w:val="center"/>
          </w:tcPr>
          <w:p>
            <w:pPr>
              <w:pStyle w:val="11"/>
              <w:spacing w:line="235" w:lineRule="exact"/>
              <w:ind w:firstLine="200" w:firstLineChars="10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rPr>
              <w:t>招商引企</w:t>
            </w:r>
          </w:p>
        </w:tc>
        <w:tc>
          <w:tcPr>
            <w:tcW w:w="1280" w:type="dxa"/>
            <w:tcBorders>
              <w:top w:val="single" w:color="auto" w:sz="4" w:space="0"/>
              <w:bottom w:val="single" w:color="000000" w:sz="2"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4家</w:t>
            </w:r>
          </w:p>
        </w:tc>
        <w:tc>
          <w:tcPr>
            <w:tcW w:w="1297" w:type="dxa"/>
            <w:tcBorders>
              <w:top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5家</w:t>
            </w:r>
          </w:p>
        </w:tc>
        <w:tc>
          <w:tcPr>
            <w:tcW w:w="576" w:type="dxa"/>
            <w:tcBorders>
              <w:top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960" w:type="dxa"/>
            <w:tcBorders>
              <w:top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236" w:type="dxa"/>
            <w:tcBorders>
              <w:top w:val="single" w:color="auto" w:sz="4" w:space="0"/>
            </w:tcBorders>
            <w:noWrap w:val="0"/>
            <w:vAlign w:val="top"/>
          </w:tcPr>
          <w:p>
            <w:pPr>
              <w:pStyle w:val="11"/>
              <w:spacing w:line="235" w:lineRule="exact"/>
              <w:jc w:val="center"/>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104" w:type="dxa"/>
            <w:vMerge w:val="continue"/>
            <w:tcBorders>
              <w:top w:val="nil"/>
              <w:bottom w:val="nil"/>
            </w:tcBorders>
            <w:noWrap w:val="0"/>
            <w:textDirection w:val="tbRlV"/>
            <w:vAlign w:val="top"/>
          </w:tcPr>
          <w:p>
            <w:pPr>
              <w:pStyle w:val="11"/>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pPr>
              <w:pStyle w:val="11"/>
              <w:rPr>
                <w:rFonts w:hint="eastAsia" w:ascii="宋体" w:hAnsi="宋体" w:eastAsia="宋体" w:cs="宋体"/>
                <w:color w:val="auto"/>
                <w:sz w:val="18"/>
                <w:szCs w:val="18"/>
                <w:highlight w:val="none"/>
              </w:rPr>
            </w:pPr>
          </w:p>
        </w:tc>
        <w:tc>
          <w:tcPr>
            <w:tcW w:w="924" w:type="dxa"/>
            <w:tcBorders>
              <w:top w:val="single" w:color="000000" w:sz="2" w:space="0"/>
              <w:left w:val="single" w:color="auto" w:sz="4" w:space="0"/>
              <w:bottom w:val="nil"/>
            </w:tcBorders>
            <w:noWrap w:val="0"/>
            <w:vAlign w:val="center"/>
          </w:tcPr>
          <w:p>
            <w:pPr>
              <w:spacing w:before="274" w:line="22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时效指标</w:t>
            </w:r>
          </w:p>
        </w:tc>
        <w:tc>
          <w:tcPr>
            <w:tcW w:w="1563" w:type="dxa"/>
            <w:tcBorders>
              <w:top w:val="single" w:color="000000" w:sz="2" w:space="0"/>
              <w:right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2"/>
                <w:sz w:val="19"/>
                <w:szCs w:val="19"/>
                <w:highlight w:val="none"/>
                <w:lang w:val="en-US" w:eastAsia="zh-CN" w:bidi="ar-SA"/>
              </w:rPr>
              <w:t>2024年底完成</w:t>
            </w:r>
          </w:p>
        </w:tc>
        <w:tc>
          <w:tcPr>
            <w:tcW w:w="1280" w:type="dxa"/>
            <w:tcBorders>
              <w:top w:val="single" w:color="000000" w:sz="2" w:space="0"/>
              <w:left w:val="single" w:color="auto" w:sz="4" w:space="0"/>
            </w:tcBorders>
            <w:noWrap w:val="0"/>
            <w:vAlign w:val="center"/>
          </w:tcPr>
          <w:p>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2024年底完成</w:t>
            </w:r>
          </w:p>
        </w:tc>
        <w:tc>
          <w:tcPr>
            <w:tcW w:w="1297" w:type="dxa"/>
            <w:noWrap w:val="0"/>
            <w:vAlign w:val="center"/>
          </w:tcPr>
          <w:p>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2024年底全面完成</w:t>
            </w:r>
          </w:p>
        </w:tc>
        <w:tc>
          <w:tcPr>
            <w:tcW w:w="576" w:type="dxa"/>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center"/>
          </w:tcPr>
          <w:p>
            <w:pPr>
              <w:pStyle w:val="11"/>
              <w:spacing w:line="235" w:lineRule="exact"/>
              <w:jc w:val="center"/>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1104" w:type="dxa"/>
            <w:vMerge w:val="continue"/>
            <w:tcBorders>
              <w:top w:val="nil"/>
              <w:bottom w:val="nil"/>
            </w:tcBorders>
            <w:noWrap w:val="0"/>
            <w:textDirection w:val="tbRlV"/>
            <w:vAlign w:val="top"/>
          </w:tcPr>
          <w:p>
            <w:pPr>
              <w:pStyle w:val="11"/>
              <w:rPr>
                <w:rFonts w:hint="eastAsia" w:ascii="宋体" w:hAnsi="宋体" w:eastAsia="宋体" w:cs="宋体"/>
                <w:color w:val="auto"/>
                <w:sz w:val="18"/>
                <w:szCs w:val="18"/>
                <w:highlight w:val="none"/>
              </w:rPr>
            </w:pPr>
          </w:p>
        </w:tc>
        <w:tc>
          <w:tcPr>
            <w:tcW w:w="1104" w:type="dxa"/>
            <w:vMerge w:val="continue"/>
            <w:tcBorders>
              <w:top w:val="nil"/>
              <w:bottom w:val="single" w:color="000000" w:sz="2" w:space="0"/>
              <w:right w:val="single" w:color="auto" w:sz="4" w:space="0"/>
            </w:tcBorders>
            <w:noWrap w:val="0"/>
            <w:vAlign w:val="top"/>
          </w:tcPr>
          <w:p>
            <w:pPr>
              <w:pStyle w:val="11"/>
              <w:rPr>
                <w:rFonts w:hint="eastAsia" w:ascii="宋体" w:hAnsi="宋体" w:eastAsia="宋体" w:cs="宋体"/>
                <w:color w:val="auto"/>
                <w:sz w:val="18"/>
                <w:szCs w:val="18"/>
                <w:highlight w:val="none"/>
              </w:rPr>
            </w:pPr>
          </w:p>
        </w:tc>
        <w:tc>
          <w:tcPr>
            <w:tcW w:w="924" w:type="dxa"/>
            <w:tcBorders>
              <w:top w:val="single" w:color="auto" w:sz="4" w:space="0"/>
              <w:left w:val="single" w:color="auto" w:sz="4" w:space="0"/>
              <w:bottom w:val="single" w:color="000000" w:sz="2" w:space="0"/>
            </w:tcBorders>
            <w:noWrap w:val="0"/>
            <w:vAlign w:val="center"/>
          </w:tcPr>
          <w:p>
            <w:pPr>
              <w:spacing w:before="273"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成本指标</w:t>
            </w:r>
          </w:p>
        </w:tc>
        <w:tc>
          <w:tcPr>
            <w:tcW w:w="1563" w:type="dxa"/>
            <w:tcBorders>
              <w:top w:val="single" w:color="auto" w:sz="4" w:space="0"/>
              <w:bottom w:val="single" w:color="000000" w:sz="2" w:space="0"/>
              <w:right w:val="single" w:color="auto" w:sz="4" w:space="0"/>
            </w:tcBorders>
            <w:noWrap w:val="0"/>
            <w:vAlign w:val="center"/>
          </w:tcPr>
          <w:p>
            <w:pPr>
              <w:pStyle w:val="11"/>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总成本控制</w:t>
            </w:r>
          </w:p>
        </w:tc>
        <w:tc>
          <w:tcPr>
            <w:tcW w:w="1280" w:type="dxa"/>
            <w:tcBorders>
              <w:left w:val="single" w:color="auto" w:sz="4" w:space="0"/>
            </w:tcBorders>
            <w:noWrap w:val="0"/>
            <w:vAlign w:val="center"/>
          </w:tcPr>
          <w:p>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≤434.14</w:t>
            </w:r>
            <w:r>
              <w:rPr>
                <w:rFonts w:hint="eastAsia" w:ascii="宋体" w:hAnsi="宋体" w:eastAsia="宋体" w:cs="宋体"/>
                <w:color w:val="auto"/>
                <w:sz w:val="20"/>
                <w:highlight w:val="none"/>
                <w:lang w:eastAsia="zh-CN"/>
              </w:rPr>
              <w:t>万元</w:t>
            </w:r>
          </w:p>
        </w:tc>
        <w:tc>
          <w:tcPr>
            <w:tcW w:w="1297" w:type="dxa"/>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≤434.14万元，基本达标</w:t>
            </w:r>
          </w:p>
        </w:tc>
        <w:tc>
          <w:tcPr>
            <w:tcW w:w="576" w:type="dxa"/>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960" w:type="dxa"/>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1236" w:type="dxa"/>
            <w:noWrap w:val="0"/>
            <w:vAlign w:val="top"/>
          </w:tcPr>
          <w:p>
            <w:pPr>
              <w:pStyle w:val="11"/>
              <w:spacing w:line="235" w:lineRule="exact"/>
              <w:jc w:val="center"/>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104" w:type="dxa"/>
            <w:vMerge w:val="continue"/>
            <w:tcBorders>
              <w:top w:val="nil"/>
              <w:bottom w:val="nil"/>
            </w:tcBorders>
            <w:noWrap w:val="0"/>
            <w:textDirection w:val="tbRlV"/>
            <w:vAlign w:val="top"/>
          </w:tcPr>
          <w:p>
            <w:pPr>
              <w:pStyle w:val="11"/>
              <w:rPr>
                <w:rFonts w:hint="eastAsia" w:ascii="宋体" w:hAnsi="宋体" w:eastAsia="宋体" w:cs="宋体"/>
                <w:color w:val="auto"/>
                <w:sz w:val="18"/>
                <w:szCs w:val="18"/>
                <w:highlight w:val="none"/>
              </w:rPr>
            </w:pPr>
          </w:p>
        </w:tc>
        <w:tc>
          <w:tcPr>
            <w:tcW w:w="1104" w:type="dxa"/>
            <w:vMerge w:val="restart"/>
            <w:tcBorders>
              <w:top w:val="single" w:color="000000" w:sz="2" w:space="0"/>
              <w:bottom w:val="single" w:color="000000" w:sz="2" w:space="0"/>
              <w:right w:val="single" w:color="000000" w:sz="2" w:space="0"/>
            </w:tcBorders>
            <w:noWrap w:val="0"/>
            <w:vAlign w:val="top"/>
          </w:tcPr>
          <w:p>
            <w:pPr>
              <w:pStyle w:val="11"/>
              <w:spacing w:line="256" w:lineRule="auto"/>
              <w:rPr>
                <w:rFonts w:hint="eastAsia" w:ascii="宋体" w:hAnsi="宋体" w:eastAsia="宋体" w:cs="宋体"/>
                <w:color w:val="auto"/>
                <w:sz w:val="18"/>
                <w:szCs w:val="18"/>
                <w:highlight w:val="none"/>
              </w:rPr>
            </w:pPr>
          </w:p>
          <w:p>
            <w:pPr>
              <w:pStyle w:val="11"/>
              <w:spacing w:line="256" w:lineRule="auto"/>
              <w:rPr>
                <w:rFonts w:hint="eastAsia" w:ascii="宋体" w:hAnsi="宋体" w:eastAsia="宋体" w:cs="宋体"/>
                <w:color w:val="auto"/>
                <w:sz w:val="18"/>
                <w:szCs w:val="18"/>
                <w:highlight w:val="none"/>
              </w:rPr>
            </w:pPr>
          </w:p>
          <w:p>
            <w:pPr>
              <w:pStyle w:val="11"/>
              <w:spacing w:line="256" w:lineRule="auto"/>
              <w:rPr>
                <w:rFonts w:hint="eastAsia" w:ascii="宋体" w:hAnsi="宋体" w:eastAsia="宋体" w:cs="宋体"/>
                <w:color w:val="auto"/>
                <w:sz w:val="18"/>
                <w:szCs w:val="18"/>
                <w:highlight w:val="none"/>
              </w:rPr>
            </w:pPr>
          </w:p>
          <w:p>
            <w:pPr>
              <w:pStyle w:val="11"/>
              <w:spacing w:line="256" w:lineRule="auto"/>
              <w:rPr>
                <w:rFonts w:hint="eastAsia" w:ascii="宋体" w:hAnsi="宋体" w:eastAsia="宋体" w:cs="宋体"/>
                <w:color w:val="auto"/>
                <w:sz w:val="18"/>
                <w:szCs w:val="18"/>
                <w:highlight w:val="none"/>
              </w:rPr>
            </w:pPr>
          </w:p>
          <w:p>
            <w:pPr>
              <w:spacing w:before="62" w:line="480" w:lineRule="exact"/>
              <w:ind w:left="115"/>
              <w:rPr>
                <w:rFonts w:hint="eastAsia" w:ascii="宋体" w:hAnsi="宋体" w:eastAsia="宋体" w:cs="宋体"/>
                <w:color w:val="auto"/>
                <w:sz w:val="18"/>
                <w:szCs w:val="18"/>
                <w:highlight w:val="none"/>
              </w:rPr>
            </w:pPr>
            <w:r>
              <w:rPr>
                <w:rFonts w:hint="eastAsia" w:ascii="宋体" w:hAnsi="宋体" w:eastAsia="宋体" w:cs="宋体"/>
                <w:color w:val="auto"/>
                <w:spacing w:val="6"/>
                <w:position w:val="22"/>
                <w:sz w:val="18"/>
                <w:szCs w:val="18"/>
                <w:highlight w:val="none"/>
              </w:rPr>
              <w:t>效益指标</w:t>
            </w:r>
          </w:p>
          <w:p>
            <w:pPr>
              <w:spacing w:line="227" w:lineRule="auto"/>
              <w:ind w:left="107"/>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（30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24" w:type="dxa"/>
            <w:tcBorders>
              <w:top w:val="single" w:color="000000" w:sz="2" w:space="0"/>
              <w:left w:val="single" w:color="000000" w:sz="2" w:space="0"/>
              <w:bottom w:val="single" w:color="000000" w:sz="2" w:space="0"/>
              <w:right w:val="single" w:color="000000" w:sz="2" w:space="0"/>
            </w:tcBorders>
            <w:noWrap w:val="0"/>
            <w:vAlign w:val="center"/>
          </w:tcPr>
          <w:p>
            <w:pPr>
              <w:spacing w:before="154" w:line="233" w:lineRule="auto"/>
              <w:ind w:left="226"/>
              <w:jc w:val="center"/>
              <w:rPr>
                <w:rFonts w:hint="eastAsia" w:ascii="宋体" w:hAnsi="宋体" w:eastAsia="宋体" w:cs="宋体"/>
                <w:color w:val="auto"/>
                <w:sz w:val="19"/>
                <w:szCs w:val="19"/>
                <w:highlight w:val="none"/>
              </w:rPr>
            </w:pPr>
            <w:r>
              <w:rPr>
                <w:rFonts w:hint="eastAsia" w:ascii="宋体" w:hAnsi="宋体" w:eastAsia="宋体" w:cs="宋体"/>
                <w:color w:val="auto"/>
                <w:spacing w:val="5"/>
                <w:sz w:val="19"/>
                <w:szCs w:val="19"/>
                <w:highlight w:val="none"/>
              </w:rPr>
              <w:t>经济效</w:t>
            </w:r>
          </w:p>
          <w:p>
            <w:pPr>
              <w:spacing w:line="225" w:lineRule="auto"/>
              <w:ind w:left="232" w:leftChars="0"/>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6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ind w:left="0" w:left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9"/>
                <w:szCs w:val="19"/>
                <w:highlight w:val="none"/>
                <w:lang w:val="en-US" w:eastAsia="zh-CN"/>
              </w:rPr>
              <w:t>完善融资担保体系</w:t>
            </w:r>
          </w:p>
        </w:tc>
        <w:tc>
          <w:tcPr>
            <w:tcW w:w="1280" w:type="dxa"/>
            <w:tcBorders>
              <w:left w:val="single" w:color="000000" w:sz="2"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完善风险补偿，保费补贴机制</w:t>
            </w:r>
          </w:p>
        </w:tc>
        <w:tc>
          <w:tcPr>
            <w:tcW w:w="1297" w:type="dxa"/>
            <w:noWrap w:val="0"/>
            <w:vAlign w:val="center"/>
          </w:tcPr>
          <w:p>
            <w:pPr>
              <w:pStyle w:val="11"/>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平均担保费率保持在0.5%以下，远低于全省平均水平，极大降低了企业经营压力</w:t>
            </w:r>
          </w:p>
        </w:tc>
        <w:tc>
          <w:tcPr>
            <w:tcW w:w="576" w:type="dxa"/>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960" w:type="dxa"/>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236" w:type="dxa"/>
            <w:noWrap w:val="0"/>
            <w:vAlign w:val="top"/>
          </w:tcPr>
          <w:p>
            <w:pPr>
              <w:pStyle w:val="11"/>
              <w:spacing w:line="235" w:lineRule="exact"/>
              <w:jc w:val="center"/>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1104" w:type="dxa"/>
            <w:vMerge w:val="continue"/>
            <w:tcBorders>
              <w:top w:val="nil"/>
              <w:bottom w:val="nil"/>
            </w:tcBorders>
            <w:noWrap w:val="0"/>
            <w:textDirection w:val="tbRlV"/>
            <w:vAlign w:val="top"/>
          </w:tcPr>
          <w:p>
            <w:pPr>
              <w:pStyle w:val="11"/>
              <w:rPr>
                <w:rFonts w:hint="eastAsia" w:ascii="宋体" w:hAnsi="宋体" w:eastAsia="宋体" w:cs="宋体"/>
                <w:color w:val="auto"/>
                <w:sz w:val="18"/>
                <w:szCs w:val="18"/>
                <w:highlight w:val="none"/>
              </w:rPr>
            </w:pPr>
          </w:p>
        </w:tc>
        <w:tc>
          <w:tcPr>
            <w:tcW w:w="1104" w:type="dxa"/>
            <w:vMerge w:val="continue"/>
            <w:tcBorders>
              <w:top w:val="single" w:color="000000" w:sz="2" w:space="0"/>
              <w:bottom w:val="nil"/>
              <w:right w:val="single" w:color="auto" w:sz="4" w:space="0"/>
            </w:tcBorders>
            <w:noWrap w:val="0"/>
            <w:vAlign w:val="top"/>
          </w:tcPr>
          <w:p>
            <w:pPr>
              <w:pStyle w:val="11"/>
              <w:rPr>
                <w:rFonts w:hint="eastAsia" w:ascii="宋体" w:hAnsi="宋体" w:eastAsia="宋体" w:cs="宋体"/>
                <w:color w:val="auto"/>
                <w:sz w:val="18"/>
                <w:szCs w:val="18"/>
                <w:highlight w:val="none"/>
              </w:rPr>
            </w:pPr>
          </w:p>
        </w:tc>
        <w:tc>
          <w:tcPr>
            <w:tcW w:w="924" w:type="dxa"/>
            <w:vMerge w:val="restart"/>
            <w:tcBorders>
              <w:top w:val="single" w:color="000000" w:sz="2" w:space="0"/>
              <w:left w:val="single" w:color="auto" w:sz="4" w:space="0"/>
            </w:tcBorders>
            <w:noWrap w:val="0"/>
            <w:vAlign w:val="top"/>
          </w:tcPr>
          <w:p>
            <w:pPr>
              <w:spacing w:before="153" w:line="233" w:lineRule="auto"/>
              <w:ind w:left="225"/>
              <w:rPr>
                <w:rFonts w:hint="eastAsia" w:ascii="宋体" w:hAnsi="宋体" w:eastAsia="宋体" w:cs="宋体"/>
                <w:color w:val="auto"/>
                <w:sz w:val="19"/>
                <w:szCs w:val="19"/>
                <w:highlight w:val="none"/>
              </w:rPr>
            </w:pPr>
            <w:r>
              <w:rPr>
                <w:rFonts w:hint="eastAsia" w:ascii="宋体" w:hAnsi="宋体" w:eastAsia="宋体" w:cs="宋体"/>
                <w:color w:val="auto"/>
                <w:spacing w:val="6"/>
                <w:sz w:val="19"/>
                <w:szCs w:val="19"/>
                <w:highlight w:val="none"/>
              </w:rPr>
              <w:t>社会效</w:t>
            </w:r>
          </w:p>
          <w:p>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63" w:type="dxa"/>
            <w:tcBorders>
              <w:top w:val="single" w:color="000000" w:sz="2" w:space="0"/>
              <w:right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2"/>
                <w:sz w:val="19"/>
                <w:szCs w:val="19"/>
                <w:highlight w:val="none"/>
                <w:lang w:val="en-US" w:eastAsia="zh-CN" w:bidi="ar-SA"/>
              </w:rPr>
              <w:t>落实“七联七包”</w:t>
            </w:r>
          </w:p>
        </w:tc>
        <w:tc>
          <w:tcPr>
            <w:tcW w:w="1280" w:type="dxa"/>
            <w:tcBorders>
              <w:left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2"/>
                <w:sz w:val="19"/>
                <w:szCs w:val="19"/>
                <w:highlight w:val="none"/>
                <w:lang w:val="en-US" w:eastAsia="zh-CN" w:bidi="ar-SA"/>
              </w:rPr>
              <w:t>抓好惠企政策，解决企业困难</w:t>
            </w:r>
          </w:p>
        </w:tc>
        <w:tc>
          <w:tcPr>
            <w:tcW w:w="1297" w:type="dxa"/>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开展帮扶，解决9家企业共15个困难点</w:t>
            </w:r>
          </w:p>
        </w:tc>
        <w:tc>
          <w:tcPr>
            <w:tcW w:w="576" w:type="dxa"/>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top"/>
          </w:tcPr>
          <w:p>
            <w:pPr>
              <w:pStyle w:val="11"/>
              <w:spacing w:line="235" w:lineRule="exact"/>
              <w:jc w:val="center"/>
              <w:rPr>
                <w:rFonts w:hint="eastAsia" w:ascii="宋体" w:hAnsi="宋体" w:eastAsia="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jc w:val="center"/>
        </w:trPr>
        <w:tc>
          <w:tcPr>
            <w:tcW w:w="1104" w:type="dxa"/>
            <w:vMerge w:val="continue"/>
            <w:tcBorders>
              <w:top w:val="nil"/>
              <w:bottom w:val="nil"/>
            </w:tcBorders>
            <w:noWrap w:val="0"/>
            <w:textDirection w:val="tbRlV"/>
            <w:vAlign w:val="top"/>
          </w:tcPr>
          <w:p>
            <w:pPr>
              <w:pStyle w:val="11"/>
              <w:rPr>
                <w:rFonts w:hint="eastAsia" w:ascii="宋体" w:hAnsi="宋体" w:eastAsia="宋体" w:cs="宋体"/>
                <w:color w:val="auto"/>
                <w:sz w:val="18"/>
                <w:szCs w:val="18"/>
                <w:highlight w:val="none"/>
              </w:rPr>
            </w:pPr>
          </w:p>
        </w:tc>
        <w:tc>
          <w:tcPr>
            <w:tcW w:w="1104" w:type="dxa"/>
            <w:vMerge w:val="continue"/>
            <w:tcBorders>
              <w:top w:val="single" w:color="000000" w:sz="2" w:space="0"/>
              <w:bottom w:val="nil"/>
              <w:right w:val="single" w:color="auto" w:sz="4" w:space="0"/>
            </w:tcBorders>
            <w:noWrap w:val="0"/>
            <w:vAlign w:val="top"/>
          </w:tcPr>
          <w:p>
            <w:pPr>
              <w:pStyle w:val="11"/>
              <w:rPr>
                <w:rFonts w:hint="eastAsia" w:ascii="宋体" w:hAnsi="宋体" w:eastAsia="宋体" w:cs="宋体"/>
                <w:color w:val="auto"/>
                <w:sz w:val="18"/>
                <w:szCs w:val="18"/>
                <w:highlight w:val="none"/>
              </w:rPr>
            </w:pPr>
          </w:p>
        </w:tc>
        <w:tc>
          <w:tcPr>
            <w:tcW w:w="924" w:type="dxa"/>
            <w:vMerge w:val="continue"/>
            <w:tcBorders>
              <w:left w:val="single" w:color="auto" w:sz="4" w:space="0"/>
              <w:bottom w:val="nil"/>
            </w:tcBorders>
            <w:noWrap w:val="0"/>
            <w:vAlign w:val="top"/>
          </w:tcPr>
          <w:p>
            <w:pPr>
              <w:spacing w:line="225" w:lineRule="auto"/>
              <w:ind w:left="232" w:leftChars="0"/>
              <w:rPr>
                <w:rFonts w:hint="eastAsia" w:ascii="宋体" w:hAnsi="宋体" w:eastAsia="宋体" w:cs="宋体"/>
                <w:color w:val="auto"/>
                <w:spacing w:val="3"/>
                <w:sz w:val="19"/>
                <w:szCs w:val="19"/>
                <w:highlight w:val="none"/>
              </w:rPr>
            </w:pPr>
          </w:p>
        </w:tc>
        <w:tc>
          <w:tcPr>
            <w:tcW w:w="1563" w:type="dxa"/>
            <w:tcBorders>
              <w:top w:val="single" w:color="000000" w:sz="2" w:space="0"/>
              <w:right w:val="single" w:color="auto" w:sz="4" w:space="0"/>
            </w:tcBorders>
            <w:noWrap w:val="0"/>
            <w:vAlign w:val="center"/>
          </w:tcPr>
          <w:p>
            <w:pPr>
              <w:pStyle w:val="11"/>
              <w:spacing w:line="235" w:lineRule="exact"/>
              <w:jc w:val="center"/>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kern w:val="2"/>
                <w:sz w:val="19"/>
                <w:szCs w:val="19"/>
                <w:highlight w:val="none"/>
                <w:lang w:val="en-US" w:eastAsia="zh-CN" w:bidi="ar-SA"/>
              </w:rPr>
              <w:t>缓解小微企业融资困难</w:t>
            </w:r>
          </w:p>
        </w:tc>
        <w:tc>
          <w:tcPr>
            <w:tcW w:w="1280" w:type="dxa"/>
            <w:tcBorders>
              <w:left w:val="single" w:color="auto" w:sz="4" w:space="0"/>
            </w:tcBorders>
            <w:noWrap w:val="0"/>
            <w:vAlign w:val="center"/>
          </w:tcPr>
          <w:p>
            <w:pPr>
              <w:pStyle w:val="11"/>
              <w:spacing w:line="235" w:lineRule="exact"/>
              <w:jc w:val="center"/>
              <w:rPr>
                <w:rFonts w:hint="eastAsia" w:ascii="宋体" w:hAnsi="宋体" w:eastAsia="宋体" w:cs="宋体"/>
                <w:color w:val="auto"/>
                <w:kern w:val="2"/>
                <w:sz w:val="19"/>
                <w:szCs w:val="19"/>
                <w:highlight w:val="none"/>
                <w:lang w:val="en-US" w:eastAsia="zh-CN" w:bidi="ar-SA"/>
              </w:rPr>
            </w:pPr>
            <w:r>
              <w:rPr>
                <w:rFonts w:hint="eastAsia" w:ascii="宋体" w:hAnsi="宋体" w:eastAsia="宋体" w:cs="宋体"/>
                <w:color w:val="auto"/>
                <w:kern w:val="2"/>
                <w:sz w:val="19"/>
                <w:szCs w:val="19"/>
                <w:highlight w:val="none"/>
                <w:lang w:val="en-US" w:eastAsia="zh-CN" w:bidi="ar-SA"/>
              </w:rPr>
              <w:t>收集、上报符合条件的小微企业进入“小微基金融资支持企业白名单”</w:t>
            </w:r>
          </w:p>
        </w:tc>
        <w:tc>
          <w:tcPr>
            <w:tcW w:w="1297" w:type="dxa"/>
            <w:noWrap w:val="0"/>
            <w:vAlign w:val="center"/>
          </w:tcPr>
          <w:p>
            <w:pPr>
              <w:pStyle w:val="11"/>
              <w:spacing w:line="235"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收集、上报符合条件的小微企业进入“小微基金融资支持企业白名单”</w:t>
            </w:r>
          </w:p>
        </w:tc>
        <w:tc>
          <w:tcPr>
            <w:tcW w:w="576" w:type="dxa"/>
            <w:noWrap w:val="0"/>
            <w:vAlign w:val="center"/>
          </w:tcPr>
          <w:p>
            <w:pPr>
              <w:pStyle w:val="11"/>
              <w:spacing w:line="235" w:lineRule="exact"/>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c>
          <w:tcPr>
            <w:tcW w:w="960" w:type="dxa"/>
            <w:noWrap w:val="0"/>
            <w:vAlign w:val="center"/>
          </w:tcPr>
          <w:p>
            <w:pPr>
              <w:pStyle w:val="11"/>
              <w:spacing w:line="235" w:lineRule="exact"/>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c>
          <w:tcPr>
            <w:tcW w:w="1236" w:type="dxa"/>
            <w:noWrap w:val="0"/>
            <w:vAlign w:val="top"/>
          </w:tcPr>
          <w:p>
            <w:pPr>
              <w:pStyle w:val="11"/>
              <w:spacing w:line="235" w:lineRule="exact"/>
              <w:jc w:val="center"/>
              <w:rPr>
                <w:rFonts w:hint="eastAsia" w:ascii="宋体" w:hAnsi="宋体" w:eastAsia="宋体" w:cs="宋体"/>
                <w:color w:val="auto"/>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104" w:type="dxa"/>
            <w:vMerge w:val="continue"/>
            <w:tcBorders>
              <w:top w:val="nil"/>
              <w:bottom w:val="nil"/>
            </w:tcBorders>
            <w:noWrap w:val="0"/>
            <w:textDirection w:val="tbRlV"/>
            <w:vAlign w:val="top"/>
          </w:tcPr>
          <w:p>
            <w:pPr>
              <w:pStyle w:val="11"/>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pPr>
              <w:pStyle w:val="11"/>
              <w:rPr>
                <w:rFonts w:hint="eastAsia" w:ascii="宋体" w:hAnsi="宋体" w:eastAsia="宋体" w:cs="宋体"/>
                <w:color w:val="auto"/>
                <w:sz w:val="18"/>
                <w:szCs w:val="18"/>
                <w:highlight w:val="none"/>
              </w:rPr>
            </w:pPr>
          </w:p>
        </w:tc>
        <w:tc>
          <w:tcPr>
            <w:tcW w:w="924" w:type="dxa"/>
            <w:tcBorders>
              <w:top w:val="single" w:color="auto" w:sz="4" w:space="0"/>
              <w:left w:val="single" w:color="auto" w:sz="4" w:space="0"/>
              <w:bottom w:val="single" w:color="auto" w:sz="4" w:space="0"/>
            </w:tcBorders>
            <w:noWrap w:val="0"/>
            <w:vAlign w:val="top"/>
          </w:tcPr>
          <w:p>
            <w:pPr>
              <w:spacing w:before="154" w:line="233" w:lineRule="auto"/>
              <w:ind w:left="234"/>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生态效</w:t>
            </w:r>
          </w:p>
          <w:p>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63" w:type="dxa"/>
            <w:tcBorders>
              <w:top w:val="single" w:color="auto" w:sz="4" w:space="0"/>
              <w:bottom w:val="single" w:color="auto" w:sz="4" w:space="0"/>
              <w:right w:val="single" w:color="auto" w:sz="4" w:space="0"/>
            </w:tcBorders>
            <w:noWrap w:val="0"/>
            <w:vAlign w:val="center"/>
          </w:tcPr>
          <w:p>
            <w:pPr>
              <w:pStyle w:val="11"/>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1280" w:type="dxa"/>
            <w:tcBorders>
              <w:left w:val="single" w:color="auto" w:sz="4" w:space="0"/>
            </w:tcBorders>
            <w:noWrap w:val="0"/>
            <w:vAlign w:val="center"/>
          </w:tcPr>
          <w:p>
            <w:pPr>
              <w:pStyle w:val="11"/>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1297" w:type="dxa"/>
            <w:noWrap w:val="0"/>
            <w:vAlign w:val="center"/>
          </w:tcPr>
          <w:p>
            <w:pPr>
              <w:pStyle w:val="11"/>
              <w:spacing w:line="235" w:lineRule="exact"/>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不适用</w:t>
            </w:r>
          </w:p>
        </w:tc>
        <w:tc>
          <w:tcPr>
            <w:tcW w:w="576" w:type="dxa"/>
            <w:noWrap w:val="0"/>
            <w:vAlign w:val="center"/>
          </w:tcPr>
          <w:p>
            <w:pPr>
              <w:pStyle w:val="11"/>
              <w:spacing w:line="235" w:lineRule="exact"/>
              <w:jc w:val="center"/>
              <w:rPr>
                <w:rFonts w:hint="default" w:ascii="宋体" w:hAnsi="宋体" w:eastAsia="宋体" w:cs="宋体"/>
                <w:color w:val="auto"/>
                <w:sz w:val="20"/>
                <w:szCs w:val="20"/>
                <w:highlight w:val="none"/>
                <w:lang w:val="en-US" w:eastAsia="zh-CN"/>
              </w:rPr>
            </w:pPr>
          </w:p>
        </w:tc>
        <w:tc>
          <w:tcPr>
            <w:tcW w:w="960" w:type="dxa"/>
            <w:noWrap w:val="0"/>
            <w:vAlign w:val="center"/>
          </w:tcPr>
          <w:p>
            <w:pPr>
              <w:pStyle w:val="11"/>
              <w:spacing w:line="235" w:lineRule="exact"/>
              <w:jc w:val="center"/>
              <w:rPr>
                <w:rFonts w:hint="default" w:ascii="宋体" w:hAnsi="宋体" w:eastAsia="宋体" w:cs="宋体"/>
                <w:color w:val="auto"/>
                <w:sz w:val="20"/>
                <w:szCs w:val="20"/>
                <w:highlight w:val="none"/>
                <w:lang w:val="en-US" w:eastAsia="zh-CN"/>
              </w:rPr>
            </w:pPr>
          </w:p>
        </w:tc>
        <w:tc>
          <w:tcPr>
            <w:tcW w:w="1236" w:type="dxa"/>
            <w:noWrap w:val="0"/>
            <w:vAlign w:val="top"/>
          </w:tcPr>
          <w:p>
            <w:pPr>
              <w:pStyle w:val="11"/>
              <w:spacing w:line="235" w:lineRule="exact"/>
              <w:jc w:val="center"/>
              <w:rPr>
                <w:rFonts w:hint="eastAsia" w:ascii="宋体" w:hAnsi="宋体" w:eastAsia="宋体" w:cs="宋体"/>
                <w:color w:val="auto"/>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1104" w:type="dxa"/>
            <w:vMerge w:val="continue"/>
            <w:tcBorders>
              <w:top w:val="nil"/>
              <w:bottom w:val="nil"/>
              <w:right w:val="single" w:color="auto" w:sz="4" w:space="0"/>
            </w:tcBorders>
            <w:noWrap w:val="0"/>
            <w:textDirection w:val="tbRlV"/>
            <w:vAlign w:val="top"/>
          </w:tcPr>
          <w:p>
            <w:pPr>
              <w:pStyle w:val="11"/>
              <w:rPr>
                <w:rFonts w:hint="eastAsia" w:ascii="宋体" w:hAnsi="宋体" w:eastAsia="宋体" w:cs="宋体"/>
                <w:color w:val="auto"/>
                <w:sz w:val="18"/>
                <w:szCs w:val="18"/>
                <w:highlight w:val="none"/>
              </w:rPr>
            </w:pPr>
          </w:p>
        </w:tc>
        <w:tc>
          <w:tcPr>
            <w:tcW w:w="1104" w:type="dxa"/>
            <w:tcBorders>
              <w:top w:val="single" w:color="auto" w:sz="4" w:space="0"/>
              <w:left w:val="single" w:color="auto" w:sz="4" w:space="0"/>
              <w:bottom w:val="single" w:color="auto" w:sz="4" w:space="0"/>
            </w:tcBorders>
            <w:noWrap w:val="0"/>
            <w:vAlign w:val="top"/>
          </w:tcPr>
          <w:p>
            <w:pPr>
              <w:spacing w:before="110" w:line="226" w:lineRule="auto"/>
              <w:ind w:left="251"/>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满意度</w:t>
            </w:r>
          </w:p>
          <w:p>
            <w:pPr>
              <w:spacing w:before="7" w:line="226" w:lineRule="auto"/>
              <w:ind w:left="345"/>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指标</w:t>
            </w:r>
          </w:p>
          <w:p>
            <w:pPr>
              <w:spacing w:before="7" w:line="227" w:lineRule="auto"/>
              <w:ind w:left="114"/>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24" w:type="dxa"/>
            <w:tcBorders>
              <w:top w:val="single" w:color="auto" w:sz="4" w:space="0"/>
              <w:bottom w:val="single" w:color="auto" w:sz="4" w:space="0"/>
              <w:right w:val="single" w:color="auto" w:sz="4" w:space="0"/>
            </w:tcBorders>
            <w:noWrap w:val="0"/>
            <w:vAlign w:val="top"/>
          </w:tcPr>
          <w:p>
            <w:pPr>
              <w:spacing w:before="110" w:line="226"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服务对象</w:t>
            </w:r>
          </w:p>
          <w:p>
            <w:pPr>
              <w:spacing w:before="7" w:line="226" w:lineRule="auto"/>
              <w:ind w:left="12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满意度指</w:t>
            </w:r>
          </w:p>
          <w:p>
            <w:pPr>
              <w:spacing w:before="7" w:line="226" w:lineRule="auto"/>
              <w:ind w:left="419"/>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标</w:t>
            </w:r>
          </w:p>
        </w:tc>
        <w:tc>
          <w:tcPr>
            <w:tcW w:w="1563" w:type="dxa"/>
            <w:tcBorders>
              <w:top w:val="single" w:color="auto" w:sz="4" w:space="0"/>
              <w:left w:val="single" w:color="auto" w:sz="4" w:space="0"/>
            </w:tcBorders>
            <w:noWrap w:val="0"/>
            <w:vAlign w:val="center"/>
          </w:tcPr>
          <w:p>
            <w:pPr>
              <w:pStyle w:val="11"/>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陈案化解</w:t>
            </w:r>
          </w:p>
        </w:tc>
        <w:tc>
          <w:tcPr>
            <w:tcW w:w="1280" w:type="dxa"/>
            <w:noWrap w:val="0"/>
            <w:vAlign w:val="center"/>
          </w:tcPr>
          <w:p>
            <w:pPr>
              <w:pStyle w:val="1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szCs w:val="20"/>
                <w:highlight w:val="none"/>
                <w:lang w:val="en-US" w:eastAsia="zh-CN"/>
              </w:rPr>
              <w:t>≧90%</w:t>
            </w:r>
          </w:p>
        </w:tc>
        <w:tc>
          <w:tcPr>
            <w:tcW w:w="1297" w:type="dxa"/>
            <w:noWrap w:val="0"/>
            <w:vAlign w:val="center"/>
          </w:tcPr>
          <w:p>
            <w:pPr>
              <w:pStyle w:val="11"/>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司法审结率达到100%，结案率达到58%。</w:t>
            </w:r>
          </w:p>
        </w:tc>
        <w:tc>
          <w:tcPr>
            <w:tcW w:w="576" w:type="dxa"/>
            <w:noWrap w:val="0"/>
            <w:vAlign w:val="center"/>
          </w:tcPr>
          <w:p>
            <w:pPr>
              <w:pStyle w:val="11"/>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c>
          <w:tcPr>
            <w:tcW w:w="960" w:type="dxa"/>
            <w:noWrap w:val="0"/>
            <w:vAlign w:val="center"/>
          </w:tcPr>
          <w:p>
            <w:pPr>
              <w:pStyle w:val="11"/>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c>
          <w:tcPr>
            <w:tcW w:w="1236" w:type="dxa"/>
            <w:noWrap w:val="0"/>
            <w:vAlign w:val="top"/>
          </w:tcPr>
          <w:p>
            <w:pPr>
              <w:pStyle w:val="11"/>
              <w:rPr>
                <w:rFonts w:hint="eastAsia" w:ascii="宋体" w:hAnsi="宋体" w:eastAsia="宋体" w:cs="宋体"/>
                <w:color w:val="auto"/>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7272" w:type="dxa"/>
            <w:gridSpan w:val="6"/>
            <w:noWrap w:val="0"/>
            <w:vAlign w:val="top"/>
          </w:tcPr>
          <w:p>
            <w:pPr>
              <w:spacing w:before="41" w:line="221" w:lineRule="auto"/>
              <w:ind w:left="334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总分</w:t>
            </w:r>
          </w:p>
        </w:tc>
        <w:tc>
          <w:tcPr>
            <w:tcW w:w="576" w:type="dxa"/>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60" w:type="dxa"/>
            <w:noWrap w:val="0"/>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99</w:t>
            </w:r>
          </w:p>
        </w:tc>
        <w:tc>
          <w:tcPr>
            <w:tcW w:w="1236" w:type="dxa"/>
            <w:noWrap w:val="0"/>
            <w:vAlign w:val="top"/>
          </w:tcPr>
          <w:p>
            <w:pPr>
              <w:pStyle w:val="11"/>
              <w:rPr>
                <w:rFonts w:hint="eastAsia" w:ascii="宋体" w:hAnsi="宋体" w:eastAsia="宋体" w:cs="宋体"/>
                <w:color w:val="auto"/>
                <w:sz w:val="18"/>
                <w:szCs w:val="18"/>
                <w:highlight w:val="none"/>
              </w:rPr>
            </w:pPr>
          </w:p>
        </w:tc>
      </w:tr>
    </w:tbl>
    <w:p>
      <w:pPr>
        <w:tabs>
          <w:tab w:val="left" w:pos="2572"/>
        </w:tabs>
        <w:bidi w:val="0"/>
        <w:jc w:val="left"/>
        <w:rPr>
          <w:rFonts w:hint="eastAsia" w:eastAsiaTheme="minorEastAsia"/>
          <w:color w:val="auto"/>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Theme="minorEastAsia"/>
          <w:color w:val="auto"/>
          <w:highlight w:val="none"/>
          <w:lang w:eastAsia="zh-CN"/>
        </w:rPr>
      </w:pPr>
      <w:r>
        <w:rPr>
          <w:rFonts w:hint="eastAsia" w:ascii="宋体" w:hAnsi="宋体" w:eastAsia="宋体" w:cs="宋体"/>
          <w:color w:val="auto"/>
          <w:spacing w:val="0"/>
          <w:position w:val="0"/>
          <w:sz w:val="22"/>
          <w:szCs w:val="22"/>
          <w:highlight w:val="none"/>
        </w:rPr>
        <w:t>填表人：</w:t>
      </w:r>
      <w:r>
        <w:rPr>
          <w:rFonts w:hint="eastAsia" w:ascii="宋体" w:hAnsi="宋体" w:eastAsia="宋体" w:cs="宋体"/>
          <w:color w:val="auto"/>
          <w:spacing w:val="0"/>
          <w:position w:val="0"/>
          <w:sz w:val="22"/>
          <w:szCs w:val="22"/>
          <w:highlight w:val="none"/>
          <w:lang w:eastAsia="zh-CN"/>
        </w:rPr>
        <w:t>易帆</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联系电话：</w:t>
      </w:r>
      <w:r>
        <w:rPr>
          <w:rFonts w:hint="eastAsia" w:ascii="宋体" w:hAnsi="宋体" w:eastAsia="宋体" w:cs="宋体"/>
          <w:color w:val="auto"/>
          <w:spacing w:val="0"/>
          <w:position w:val="0"/>
          <w:sz w:val="23"/>
          <w:szCs w:val="23"/>
          <w:highlight w:val="none"/>
          <w:lang w:val="en-US" w:eastAsia="zh-CN"/>
        </w:rPr>
        <w:t>13975051506</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填报日期：</w:t>
      </w:r>
      <w:r>
        <w:rPr>
          <w:rFonts w:hint="eastAsia" w:ascii="宋体" w:hAnsi="宋体" w:eastAsia="宋体" w:cs="宋体"/>
          <w:color w:val="auto"/>
          <w:spacing w:val="0"/>
          <w:position w:val="0"/>
          <w:sz w:val="23"/>
          <w:szCs w:val="23"/>
          <w:highlight w:val="none"/>
          <w:lang w:val="en-US" w:eastAsia="zh-CN"/>
        </w:rPr>
        <w:t>2025.7.</w:t>
      </w:r>
      <w:r>
        <w:rPr>
          <w:rFonts w:hint="eastAsia" w:ascii="宋体" w:hAnsi="宋体" w:cs="宋体"/>
          <w:color w:val="auto"/>
          <w:spacing w:val="0"/>
          <w:position w:val="0"/>
          <w:sz w:val="23"/>
          <w:szCs w:val="23"/>
          <w:highlight w:val="none"/>
          <w:lang w:val="en-US" w:eastAsia="zh-CN"/>
        </w:rPr>
        <w:t>9</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cs="宋体"/>
          <w:color w:val="auto"/>
          <w:spacing w:val="0"/>
          <w:position w:val="0"/>
          <w:sz w:val="23"/>
          <w:szCs w:val="23"/>
          <w:highlight w:val="none"/>
          <w:lang w:val="en-US" w:eastAsia="zh-CN"/>
        </w:rPr>
        <w:t xml:space="preserve">     </w:t>
      </w:r>
    </w:p>
    <w:p>
      <w:pPr>
        <w:pStyle w:val="2"/>
        <w:rPr>
          <w:rFonts w:hint="default"/>
          <w:lang w:val="en-US" w:eastAsia="zh-CN"/>
        </w:rPr>
      </w:pPr>
    </w:p>
    <w:p>
      <w:pPr>
        <w:spacing w:before="64" w:line="230" w:lineRule="auto"/>
        <w:rPr>
          <w:rFonts w:hint="eastAsia" w:ascii="黑体" w:hAnsi="黑体" w:eastAsia="黑体" w:cs="黑体"/>
          <w:color w:val="auto"/>
          <w:spacing w:val="-60"/>
          <w:sz w:val="31"/>
          <w:szCs w:val="31"/>
          <w:highlight w:val="none"/>
          <w:lang w:val="en-US" w:eastAsia="zh-CN"/>
        </w:rPr>
      </w:pPr>
      <w:r>
        <w:rPr>
          <w:rFonts w:ascii="黑体" w:hAnsi="黑体" w:eastAsia="黑体" w:cs="黑体"/>
          <w:color w:val="auto"/>
          <w:spacing w:val="-4"/>
          <w:sz w:val="31"/>
          <w:szCs w:val="31"/>
          <w:highlight w:val="none"/>
        </w:rPr>
        <w:t>附件</w:t>
      </w:r>
      <w:r>
        <w:rPr>
          <w:rFonts w:ascii="黑体" w:hAnsi="黑体" w:eastAsia="黑体" w:cs="黑体"/>
          <w:color w:val="auto"/>
          <w:spacing w:val="-60"/>
          <w:sz w:val="31"/>
          <w:szCs w:val="31"/>
          <w:highlight w:val="none"/>
        </w:rPr>
        <w:t xml:space="preserve"> </w:t>
      </w:r>
      <w:r>
        <w:rPr>
          <w:rFonts w:hint="eastAsia" w:ascii="黑体" w:hAnsi="黑体" w:eastAsia="黑体" w:cs="黑体"/>
          <w:color w:val="auto"/>
          <w:spacing w:val="-60"/>
          <w:sz w:val="31"/>
          <w:szCs w:val="31"/>
          <w:highlight w:val="none"/>
          <w:lang w:val="en-US" w:eastAsia="zh-CN"/>
        </w:rPr>
        <w:t>3</w:t>
      </w:r>
    </w:p>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36"/>
          <w:szCs w:val="36"/>
          <w:highlight w:val="none"/>
          <w:lang w:eastAsia="zh-CN"/>
        </w:rPr>
      </w:pPr>
      <w:r>
        <w:rPr>
          <w:rFonts w:hint="eastAsia" w:ascii="方正小标宋简体" w:hAnsi="方正小标宋简体" w:eastAsia="方正小标宋简体" w:cs="方正小标宋简体"/>
          <w:b w:val="0"/>
          <w:bCs w:val="0"/>
          <w:color w:val="auto"/>
          <w:spacing w:val="2"/>
          <w:sz w:val="36"/>
          <w:szCs w:val="36"/>
          <w:highlight w:val="none"/>
          <w:lang w:eastAsia="zh-CN"/>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lang w:eastAsia="zh-CN"/>
        </w:rPr>
        <w:t>年度项目支出绩效自评表</w:t>
      </w:r>
    </w:p>
    <w:tbl>
      <w:tblPr>
        <w:tblStyle w:val="8"/>
        <w:tblW w:w="9720" w:type="dxa"/>
        <w:jc w:val="center"/>
        <w:shd w:val="clear" w:color="auto" w:fill="auto"/>
        <w:tblLayout w:type="autofit"/>
        <w:tblCellMar>
          <w:top w:w="0" w:type="dxa"/>
          <w:left w:w="0" w:type="dxa"/>
          <w:bottom w:w="0" w:type="dxa"/>
          <w:right w:w="0" w:type="dxa"/>
        </w:tblCellMar>
      </w:tblPr>
      <w:tblGrid>
        <w:gridCol w:w="1080"/>
        <w:gridCol w:w="1080"/>
        <w:gridCol w:w="210"/>
        <w:gridCol w:w="870"/>
        <w:gridCol w:w="1080"/>
        <w:gridCol w:w="1080"/>
        <w:gridCol w:w="1080"/>
        <w:gridCol w:w="1080"/>
        <w:gridCol w:w="1080"/>
        <w:gridCol w:w="1080"/>
      </w:tblGrid>
      <w:tr>
        <w:tblPrEx>
          <w:shd w:val="clear" w:color="auto" w:fill="auto"/>
          <w:tblCellMar>
            <w:top w:w="0" w:type="dxa"/>
            <w:left w:w="0" w:type="dxa"/>
            <w:bottom w:w="0" w:type="dxa"/>
            <w:right w:w="0"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3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岳阳市岳阳楼区人民政府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岳阳市岳阳楼区人民政府金融工作办公室</w:t>
            </w:r>
          </w:p>
        </w:tc>
      </w:tr>
      <w:tr>
        <w:tblPrEx>
          <w:shd w:val="clear" w:color="auto" w:fill="auto"/>
          <w:tblCellMar>
            <w:top w:w="0" w:type="dxa"/>
            <w:left w:w="0" w:type="dxa"/>
            <w:bottom w:w="0" w:type="dxa"/>
            <w:right w:w="0" w:type="dxa"/>
          </w:tblCellMar>
        </w:tblPrEx>
        <w:trPr>
          <w:trHeight w:val="130" w:hRule="atLeast"/>
          <w:jc w:val="center"/>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shd w:val="clear" w:color="auto" w:fill="auto"/>
          <w:tblCellMar>
            <w:top w:w="0" w:type="dxa"/>
            <w:left w:w="0" w:type="dxa"/>
            <w:bottom w:w="0" w:type="dxa"/>
            <w:right w:w="0" w:type="dxa"/>
          </w:tblCellMar>
        </w:tblPrEx>
        <w:trPr>
          <w:trHeight w:val="130" w:hRule="atLeast"/>
          <w:jc w:val="center"/>
        </w:trPr>
        <w:tc>
          <w:tcPr>
            <w:tcW w:w="108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w:t>
            </w:r>
          </w:p>
        </w:tc>
      </w:tr>
      <w:tr>
        <w:tblPrEx>
          <w:tblCellMar>
            <w:top w:w="0" w:type="dxa"/>
            <w:left w:w="0" w:type="dxa"/>
            <w:bottom w:w="0" w:type="dxa"/>
            <w:right w:w="0" w:type="dxa"/>
          </w:tblCellMar>
        </w:tblPrEx>
        <w:trPr>
          <w:trHeight w:val="130" w:hRule="atLeast"/>
          <w:jc w:val="center"/>
        </w:trPr>
        <w:tc>
          <w:tcPr>
            <w:tcW w:w="108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其中:当年财政拨款</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0" w:hRule="atLeast"/>
          <w:jc w:val="center"/>
        </w:trPr>
        <w:tc>
          <w:tcPr>
            <w:tcW w:w="108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上年结转金额</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0" w:hRule="atLeast"/>
          <w:jc w:val="center"/>
        </w:trPr>
        <w:tc>
          <w:tcPr>
            <w:tcW w:w="108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其它资金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shd w:val="clear" w:color="auto" w:fill="auto"/>
          <w:tblCellMar>
            <w:top w:w="0" w:type="dxa"/>
            <w:left w:w="0" w:type="dxa"/>
            <w:bottom w:w="0" w:type="dxa"/>
            <w:right w:w="0" w:type="dxa"/>
          </w:tblCellMar>
        </w:tblPrEx>
        <w:trPr>
          <w:trHeight w:val="123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20" w:type="dxa"/>
            <w:gridSpan w:val="5"/>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 大力推进全区金融市场体系建设,贯彻执行国家有关金融工作方针政策法律法规，组织拟定金融领域有关地方性文件草案，组织拟定金融业发展战略，中长期规划，组织拟定全区金融行业服务；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2、金融办主要负责研究国家金融政策,宏观金融形势和全区金融运行情况,会同有关部门发展的意见和政策，贯彻执行上级证券、期货、保险市场发展规划，相关政策并组织实施，提升企业竞争力；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3、加快陈案化解，坚持统筹推进打击和处置非法集资,强化风险防控，全面形成“横向到边，纵向到底”的三级处非工作网络，开展专项行动预防经济犯罪宣传活动等。</w:t>
            </w:r>
          </w:p>
        </w:tc>
        <w:tc>
          <w:tcPr>
            <w:tcW w:w="4320" w:type="dxa"/>
            <w:gridSpan w:val="4"/>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在区委区政府的坚强领导下，我中心以服务高质量发展为宗旨，围绕加快构建和完善适应引领区和首善之区建设的现代金融服务体系开展工作，各项指标稳中有升。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1、推进招商引企工作。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2、推进“金芙蓉”跃升行动。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3、完善融资担保体系。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4、缓解小微企业融资困难。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5、落实“七联七包”责任。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6、优化金融生态环境。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7、强化地方金融监管。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8、依法履行处非职责。</w:t>
            </w:r>
          </w:p>
        </w:tc>
      </w:tr>
      <w:tr>
        <w:tblPrEx>
          <w:shd w:val="clear" w:color="auto" w:fill="auto"/>
          <w:tblCellMar>
            <w:top w:w="0" w:type="dxa"/>
            <w:left w:w="0" w:type="dxa"/>
            <w:bottom w:w="0" w:type="dxa"/>
            <w:right w:w="0" w:type="dxa"/>
          </w:tblCellMar>
        </w:tblPrEx>
        <w:trPr>
          <w:trHeight w:val="33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2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20"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偏差原因分析及改进措施</w:t>
            </w:r>
          </w:p>
        </w:tc>
      </w:tr>
      <w:tr>
        <w:tblPrEx>
          <w:shd w:val="clear" w:color="auto" w:fill="auto"/>
          <w:tblCellMar>
            <w:top w:w="0" w:type="dxa"/>
            <w:left w:w="0" w:type="dxa"/>
            <w:bottom w:w="0" w:type="dxa"/>
            <w:right w:w="0"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6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举办防范和打击非法集资宣传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多部门联动开展大型防范和处置非法集资宣传教育活动3次，宣传海报、悬挂横幅、发送短信5次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1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金融监管小贷公司、典当行检查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每季度开展现场检查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引进保险公司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处非资金拨付及时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业务工作经费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≤78.8万元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27.86万元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9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“金芙蓉”跃升，股交所挂牌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防范化解地方金融风险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金融机构风险隐患排查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全区开展排查，收集了60家金融机构的金融领域风险隐患自查表。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9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非法金融活动预警排查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辖区内开展排查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多次联动对重点楼宇开展排查工作，提升预警能力，做到早发现、早预警、早处置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不适用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不适用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不适用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接待质量提高，信访维稳及挽损满意度评价，公众满意度不低于90%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1.接待质量提高，信访维稳及挽损满意度评价。 2.公众满意度不低于90%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jc w:val="center"/>
        </w:trPr>
        <w:tc>
          <w:tcPr>
            <w:tcW w:w="64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2"/>
          <w:szCs w:val="22"/>
          <w:highlight w:val="none"/>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Theme="minorEastAsia"/>
          <w:color w:val="auto"/>
          <w:highlight w:val="none"/>
          <w:lang w:eastAsia="zh-CN"/>
        </w:rPr>
      </w:pPr>
      <w:r>
        <w:rPr>
          <w:rFonts w:hint="eastAsia" w:ascii="宋体" w:hAnsi="宋体" w:eastAsia="宋体" w:cs="宋体"/>
          <w:color w:val="auto"/>
          <w:spacing w:val="0"/>
          <w:position w:val="0"/>
          <w:sz w:val="22"/>
          <w:szCs w:val="22"/>
          <w:highlight w:val="none"/>
        </w:rPr>
        <w:t>填表人：</w:t>
      </w:r>
      <w:r>
        <w:rPr>
          <w:rFonts w:hint="eastAsia" w:ascii="宋体" w:hAnsi="宋体" w:eastAsia="宋体" w:cs="宋体"/>
          <w:color w:val="auto"/>
          <w:spacing w:val="0"/>
          <w:position w:val="0"/>
          <w:sz w:val="22"/>
          <w:szCs w:val="22"/>
          <w:highlight w:val="none"/>
          <w:lang w:eastAsia="zh-CN"/>
        </w:rPr>
        <w:t>易帆</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联系电话：</w:t>
      </w:r>
      <w:r>
        <w:rPr>
          <w:rFonts w:hint="eastAsia" w:ascii="宋体" w:hAnsi="宋体" w:eastAsia="宋体" w:cs="宋体"/>
          <w:color w:val="auto"/>
          <w:spacing w:val="0"/>
          <w:position w:val="0"/>
          <w:sz w:val="23"/>
          <w:szCs w:val="23"/>
          <w:highlight w:val="none"/>
          <w:lang w:val="en-US" w:eastAsia="zh-CN"/>
        </w:rPr>
        <w:t>13975051506</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填报日期：</w:t>
      </w:r>
      <w:r>
        <w:rPr>
          <w:rFonts w:hint="eastAsia" w:ascii="宋体" w:hAnsi="宋体" w:eastAsia="宋体" w:cs="宋体"/>
          <w:color w:val="auto"/>
          <w:spacing w:val="0"/>
          <w:position w:val="0"/>
          <w:sz w:val="23"/>
          <w:szCs w:val="23"/>
          <w:highlight w:val="none"/>
          <w:lang w:val="en-US" w:eastAsia="zh-CN"/>
        </w:rPr>
        <w:t>2025.7.</w:t>
      </w:r>
      <w:r>
        <w:rPr>
          <w:rFonts w:hint="eastAsia" w:ascii="宋体" w:hAnsi="宋体" w:cs="宋体"/>
          <w:color w:val="auto"/>
          <w:spacing w:val="0"/>
          <w:position w:val="0"/>
          <w:sz w:val="23"/>
          <w:szCs w:val="23"/>
          <w:highlight w:val="none"/>
          <w:lang w:val="en-US" w:eastAsia="zh-CN"/>
        </w:rPr>
        <w:t>9</w:t>
      </w:r>
      <w:bookmarkStart w:id="0" w:name="_GoBack"/>
      <w:bookmarkEnd w:id="0"/>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cs="宋体"/>
          <w:color w:val="auto"/>
          <w:spacing w:val="0"/>
          <w:position w:val="0"/>
          <w:sz w:val="23"/>
          <w:szCs w:val="23"/>
          <w:highlight w:val="none"/>
          <w:lang w:val="en-US" w:eastAsia="zh-CN"/>
        </w:rPr>
        <w:t xml:space="preserve">     </w:t>
      </w:r>
    </w:p>
    <w:p>
      <w:pPr>
        <w:pStyle w:val="2"/>
        <w:rPr>
          <w:rFonts w:hint="default"/>
          <w:lang w:val="en-US" w:eastAsia="zh-CN"/>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A62F68"/>
    <w:multiLevelType w:val="singleLevel"/>
    <w:tmpl w:val="B1A62F68"/>
    <w:lvl w:ilvl="0" w:tentative="0">
      <w:start w:val="4"/>
      <w:numFmt w:val="chineseCounting"/>
      <w:suff w:val="nothing"/>
      <w:lvlText w:val="%1、"/>
      <w:lvlJc w:val="left"/>
      <w:rPr>
        <w:rFonts w:hint="eastAsia"/>
      </w:rPr>
    </w:lvl>
  </w:abstractNum>
  <w:abstractNum w:abstractNumId="1">
    <w:nsid w:val="B82BC52E"/>
    <w:multiLevelType w:val="singleLevel"/>
    <w:tmpl w:val="B82BC52E"/>
    <w:lvl w:ilvl="0" w:tentative="0">
      <w:start w:val="1"/>
      <w:numFmt w:val="decimal"/>
      <w:suff w:val="nothing"/>
      <w:lvlText w:val="%1、"/>
      <w:lvlJc w:val="left"/>
    </w:lvl>
  </w:abstractNum>
  <w:abstractNum w:abstractNumId="2">
    <w:nsid w:val="3316DE5C"/>
    <w:multiLevelType w:val="singleLevel"/>
    <w:tmpl w:val="3316DE5C"/>
    <w:lvl w:ilvl="0" w:tentative="0">
      <w:start w:val="1"/>
      <w:numFmt w:val="decimal"/>
      <w:suff w:val="nothing"/>
      <w:lvlText w:val="%1、"/>
      <w:lvlJc w:val="left"/>
    </w:lvl>
  </w:abstractNum>
  <w:abstractNum w:abstractNumId="3">
    <w:nsid w:val="4F515174"/>
    <w:multiLevelType w:val="singleLevel"/>
    <w:tmpl w:val="4F515174"/>
    <w:lvl w:ilvl="0" w:tentative="0">
      <w:start w:val="2"/>
      <w:numFmt w:val="decimal"/>
      <w:suff w:val="nothing"/>
      <w:lvlText w:val="%1、"/>
      <w:lvlJc w:val="left"/>
    </w:lvl>
  </w:abstractNum>
  <w:abstractNum w:abstractNumId="4">
    <w:nsid w:val="56F6E47E"/>
    <w:multiLevelType w:val="singleLevel"/>
    <w:tmpl w:val="56F6E47E"/>
    <w:lvl w:ilvl="0" w:tentative="0">
      <w:start w:val="2"/>
      <w:numFmt w:val="decimal"/>
      <w:suff w:val="nothing"/>
      <w:lvlText w:val="%1、"/>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3F71"/>
    <w:rsid w:val="027517C6"/>
    <w:rsid w:val="03683168"/>
    <w:rsid w:val="07220648"/>
    <w:rsid w:val="107C5853"/>
    <w:rsid w:val="17FA4880"/>
    <w:rsid w:val="182E027E"/>
    <w:rsid w:val="1B2A4967"/>
    <w:rsid w:val="20540026"/>
    <w:rsid w:val="22B120D8"/>
    <w:rsid w:val="26F76880"/>
    <w:rsid w:val="28897C1B"/>
    <w:rsid w:val="30077D7C"/>
    <w:rsid w:val="3B6410D0"/>
    <w:rsid w:val="3BDB50A1"/>
    <w:rsid w:val="419314C4"/>
    <w:rsid w:val="41E155DA"/>
    <w:rsid w:val="468138BA"/>
    <w:rsid w:val="49BE4B2E"/>
    <w:rsid w:val="4C68188D"/>
    <w:rsid w:val="4D7759CF"/>
    <w:rsid w:val="4E176A87"/>
    <w:rsid w:val="50EB303B"/>
    <w:rsid w:val="54121FAC"/>
    <w:rsid w:val="54AC2088"/>
    <w:rsid w:val="587640BC"/>
    <w:rsid w:val="59D006DD"/>
    <w:rsid w:val="5A675962"/>
    <w:rsid w:val="5A9614C2"/>
    <w:rsid w:val="5DF42CAF"/>
    <w:rsid w:val="61B45BC9"/>
    <w:rsid w:val="647D3F3A"/>
    <w:rsid w:val="6D1C391A"/>
    <w:rsid w:val="6DCE45F1"/>
    <w:rsid w:val="70804EC0"/>
    <w:rsid w:val="74BB0A29"/>
    <w:rsid w:val="74CD637C"/>
    <w:rsid w:val="769D3E04"/>
    <w:rsid w:val="7A563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Calibri" w:hAnsi="Calibri" w:eastAsia="宋体" w:cs="Times New Roman"/>
    </w:rPr>
  </w:style>
  <w:style w:type="paragraph" w:styleId="4">
    <w:name w:val="Body Text Indent"/>
    <w:basedOn w:val="1"/>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next w:val="1"/>
    <w:semiHidden/>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7">
    <w:name w:val="Body Text First Indent 2"/>
    <w:basedOn w:val="4"/>
    <w:qFormat/>
    <w:uiPriority w:val="99"/>
    <w:pPr>
      <w:ind w:firstLine="420" w:firstLineChars="200"/>
    </w:p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2025-07-02T08:22:00Z</dcterms:created>
  <dc:creator>Administrator</dc:creator>
  <cp:lastModifiedBy>杨艳君</cp:lastModifiedBy>
  <dcterms:modified xsi:type="dcterms:W3CDTF">2025-07-14T06:58:19Z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