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DD71">
      <w:pPr>
        <w:pStyle w:val="3"/>
        <w:spacing w:before="102"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  <w:r>
        <w:drawing>
          <wp:inline distT="0" distB="0" distL="114300" distR="114300">
            <wp:extent cx="5520690" cy="7819390"/>
            <wp:effectExtent l="0" t="0" r="11430" b="13970"/>
            <wp:docPr id="1" name="图片 1" descr="长动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长动小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78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C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岳阳市岳阳楼区长动小学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39BDC8B2">
      <w:pPr>
        <w:spacing w:line="283" w:lineRule="auto"/>
        <w:rPr>
          <w:rFonts w:ascii="Arial"/>
          <w:sz w:val="21"/>
        </w:rPr>
      </w:pPr>
    </w:p>
    <w:p w14:paraId="29635C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7816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647C2FF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1、宣传贯彻执行党和国家的教育方针、政策、法律法规等，坚持依法治教、依法治学，贯彻执行岳阳楼区教育局的行政规章制度。</w:t>
      </w:r>
    </w:p>
    <w:p w14:paraId="699F55F7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2、维护学校的教学秩序，为学生创造良好的学习环境。</w:t>
      </w:r>
    </w:p>
    <w:p w14:paraId="3A61ADA3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3、积极稳妥地推进教育改革，按教育规律办事，不断提高教育质量。</w:t>
      </w:r>
    </w:p>
    <w:p w14:paraId="164F4794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4、根据学校规模，设置学校管理机构，建立健全各项规章制度和岗位责任制。</w:t>
      </w:r>
    </w:p>
    <w:p w14:paraId="5014BC4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5、坚持教书育人，服务育人，环境育人方针，加强对学生的思想品德教育，使学生的德智体全面发展。</w:t>
      </w:r>
    </w:p>
    <w:p w14:paraId="3C545323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6、抓好教师队伍建设，使每个教师都热心于教育事业。</w:t>
      </w:r>
    </w:p>
    <w:p w14:paraId="745B622D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7、做好安全防范，保证学生的人身安全。</w:t>
      </w:r>
    </w:p>
    <w:p w14:paraId="2B02FA5D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2B6BB080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87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人，其中：在职编制46人；离退休4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人。其中：事业编制职工46人。</w:t>
      </w:r>
    </w:p>
    <w:p w14:paraId="6965D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13548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1：抓好教学教育工作，不断提高教育质量。加强教学常规工作管理，抓好教学质量，按时按质完成电子学籍的申报工作。</w:t>
      </w:r>
    </w:p>
    <w:p w14:paraId="10E4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2：抓好教师队伍建设，打造德才兼备的教师队伍。加强教师目标管理、师德教育，进行教师培训，狠抓教师队伍建设，打造一支品德高尚、业务过硬、德才兼备的教师队伍。</w:t>
      </w:r>
    </w:p>
    <w:p w14:paraId="75F0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3：开展各项教研活动，持续提高教学质量。积极开展课题为主的教研活动和教学竞赛，完成论文的撰写，提升教师整体素质。</w:t>
      </w:r>
    </w:p>
    <w:p w14:paraId="187D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4：加强对学生的思想品德教育，使学生的德智体全面发展。加强学校德育工作和班主任队伍建设,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</w:r>
    </w:p>
    <w:p w14:paraId="6199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5：全方位保障校园安全。加强学校安全工作，切实做好交通安全、防溺水安全、防火安全、食品安全等工作，规范食堂管理，确保食品安全卫生，争取本年内无校方安全责任事故和食品安全责任事故。</w:t>
      </w:r>
    </w:p>
    <w:p w14:paraId="2645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6：完成上级部门交给的其他工作，按时完成上级部门交给的创文创卫工作和其他工作。</w:t>
      </w:r>
    </w:p>
    <w:p w14:paraId="1356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9C8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45DDB7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1042.20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AEA622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684.83万元：包括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169.36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16.82万元；奖金86.51万元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伙食补助费16.81万元；绩效工资136.37万元；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63.08万元；职工基本医疗保险缴费23.58万元；其他社会保障缴费4.17万元；住房公积金43.67万元；其他工资福利30.12万元；退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30.35万元；生活补助63.69万元；奖励金0.30万元。 </w:t>
      </w:r>
    </w:p>
    <w:p w14:paraId="59193912">
      <w:pPr>
        <w:spacing w:line="240" w:lineRule="auto"/>
        <w:ind w:firstLine="600" w:firstLineChars="200"/>
        <w:rPr>
          <w:rFonts w:hint="default" w:ascii="楷体" w:hAnsi="楷体" w:eastAsia="楷体" w:cs="楷体"/>
          <w:spacing w:val="9"/>
          <w:position w:val="21"/>
          <w:sz w:val="31"/>
          <w:szCs w:val="31"/>
          <w:lang w:val="en-US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357.37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6.63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1.63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1.73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6.21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6.70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会议费2.90万元；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2.64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225.85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委托业务费</w:t>
      </w:r>
      <w:r>
        <w:rPr>
          <w:rFonts w:hint="eastAsia" w:ascii="仿宋" w:hAnsi="仿宋" w:eastAsia="仿宋" w:cs="仿宋"/>
          <w:bCs/>
          <w:sz w:val="30"/>
          <w:szCs w:val="30"/>
        </w:rPr>
        <w:t>0.01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</w:rPr>
        <w:t>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2.60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88.29万元；办公设备购置12.18万元。</w:t>
      </w:r>
    </w:p>
    <w:p w14:paraId="3BD3FFA5">
      <w:pPr>
        <w:pStyle w:val="2"/>
      </w:pPr>
    </w:p>
    <w:p w14:paraId="274C12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3CD31CB3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200.96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FA4B5FA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31.45万元；津贴补贴13.28万元；奖金10.32万元；绩效工资12.35万元；机关事业单位基本养老保险缴费4.90万元；职工基本医疗保险缴费1.96万元；其他社会保障缴费1.60万元；住房公积金4.44万元；其他工资福利34.37万元；奖励金1.62万元；办公费2.58万元；印刷费2.48万元；水费0.23万元；电费0.21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3.28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会议费0.28万元；专用材料费2.97万元；工会经费4.86万元；其他商品和服务支出2.98万元；抚恤金15.34万元；生活补助30.06万元；其他对个人和家庭的补助4.40万元；大型修缮15.00万元。</w:t>
      </w:r>
    </w:p>
    <w:p w14:paraId="63BC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57580F41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71C356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5E29BC4E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490881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268024A7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607DC4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74114A3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长动小学作为教育体系中的重要组成部分，其单位整体支出绩效情况对于学校的可持续发展、教育教学质量的提升以及教育资源的有效利用具有关键意义。通过对学校整体支出绩效的深入分析，能够清晰了解资金的使用方向、效益以及存在的问题，为优化资源配置、提高资金使用效率提供有力依据，进而推动学校教育事业的高质量发展。</w:t>
      </w:r>
    </w:p>
    <w:p w14:paraId="56659546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7CF0790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6EE5D785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半年我校开展了第七届“常青杯”青年教师教学竞赛活动，26位三十岁以下的老师进行教学比武。下半年开展了第二届中年骨干教师的展示课活动，25位经验丰富的老师向老师们展示精彩的课堂，传授教学经验。我校教师还积极参加线上、线下培训，本学年参与外出培训的教师人数共计32人次。语文、数学、英语、音乐、道法等多个学科的教师参加楼区的名师工作室学习，其中道法学科的曾凡昱老师为名师，语文学科的张小千、彭兰昕老师，音乐学科的易岚老师为骨干教师。今年我校语文、体育、英语、音乐四个学科进行了小课题研究，并顺利结题。在研究中，有10余人次撰写的论文获得了省级、区级等奖项。</w:t>
      </w:r>
    </w:p>
    <w:p w14:paraId="3E1C8E32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72088AF9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，语文教研组开展了系列教研活动，包括主题学习，经典诵读，讲故事比赛，阅读节，写字比赛等，都获得了一致好评。数学教研组开展了“欢乐六一，数学文化节”活动，以游园会的形式让学生从游戏中感受数学带来的乐趣。我校啦啦操代表队在岳阳楼区中小学啦啦操比赛中获得小学A组自选花球啦啦操二等奖。作为全国校园足球特色校，楼区篮球特色校，我校在9月份楼区教育局组织的小学生足球联赛中男子组取得甲组第三，女子组取得第三名的优异成绩，并获得参加市运会的资格。在11月份的楼区中小学篮球比赛中我校篮球队获得男子乙组冠军。</w:t>
      </w:r>
    </w:p>
    <w:p w14:paraId="30C14F0E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2C36BF16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及时完成在校学生的春、秋两季教学计划，及时发放教职工的工资及福利待遇。</w:t>
      </w:r>
    </w:p>
    <w:p w14:paraId="58D83F42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6EDC37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全年经费开支控制在预算以内。</w:t>
      </w:r>
    </w:p>
    <w:p w14:paraId="0BE6280B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71AED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3E2F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6E960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293D9FD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年初，我校申报了区级“清廉学校示范点”。一年来，我校积极营造校园廉洁氛围，坚持开展丰富多彩的廉洁文化进校园活动，通过观看反腐倡廉教育影视片、上党风廉政教育课、开展学生清廉书画比赛、清廉故事会和主题班会、“清廉杯”课堂教学比武、家长学校培训和优秀家风示范家庭评比等活动，使廉洁文化渗透到教育、教学、管理的各个环节和每一位师生心中。2024年4月，我校青年教师自编自演的《清廉进校园》快板舞在岳阳楼区清廉警示教育活动中精彩演出，获得嘉宾的一致好评。“清廉学校”的创建工作在推进我校的党风、校风、教风、学风、家风等方面取得了显著成效。 </w:t>
      </w:r>
    </w:p>
    <w:p w14:paraId="78DBB6A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2DA51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开展环境保护教育，提升教职工及学生生态环保意识。</w:t>
      </w:r>
    </w:p>
    <w:p w14:paraId="065F8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3E3BB5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722FE985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24966E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学生满意度96%，家长满意度96%，教职工满意度98%。</w:t>
      </w:r>
    </w:p>
    <w:p w14:paraId="783559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60787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1.各年级、各班学科成绩参差不齐，教学质量有待提升。</w:t>
      </w:r>
    </w:p>
    <w:p w14:paraId="48F1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2.一些年轻教师缺乏教学经验、教学效果不佳。</w:t>
      </w:r>
    </w:p>
    <w:p w14:paraId="1A381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3.功能室的设备老旧，急需更新。</w:t>
      </w:r>
    </w:p>
    <w:p w14:paraId="683E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23C2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1.加强各学科带头人的引领作用，加快青年教师的专业成长。</w:t>
      </w:r>
    </w:p>
    <w:p w14:paraId="620B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2.丰富校园文化建设，发展学生个性特长，打造学校亮点工程。</w:t>
      </w:r>
    </w:p>
    <w:p w14:paraId="520E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3.想尽一切办法提高教学质量。</w:t>
      </w:r>
    </w:p>
    <w:p w14:paraId="64F2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4.进一步明确学校未来3到5年发展规划。</w:t>
      </w:r>
    </w:p>
    <w:p w14:paraId="3170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05C84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部门整体支出绩效评价指标体系，长动小学在2024年度取得了较好的评价结果。体现在资金使用、项目管理、教育教学成果等多个方面的出色表现。在资金使用上，学校严格按照预算安排进行支出，确保资金使用的合理性和合规性。在项目管理方面，无论是改造工程还是教学专项项目，都能按照计划有序推进，保证项目质量。教育教学成果显著，学生在学业成绩、综合素质发展等方面都取得了进步。同时将部门整体支出绩效自评报告在单位门户网站上进行公开，广泛接受社会监督。</w:t>
      </w:r>
    </w:p>
    <w:p w14:paraId="73E112B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0A863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A90FF4E">
      <w:pPr>
        <w:pStyle w:val="2"/>
        <w:rPr>
          <w:rFonts w:ascii="Arial"/>
          <w:sz w:val="21"/>
        </w:rPr>
      </w:pPr>
    </w:p>
    <w:p w14:paraId="386F12C1">
      <w:pPr>
        <w:pStyle w:val="2"/>
        <w:rPr>
          <w:rFonts w:ascii="Arial"/>
          <w:sz w:val="21"/>
        </w:rPr>
      </w:pPr>
    </w:p>
    <w:p w14:paraId="3246C687">
      <w:pPr>
        <w:pStyle w:val="2"/>
        <w:rPr>
          <w:rFonts w:ascii="Arial"/>
          <w:sz w:val="21"/>
        </w:rPr>
      </w:pPr>
    </w:p>
    <w:p w14:paraId="09610445">
      <w:pPr>
        <w:pStyle w:val="2"/>
        <w:rPr>
          <w:rFonts w:ascii="Arial"/>
          <w:sz w:val="21"/>
        </w:rPr>
      </w:pPr>
    </w:p>
    <w:p w14:paraId="63C838B1">
      <w:pPr>
        <w:pStyle w:val="2"/>
        <w:rPr>
          <w:rFonts w:ascii="Arial"/>
          <w:sz w:val="21"/>
        </w:rPr>
      </w:pPr>
    </w:p>
    <w:p w14:paraId="6EFDCAE2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5F4BDD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hint="eastAsia"/>
          <w:spacing w:val="8"/>
        </w:rPr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0997FD5D">
      <w:pPr>
        <w:spacing w:line="115" w:lineRule="exact"/>
        <w:rPr>
          <w:color w:val="000000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eastAsia="zh-CN"/>
              </w:rPr>
              <w:t>岳阳市岳阳楼区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长动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2"/>
                <w:szCs w:val="22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154.35%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2"/>
                <w:szCs w:val="22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2"/>
                <w:szCs w:val="22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37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200.96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6AC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200.96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07D7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6043F62B">
            <w:pPr>
              <w:spacing w:before="85" w:line="220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FBB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63C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C29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公用经费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8E1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81.62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72DF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76.68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A7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357.37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其中：办公经费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97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13.69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285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21.23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E9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9.21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水费、电费、差旅费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210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9.42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FB4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F6F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8.37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会议费、培训费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5C2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7.89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0A6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CE0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5.83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政府采购金额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96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81.89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D26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76.68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5C2C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52.25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2"/>
                <w:szCs w:val="22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坚持开展宣传教育、建全工作机制、建章立制、监督检查、加强管理</w:t>
            </w:r>
            <w:bookmarkStart w:id="0" w:name="_GoBack"/>
            <w:bookmarkEnd w:id="0"/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郑水军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联系电话：13575035036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2025年7月3日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年度预算单位整体支出绩效自评表</w:t>
      </w:r>
    </w:p>
    <w:p w14:paraId="42B8247D">
      <w:pPr>
        <w:spacing w:line="132" w:lineRule="exact"/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332"/>
        <w:gridCol w:w="1584"/>
        <w:gridCol w:w="1164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岳阳市岳阳楼区长动小学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年初预算数</w:t>
            </w:r>
          </w:p>
        </w:tc>
        <w:tc>
          <w:tcPr>
            <w:tcW w:w="1584" w:type="dxa"/>
            <w:noWrap w:val="0"/>
            <w:vAlign w:val="top"/>
          </w:tcPr>
          <w:p w14:paraId="224AB50B">
            <w:pPr>
              <w:spacing w:before="20" w:line="208" w:lineRule="auto"/>
              <w:ind w:left="159" w:firstLine="196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全年预算数</w:t>
            </w:r>
          </w:p>
        </w:tc>
        <w:tc>
          <w:tcPr>
            <w:tcW w:w="1164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年度资金总额</w:t>
            </w:r>
          </w:p>
        </w:tc>
        <w:tc>
          <w:tcPr>
            <w:tcW w:w="1332" w:type="dxa"/>
            <w:noWrap w:val="0"/>
            <w:vAlign w:val="center"/>
          </w:tcPr>
          <w:p w14:paraId="4EBABD1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714.49</w:t>
            </w:r>
          </w:p>
        </w:tc>
        <w:tc>
          <w:tcPr>
            <w:tcW w:w="1584" w:type="dxa"/>
            <w:noWrap w:val="0"/>
            <w:vAlign w:val="center"/>
          </w:tcPr>
          <w:p w14:paraId="1894813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1251.16</w:t>
            </w:r>
          </w:p>
        </w:tc>
        <w:tc>
          <w:tcPr>
            <w:tcW w:w="1164" w:type="dxa"/>
            <w:noWrap w:val="0"/>
            <w:vAlign w:val="center"/>
          </w:tcPr>
          <w:p w14:paraId="19B4ED86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1243.16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8"/>
                <w:szCs w:val="18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99.36%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9.94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24DD533E">
            <w:pPr>
              <w:spacing w:line="193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916.00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1245705">
            <w:pPr>
              <w:spacing w:line="194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1042.20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6A066E16">
            <w:pPr>
              <w:spacing w:line="20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政府性基金拨款：6.33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19FA3FE7">
            <w:pPr>
              <w:spacing w:line="201" w:lineRule="auto"/>
              <w:ind w:firstLine="720" w:firstLineChars="4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200.96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103DEC4D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36CFBBEE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5A62EA7F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328.83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C4263E1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25981AB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253EBBBE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390C0800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  <w:t>年度总体目标</w:t>
            </w:r>
          </w:p>
        </w:tc>
        <w:tc>
          <w:tcPr>
            <w:tcW w:w="5004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13E796BD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目标1：抓好教学教育工作，不断提高教育质量。加强教学常规工作管理，抓好教学质量，按时按质完成电子学籍的申报工作。</w:t>
            </w:r>
          </w:p>
          <w:p w14:paraId="3D389831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目标2：抓好教师队伍建设，打造德才兼备的教师队伍。加强教师目标管理、师德教育，进行教师培训，狠抓教师队伍建设，打造一支品德高尚、业务过硬、德才兼备的教师队伍。</w:t>
            </w:r>
          </w:p>
          <w:p w14:paraId="2ACCC35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目标3：开展各项教研活动，持续提高教学质量。积极开展课题为主的教研活动和教学竞赛，完成论文的撰写，提升教师整体素质。</w:t>
            </w:r>
          </w:p>
          <w:p w14:paraId="6B94FDD8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目标4：加强对学生的思想品德教育，使学生的德智体全面发展。加强学校德育工作和班主任队伍建设,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      </w:r>
          </w:p>
          <w:p w14:paraId="16C7DA44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目标5：全方位保障校园安全。加强学校安全工作，切实做好交通安全、防溺水安全、防火安全、食品安全等工作，规范食堂管理，确保食品安全卫生，争取本年内无校方安全责任事故和食品安全责任事故。</w:t>
            </w:r>
          </w:p>
          <w:p w14:paraId="58BC91FC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目标6：完成上级部门交给的其他工作，按时完成上级部门交给的创文创卫工作和其他工作。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E77539D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目标1：教育教学质量逐渐提升。</w:t>
            </w:r>
          </w:p>
          <w:p w14:paraId="3BB4BADF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目标2：教师积极参与各项培训。</w:t>
            </w:r>
          </w:p>
          <w:p w14:paraId="43E17DD2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目标3：教学工作展现新气象，抓关键——关注课堂提升质量，抓实质——优化作业减负向上。</w:t>
            </w:r>
          </w:p>
          <w:p w14:paraId="4FC68A91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目标4：学生积极参与班队活动，促进各班之间的良性竞争。</w:t>
            </w:r>
          </w:p>
          <w:p w14:paraId="77970901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5：精心策划并制作了系列安全教育小视频，涵盖交通安全、消防安全、食品安全、网络安全等多个方面。利用班级微信群、希沃等多媒体平台，定期发布安全教育小视频，确保每位学生及家长都能及时观看学习。</w:t>
            </w:r>
          </w:p>
          <w:p w14:paraId="3728C6BA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目标6：按时完成上级部门交给的工作。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9"/>
                <w:sz w:val="18"/>
                <w:szCs w:val="18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332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584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164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8"/>
                <w:szCs w:val="18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2596CDB">
            <w:pPr>
              <w:spacing w:before="274" w:line="226" w:lineRule="auto"/>
              <w:ind w:firstLine="192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09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584" w:type="dxa"/>
            <w:noWrap w:val="0"/>
            <w:vAlign w:val="center"/>
          </w:tcPr>
          <w:p w14:paraId="327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≥1000人</w:t>
            </w:r>
          </w:p>
        </w:tc>
        <w:tc>
          <w:tcPr>
            <w:tcW w:w="1164" w:type="dxa"/>
            <w:noWrap w:val="0"/>
            <w:vAlign w:val="center"/>
          </w:tcPr>
          <w:p w14:paraId="5BB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6" w:type="dxa"/>
            <w:noWrap w:val="0"/>
            <w:vAlign w:val="top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DA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8AE7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7CC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noWrap w:val="0"/>
            <w:vAlign w:val="top"/>
          </w:tcPr>
          <w:p w14:paraId="1F2CD21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D6A8A9E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教师培训次数</w:t>
            </w:r>
          </w:p>
        </w:tc>
        <w:tc>
          <w:tcPr>
            <w:tcW w:w="1584" w:type="dxa"/>
            <w:noWrap w:val="0"/>
            <w:vAlign w:val="center"/>
          </w:tcPr>
          <w:p w14:paraId="5C4F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≧3次</w:t>
            </w:r>
          </w:p>
        </w:tc>
        <w:tc>
          <w:tcPr>
            <w:tcW w:w="1164" w:type="dxa"/>
            <w:noWrap w:val="0"/>
            <w:vAlign w:val="center"/>
          </w:tcPr>
          <w:p w14:paraId="719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576" w:type="dxa"/>
            <w:noWrap w:val="0"/>
            <w:vAlign w:val="center"/>
          </w:tcPr>
          <w:p w14:paraId="6A6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 w14:paraId="3495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36" w:type="dxa"/>
            <w:noWrap w:val="0"/>
            <w:vAlign w:val="top"/>
          </w:tcPr>
          <w:p w14:paraId="396B3C9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1AC86AE">
            <w:pPr>
              <w:spacing w:before="273" w:line="226" w:lineRule="auto"/>
              <w:ind w:firstLine="194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1332" w:type="dxa"/>
            <w:noWrap w:val="0"/>
            <w:vAlign w:val="top"/>
          </w:tcPr>
          <w:p w14:paraId="29DF4AD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584" w:type="dxa"/>
            <w:noWrap w:val="0"/>
            <w:vAlign w:val="center"/>
          </w:tcPr>
          <w:p w14:paraId="0F0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  <w:tc>
          <w:tcPr>
            <w:tcW w:w="1164" w:type="dxa"/>
            <w:noWrap w:val="0"/>
            <w:vAlign w:val="center"/>
          </w:tcPr>
          <w:p w14:paraId="01D6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F1A3D0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设备购置及时率</w:t>
            </w:r>
          </w:p>
        </w:tc>
        <w:tc>
          <w:tcPr>
            <w:tcW w:w="1584" w:type="dxa"/>
            <w:noWrap w:val="0"/>
            <w:vAlign w:val="center"/>
          </w:tcPr>
          <w:p w14:paraId="34C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≦100%</w:t>
            </w:r>
          </w:p>
        </w:tc>
        <w:tc>
          <w:tcPr>
            <w:tcW w:w="1164" w:type="dxa"/>
            <w:noWrap w:val="0"/>
            <w:vAlign w:val="center"/>
          </w:tcPr>
          <w:p w14:paraId="009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4.92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55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8637C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72868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FB8509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noWrap w:val="0"/>
            <w:vAlign w:val="top"/>
          </w:tcPr>
          <w:p w14:paraId="2D5D410A">
            <w:pPr>
              <w:spacing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设备验收合格率</w:t>
            </w:r>
          </w:p>
        </w:tc>
        <w:tc>
          <w:tcPr>
            <w:tcW w:w="1584" w:type="dxa"/>
            <w:noWrap w:val="0"/>
            <w:vAlign w:val="center"/>
          </w:tcPr>
          <w:p w14:paraId="7FE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164" w:type="dxa"/>
            <w:noWrap w:val="0"/>
            <w:vAlign w:val="center"/>
          </w:tcPr>
          <w:p w14:paraId="579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541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24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183D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时效指标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A32114">
            <w:pPr>
              <w:pStyle w:val="11"/>
              <w:spacing w:line="235" w:lineRule="exact"/>
              <w:jc w:val="center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1107E0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年度内完成目标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164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成本指标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经费开支控制在预算内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1164" w:type="dxa"/>
            <w:noWrap w:val="0"/>
            <w:vAlign w:val="center"/>
          </w:tcPr>
          <w:p w14:paraId="66E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8"/>
                <w:szCs w:val="18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7B7C48">
            <w:pPr>
              <w:spacing w:before="154" w:line="233" w:lineRule="auto"/>
              <w:ind w:firstLine="19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经济效</w:t>
            </w:r>
          </w:p>
          <w:p w14:paraId="530E938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FE2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FD012B2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7813E8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164" w:type="dxa"/>
            <w:noWrap w:val="0"/>
            <w:vAlign w:val="top"/>
          </w:tcPr>
          <w:p w14:paraId="1358A0F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top"/>
          </w:tcPr>
          <w:p w14:paraId="4333451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26376D2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19C1264">
            <w:pPr>
              <w:spacing w:before="153" w:line="233" w:lineRule="auto"/>
              <w:ind w:firstLine="192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社会效</w:t>
            </w:r>
          </w:p>
          <w:p w14:paraId="185BD49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9F47C9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改善城区教育教学水平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ED89E5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164" w:type="dxa"/>
            <w:noWrap w:val="0"/>
            <w:vAlign w:val="top"/>
          </w:tcPr>
          <w:p w14:paraId="194F3DA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top"/>
          </w:tcPr>
          <w:p w14:paraId="2C47933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D2F745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B23C24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9.4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4C530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生态效</w:t>
            </w:r>
          </w:p>
          <w:p w14:paraId="62D8831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83A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开展环境保护教育，提升教职工及学生生态环保意识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7D2E80A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164" w:type="dxa"/>
            <w:noWrap w:val="0"/>
            <w:vAlign w:val="top"/>
          </w:tcPr>
          <w:p w14:paraId="348B217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top"/>
          </w:tcPr>
          <w:p w14:paraId="7448B84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632A8E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9.6</w:t>
            </w: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right="116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A8EF8">
            <w:pPr>
              <w:pStyle w:val="11"/>
              <w:spacing w:line="235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7C7AE0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教育教学水平提升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164" w:type="dxa"/>
            <w:noWrap w:val="0"/>
            <w:vAlign w:val="center"/>
          </w:tcPr>
          <w:p w14:paraId="3DD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9.3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E06374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584" w:type="dxa"/>
            <w:noWrap w:val="0"/>
            <w:vAlign w:val="top"/>
          </w:tcPr>
          <w:p w14:paraId="14C2A64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730A41A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76" w:type="dxa"/>
            <w:noWrap w:val="0"/>
            <w:vAlign w:val="top"/>
          </w:tcPr>
          <w:p w14:paraId="357441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97FA7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5D7AC8A5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1584" w:type="dxa"/>
            <w:noWrap w:val="0"/>
            <w:vAlign w:val="top"/>
          </w:tcPr>
          <w:p w14:paraId="22B70D2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258E6F5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76" w:type="dxa"/>
            <w:noWrap w:val="0"/>
            <w:vAlign w:val="top"/>
          </w:tcPr>
          <w:p w14:paraId="586947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CFC4B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04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33BEE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D47FE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2F8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1B9B1B10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584" w:type="dxa"/>
            <w:noWrap w:val="0"/>
            <w:vAlign w:val="center"/>
          </w:tcPr>
          <w:p w14:paraId="6400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64" w:type="dxa"/>
            <w:noWrap w:val="0"/>
            <w:vAlign w:val="center"/>
          </w:tcPr>
          <w:p w14:paraId="0DB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700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7C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715FDC97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p w14:paraId="1DCC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郑水军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联系电话：13575035036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2025年7月3日</w:t>
      </w:r>
    </w:p>
    <w:p w14:paraId="3EA3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 w14:paraId="326E3AD1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sectPr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830CD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160EE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45D3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C6025A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2076B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61DCD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13C3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C0840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984165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70C3B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A6466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152F8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3C6A00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56862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0302F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4655</Words>
  <Characters>5138</Characters>
  <Lines>0</Lines>
  <Paragraphs>0</Paragraphs>
  <TotalTime>1</TotalTime>
  <ScaleCrop>false</ScaleCrop>
  <LinksUpToDate>false</LinksUpToDate>
  <CharactersWithSpaces>5196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