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4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516245" cy="7296150"/>
            <wp:effectExtent l="0" t="0" r="635" b="3810"/>
            <wp:docPr id="1" name="图片 1" descr="学院路小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院路小学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6245" cy="729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B100E">
      <w:pPr>
        <w:pStyle w:val="3"/>
        <w:spacing w:before="102" w:line="224" w:lineRule="auto"/>
        <w:ind w:left="3216"/>
        <w:sectPr>
          <w:footerReference r:id="rId3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68670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岳阳市岳阳楼区学院路小学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01D24583">
      <w:pPr>
        <w:spacing w:line="283" w:lineRule="auto"/>
        <w:rPr>
          <w:rFonts w:ascii="Arial"/>
          <w:sz w:val="21"/>
        </w:rPr>
      </w:pPr>
    </w:p>
    <w:p w14:paraId="701253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22C9456D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（一）学校基本情况</w:t>
      </w:r>
    </w:p>
    <w:p w14:paraId="010DEA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1、机构情况</w:t>
      </w:r>
    </w:p>
    <w:p w14:paraId="1D7E64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我校隶属岳阳楼区教育局直属事业单位，组织机构1个，为财政全额补助拨款单位，按要求实施财务独立核算。</w:t>
      </w:r>
    </w:p>
    <w:p w14:paraId="7FA119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2、人员情况</w:t>
      </w:r>
    </w:p>
    <w:p w14:paraId="65DD15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现有在职在编教职工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52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人，年末在校学生数为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921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人。</w:t>
      </w:r>
    </w:p>
    <w:p w14:paraId="355C9916">
      <w:pPr>
        <w:numPr>
          <w:ilvl w:val="0"/>
          <w:numId w:val="2"/>
        </w:numPr>
        <w:spacing w:line="560" w:lineRule="exact"/>
        <w:ind w:left="0" w:leftChars="0" w:firstLine="0" w:firstLineChars="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学校职能职责</w:t>
      </w:r>
    </w:p>
    <w:p w14:paraId="3890005A">
      <w:pPr>
        <w:numPr>
          <w:ilvl w:val="0"/>
          <w:numId w:val="3"/>
        </w:numPr>
        <w:spacing w:line="560" w:lineRule="exact"/>
        <w:ind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宣传贯彻执行党和国家的教育方针、政策、法律法规等，坚持依法治教、依法治学，贯彻执行</w:t>
      </w:r>
      <w:r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  <w:t>岳阳市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教育局的行政规章制度。</w:t>
      </w:r>
    </w:p>
    <w:p w14:paraId="66BF83A2"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维护学校的教学秩序，为学生创造良好的学习环境。积极稳妥地推进教育改革，按教育规律办事，不断提高教育质量。</w:t>
      </w:r>
    </w:p>
    <w:p w14:paraId="0174B13B"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根据学校规模，设置学校管理机构，建立健全各项规章制度和岗位责任制。</w:t>
      </w:r>
    </w:p>
    <w:p w14:paraId="5E9A2F43"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坚持教书育人，服务育人，环境育人方针，加强对学生的思想品德教育，使学生的德智体全面发展。</w:t>
      </w:r>
    </w:p>
    <w:p w14:paraId="35825D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抓好教师队伍建设，使每个教师都热心于教育事业；</w:t>
      </w:r>
    </w:p>
    <w:p w14:paraId="1CDDC1CF">
      <w:pPr>
        <w:keepNext/>
        <w:keepLines/>
        <w:widowControl/>
        <w:spacing w:beforeLines="0" w:afterLines="0"/>
        <w:ind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6、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做好安全防范，保证学生的人身安全。</w:t>
      </w:r>
    </w:p>
    <w:p w14:paraId="6C606A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（三）年度工作内容</w:t>
      </w:r>
    </w:p>
    <w:p w14:paraId="7BE42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1：抓好教学教育工作，不断提高教育质量。加强教学常规工作管理，抓好教学质量，按时按质完成电子学籍的申报工作。</w:t>
      </w:r>
    </w:p>
    <w:p w14:paraId="37113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2：加强对学生的思想品德教育，使学生的德智体全面发展。加强学校德育工作和班主任队伍建设, 加强对少先队的管理，积极开展班队活动，发挥少先队的先锋模范作用，提高学生身体和心理素质，完成体质健康数据的上报工作。</w:t>
      </w:r>
    </w:p>
    <w:p w14:paraId="56EF1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3：全方位保障校园安全。加强学校安全工作，切实做好交通安全、防溺水安全、防火安全、食品安全等工作，规范食堂管理，确保食品安全卫生，争取本年内无校方安全责任事故和食品安全责任事故。</w:t>
      </w:r>
    </w:p>
    <w:p w14:paraId="0A8BE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4：做好后勤保障工作。按时完成设备购置及维护工作，及时排除校舍安全隐患，保证教学工作的正常开展，固定资产及时入账，账实相符，后勤保障工作及时到位。</w:t>
      </w:r>
    </w:p>
    <w:p w14:paraId="7F04E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5：完成上级部门交给的其他工作，按时完成上级部门交给的创文创卫工作和其他工作。</w:t>
      </w:r>
    </w:p>
    <w:p w14:paraId="1F905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270FA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 w14:paraId="14CB3463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一般公共预算基本支出202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1051.09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3EEC2042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825.98万元：包括</w:t>
      </w: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229.07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19.12万元；奖金152.10万元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伙食补助费16.96万元；绩效工资138.66万元；</w:t>
      </w:r>
      <w:r>
        <w:rPr>
          <w:rFonts w:hint="eastAsia" w:ascii="仿宋" w:hAnsi="仿宋" w:eastAsia="仿宋" w:cs="仿宋"/>
          <w:bCs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79.28万元；职工基本医疗保险缴费32.44万元；其他社会保障缴费6.13万元；住房公积金59.46万元；其他工资福利5.86万元；退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休费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83.72万元；生活补助0.70万元；其他对个人和家庭的补助2.48万元。 </w:t>
      </w:r>
    </w:p>
    <w:p w14:paraId="145DEC5D">
      <w:pPr>
        <w:spacing w:line="240" w:lineRule="auto"/>
        <w:ind w:firstLine="600" w:firstLineChars="200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225.11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9.60</w:t>
      </w:r>
      <w:r>
        <w:rPr>
          <w:rFonts w:hint="eastAsia" w:ascii="仿宋" w:hAnsi="仿宋" w:eastAsia="仿宋" w:cs="仿宋"/>
          <w:bCs/>
          <w:sz w:val="30"/>
          <w:szCs w:val="30"/>
        </w:rPr>
        <w:t>万元；印刷费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10.37</w:t>
      </w:r>
      <w:r>
        <w:rPr>
          <w:rFonts w:hint="eastAsia" w:ascii="仿宋" w:hAnsi="仿宋" w:eastAsia="仿宋" w:cs="仿宋"/>
          <w:bCs/>
          <w:sz w:val="30"/>
          <w:szCs w:val="30"/>
        </w:rPr>
        <w:t>万元；水费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1.39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4.58</w:t>
      </w:r>
      <w:r>
        <w:rPr>
          <w:rFonts w:hint="eastAsia" w:ascii="仿宋" w:hAnsi="仿宋" w:eastAsia="仿宋" w:cs="仿宋"/>
          <w:bCs/>
          <w:sz w:val="30"/>
          <w:szCs w:val="30"/>
        </w:rPr>
        <w:t>万元；差旅费0.12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</w:rPr>
        <w:t>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21.34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会议费4.76万元；</w:t>
      </w:r>
      <w:r>
        <w:rPr>
          <w:rFonts w:hint="eastAsia" w:ascii="仿宋" w:hAnsi="仿宋" w:eastAsia="仿宋" w:cs="仿宋"/>
          <w:bCs/>
          <w:sz w:val="30"/>
          <w:szCs w:val="30"/>
        </w:rPr>
        <w:t>培训费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0.61</w:t>
      </w:r>
      <w:r>
        <w:rPr>
          <w:rFonts w:hint="eastAsia" w:ascii="仿宋" w:hAnsi="仿宋" w:eastAsia="仿宋" w:cs="仿宋"/>
          <w:bCs/>
          <w:sz w:val="30"/>
          <w:szCs w:val="30"/>
        </w:rPr>
        <w:t>万元；专用材料费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109.93</w:t>
      </w:r>
      <w:r>
        <w:rPr>
          <w:rFonts w:hint="eastAsia" w:ascii="仿宋" w:hAnsi="仿宋" w:eastAsia="仿宋" w:cs="仿宋"/>
          <w:bCs/>
          <w:sz w:val="30"/>
          <w:szCs w:val="30"/>
        </w:rPr>
        <w:t>万元；劳务费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3.83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委托业务费</w:t>
      </w:r>
      <w:r>
        <w:rPr>
          <w:rFonts w:hint="eastAsia" w:ascii="仿宋" w:hAnsi="仿宋" w:eastAsia="仿宋" w:cs="仿宋"/>
          <w:bCs/>
          <w:sz w:val="30"/>
          <w:szCs w:val="30"/>
        </w:rPr>
        <w:t>0.97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</w:rPr>
        <w:t>工会经费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0.60</w:t>
      </w:r>
      <w:r>
        <w:rPr>
          <w:rFonts w:hint="eastAsia" w:ascii="仿宋" w:hAnsi="仿宋" w:eastAsia="仿宋" w:cs="仿宋"/>
          <w:bCs/>
          <w:sz w:val="30"/>
          <w:szCs w:val="30"/>
        </w:rPr>
        <w:t>万元；其他商品和服务支出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57.01万元。</w:t>
      </w:r>
    </w:p>
    <w:p w14:paraId="6207AC7D">
      <w:pPr>
        <w:pStyle w:val="2"/>
      </w:pPr>
    </w:p>
    <w:p w14:paraId="3D831CC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项目支出情况</w:t>
      </w:r>
    </w:p>
    <w:p w14:paraId="6277B4E5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0"/>
          <w:szCs w:val="30"/>
        </w:rPr>
        <w:t>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141.58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616118C1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基本工资33.19万元；津贴补贴5.73万元；奖金8.36万元；绩效工资4.50万元；机关事业单位基本养老保险缴费2.75万元；职工基本医疗保险缴费1.08万元；其他社会保障缴费0.90万元；住房公积金2.30万元；医疗费4.25万元；其他工资福利22.43万元；奖励金1.86万元；办公费0.42万元；印刷费0.39万元；水费0.05万元；</w:t>
      </w:r>
      <w:r>
        <w:rPr>
          <w:rFonts w:hint="eastAsia" w:ascii="仿宋" w:hAnsi="仿宋" w:eastAsia="仿宋" w:cs="仿宋"/>
          <w:bCs/>
          <w:sz w:val="30"/>
          <w:szCs w:val="30"/>
        </w:rPr>
        <w:t>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5.49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会议费0.02万元；专用材料费15.00万元；劳务费1.58万元；委托业务费0.84万元；工会经费9.57万元；其他商品和服务支出12.96万元；退休费7.56万元；其他对个人和家庭的补助0.35万元。</w:t>
      </w:r>
    </w:p>
    <w:p w14:paraId="63A79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 w14:paraId="5DB0B85F">
      <w:pPr>
        <w:pStyle w:val="2"/>
        <w:rPr>
          <w:rFonts w:hint="default"/>
          <w:lang w:val="en-US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本单位2024年年度政府性基金预算支出0万元。</w:t>
      </w:r>
    </w:p>
    <w:p w14:paraId="760B080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56BA9783">
      <w:pPr>
        <w:pStyle w:val="2"/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本单位2024年年度国有资本经营预算支出0万元。</w:t>
      </w:r>
    </w:p>
    <w:p w14:paraId="411972F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2C0AD0D3">
      <w:pPr>
        <w:pStyle w:val="2"/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本单位2024年年度社会保险基金预算支出0万元。</w:t>
      </w:r>
    </w:p>
    <w:p w14:paraId="13C6E85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633F416F">
      <w:pPr>
        <w:numPr>
          <w:ilvl w:val="0"/>
          <w:numId w:val="0"/>
        </w:numPr>
        <w:spacing w:line="240" w:lineRule="auto"/>
        <w:ind w:firstLine="600" w:firstLineChars="200"/>
        <w:jc w:val="left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学院路小学作为教育体系中的重要组成部分，其单位整体支出绩效情况对于学校的可持续发展、教育教学质量的提升以及教育资源的有效利用具有关键意义。通过对学校整体支出绩效的深入分析，能够清晰了解资金的使用方向、效益以及存在的问题，为优化资源配置、提高资金使用效率提供有力依据，进而推动学校教育事业的高质量发展。</w:t>
      </w:r>
    </w:p>
    <w:p w14:paraId="02C3FD3E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05130356">
      <w:pPr>
        <w:numPr>
          <w:ilvl w:val="0"/>
          <w:numId w:val="6"/>
        </w:num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数量指标</w:t>
      </w:r>
    </w:p>
    <w:p w14:paraId="58707587">
      <w:pPr>
        <w:pStyle w:val="2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本年度完成在校学生德智体美劳全面教育与培养921人，足额发放教职工工资及福利待遇52人，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学校还通过各种渠道创造教师的学习机会和平台，今年近300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多人次参加全国、省、市、区的各类培训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。</w:t>
      </w:r>
    </w:p>
    <w:p w14:paraId="01DCAE40">
      <w:pPr>
        <w:pStyle w:val="2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2、质量指标</w:t>
      </w:r>
    </w:p>
    <w:p w14:paraId="73DEAEDD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开展丰富而扎实的教学教研活动，定期组织教师深度研讨教学方法与课程设计，有力促进教学资源的优化整合。公开课活动常态化开展，各学科、各年级教师踊跃参与，为教学经验分享与新教师成长搭建优质平台。学生作业管理严控作业量并注重分层与个性化，强化批改反馈。周鹏征老师获楼区项目式作业设计一等奖，连洁、朱可意老师获区二等奖。许婉扬老师在区教学案例评选中获二等奖；在教师教案评优中，李贞老师获区一等奖，林芷仪、付显老师获区二等奖。在信息素养提升实践中我校三位学生获一、二等奖。</w:t>
      </w:r>
    </w:p>
    <w:p w14:paraId="67000D42">
      <w:pPr>
        <w:pStyle w:val="2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3、时效指标</w:t>
      </w:r>
    </w:p>
    <w:p w14:paraId="32715078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及时完成在校学生的春、秋两季教学计划，及时发放教职工的工资及福利待遇。</w:t>
      </w:r>
    </w:p>
    <w:p w14:paraId="49E11539">
      <w:pPr>
        <w:pStyle w:val="2"/>
        <w:numPr>
          <w:ilvl w:val="0"/>
          <w:numId w:val="7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成本指标</w:t>
      </w:r>
    </w:p>
    <w:p w14:paraId="2F2CDC6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全年教育投入经费控制在1192.67万元。</w:t>
      </w:r>
    </w:p>
    <w:p w14:paraId="5EE626CB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31242E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1、经济效益</w:t>
      </w:r>
    </w:p>
    <w:p w14:paraId="4C943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不适用。  </w:t>
      </w:r>
    </w:p>
    <w:p w14:paraId="7BD79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2、社会效益</w:t>
      </w:r>
    </w:p>
    <w:p w14:paraId="293D9FD7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学校支部将主题教育与“三会一课”、主题党日结合，聚焦党纪主线，开展纪律专题党课、党纪学习教育研讨交流等活动，引领党员在行为和行动上树立先锋形象。二是严抓师德师风建设。严格落实学校师德师风工作方案及细则，将考核情况运用至评优评先、职称岗位的晋升工作中。深入开展师德师风培训工作，以每月一次的集中培训为抓手，使教师时刻保持警醒。持续开展“全员大家访”、“党员教师课堂竞赛”等活动，形成教职工“敬业、乐业、勤业”的良好风尚。  </w:t>
      </w:r>
    </w:p>
    <w:p w14:paraId="63918EF7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3、生态效益</w:t>
      </w:r>
    </w:p>
    <w:p w14:paraId="55F3A6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开展环境保护教育，提升教职工及学生生态环保意识。</w:t>
      </w:r>
    </w:p>
    <w:p w14:paraId="1E5DEE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4、可持续影响</w:t>
      </w:r>
    </w:p>
    <w:p w14:paraId="505A5AF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积极促进教育事业可持续发展。</w:t>
      </w:r>
    </w:p>
    <w:p w14:paraId="017DE8E1">
      <w:pPr>
        <w:pStyle w:val="2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社会公众满意度</w:t>
      </w:r>
    </w:p>
    <w:p w14:paraId="0A8FF6B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学生满意度98%，家长满意度98%，教职工满意度98%。</w:t>
      </w:r>
    </w:p>
    <w:p w14:paraId="6F659DD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</w:p>
    <w:p w14:paraId="404F5F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教育资源不均衡：学校地处城郊结合地区，与城市中心学校相比，教学设施设备相对陈旧落后。一是功能室缺少。学校实验室、信息教室、音乐舞蹈室等功能室的缺少，使学校教学活动开展受限，学生学习体验不佳，学校整体发展受限。二是多媒体教学设备老化严重。我校多媒体教学设备使用了8年以上，教室班班通时常死机、卡顿，影响学生学习效果。</w:t>
      </w:r>
    </w:p>
    <w:p w14:paraId="7CDAF9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2.师资结构不合理：因教师流动性较大，随着学校缩编，退休老师较多，致使学校专职体育、信息技术等老师的短缺。影响学校的整体教学质量和学生的全面发展。</w:t>
      </w:r>
    </w:p>
    <w:p w14:paraId="642AA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八、下一步改进措施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工作建议</w:t>
      </w:r>
    </w:p>
    <w:p w14:paraId="5964B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2025年我校精心规划新学年各项工作，旨在为学生搭建全面发展的平台，为教师专业成长的舞台，为学校开创更加辉煌的未来。从以下四个方面做新学年工作计划：</w:t>
      </w:r>
    </w:p>
    <w:p w14:paraId="6A0D4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（一）强化党建引领，铸就教育之魂</w:t>
      </w:r>
    </w:p>
    <w:p w14:paraId="5A4BE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1.深化理论学习，夯实思想根基。</w:t>
      </w:r>
    </w:p>
    <w:p w14:paraId="0EDBA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2.发挥先锋作用，引领示范带动。</w:t>
      </w:r>
    </w:p>
    <w:p w14:paraId="0131C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3.注重师德建设，提升职业素养。</w:t>
      </w:r>
    </w:p>
    <w:p w14:paraId="376EB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4.加强民主监督，保障教师应享利益。</w:t>
      </w:r>
    </w:p>
    <w:p w14:paraId="603FC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（二）聚焦质量提升，打造教育品牌</w:t>
      </w:r>
    </w:p>
    <w:p w14:paraId="54537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1.以教学质量为核心，加强常规管理，强化培训学习，</w:t>
      </w:r>
    </w:p>
    <w:p w14:paraId="1E105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促进教师成长。</w:t>
      </w:r>
    </w:p>
    <w:p w14:paraId="5E83E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2.开展丰富活动，推进“书香校园”和体育活动建设，</w:t>
      </w:r>
    </w:p>
    <w:p w14:paraId="1CBB0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助力学生全面发展。</w:t>
      </w:r>
    </w:p>
    <w:p w14:paraId="53F82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（三）强化德育工作，培养时代新人</w:t>
      </w:r>
    </w:p>
    <w:p w14:paraId="7E6D1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1.塑造良好的品德。围绕“爱国主义”、“法制教育”、“心理健康教育”等主题，持续开展以“三爱三讲”为核心的教育活动。</w:t>
      </w:r>
    </w:p>
    <w:p w14:paraId="358AC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2.增强社会责任感。通过各类社会实践活动，结合中国传统节日和习俗，培养学生的公民意识和社会责任感。</w:t>
      </w:r>
    </w:p>
    <w:p w14:paraId="2A731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3.提升自我管理能力。学校加强家校共育，共同教育学生如何有效的管理自己，培养自律性和独立性。</w:t>
      </w:r>
    </w:p>
    <w:p w14:paraId="2470E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（四）优化后勤服务，提升保障能力</w:t>
      </w:r>
    </w:p>
    <w:p w14:paraId="60E0C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1.提升服务质量，打造满意后勤。积极做好维护美化校园基础建设；严格管控食材采购，优化菜单，确保教师用餐营养健康；优化服务和反馈机制。</w:t>
      </w:r>
    </w:p>
    <w:p w14:paraId="0AD3D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2.加强安全管理，守护师生健康。进一步完善安全制度，明确分工。定期排查安全隐患，每月复查重点部位。安全教育多元，坚持1530主题教育和应急演练。强化校园安保，配足安保人员，加强与公安联动护校。</w:t>
      </w:r>
    </w:p>
    <w:p w14:paraId="2348B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九、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42E7CC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根据部门整体支出绩效评价指标体系，学院路小学在2024年度取得了较好的评价结果。体现了学校在资金使用、项目管理、教育教学成果等多个方面的出色表现。在资金使用上，学校严格按照预算安排进行支出，确保资金使用的合理性和合规性。在项目管理方面，无论是改造工程还是教学专项项目，都能按照计划有序推进，保证项目质量。教育教学成果显著，学生在学业成绩、综合素质发展等方面都取得了进步。同时将部门整体支出绩效自评报告在单位门户网站上进行公开，广泛接受社会监督。</w:t>
      </w:r>
    </w:p>
    <w:p w14:paraId="1AD931D5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-3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026E99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Arial"/>
          <w:sz w:val="21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3F1E9074">
      <w:pPr>
        <w:pStyle w:val="2"/>
        <w:rPr>
          <w:rFonts w:ascii="Arial"/>
          <w:sz w:val="21"/>
        </w:rPr>
      </w:pPr>
    </w:p>
    <w:p w14:paraId="3CAD2A83">
      <w:pPr>
        <w:pStyle w:val="2"/>
        <w:rPr>
          <w:rFonts w:ascii="Arial"/>
          <w:sz w:val="21"/>
        </w:rPr>
      </w:pPr>
    </w:p>
    <w:p w14:paraId="17385F0B">
      <w:pPr>
        <w:pStyle w:val="2"/>
        <w:rPr>
          <w:rFonts w:ascii="Arial"/>
          <w:sz w:val="21"/>
        </w:rPr>
      </w:pPr>
    </w:p>
    <w:p w14:paraId="144C43B0">
      <w:pPr>
        <w:pStyle w:val="2"/>
        <w:rPr>
          <w:rFonts w:ascii="Arial"/>
          <w:sz w:val="21"/>
        </w:rPr>
      </w:pPr>
    </w:p>
    <w:p w14:paraId="2CE53054">
      <w:pPr>
        <w:pStyle w:val="2"/>
        <w:rPr>
          <w:rFonts w:ascii="Arial"/>
          <w:sz w:val="21"/>
        </w:rPr>
      </w:pPr>
    </w:p>
    <w:p w14:paraId="01FFBB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整体支出绩效评价基础数据表</w:t>
      </w:r>
    </w:p>
    <w:p w14:paraId="149B9E7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</w:rPr>
        <w:t>整体支出绩效自评表</w:t>
      </w:r>
    </w:p>
    <w:p w14:paraId="7C95136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/>
          <w:spacing w:val="8"/>
        </w:rPr>
      </w:pPr>
    </w:p>
    <w:p w14:paraId="573315E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/>
          <w:spacing w:val="8"/>
        </w:rPr>
      </w:pPr>
    </w:p>
    <w:p w14:paraId="4FCF484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/>
          <w:spacing w:val="8"/>
        </w:rPr>
      </w:pPr>
    </w:p>
    <w:p w14:paraId="2581571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/>
          <w:spacing w:val="8"/>
        </w:rPr>
      </w:pPr>
    </w:p>
    <w:p w14:paraId="5F2E9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51559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  <w:t>整体支出绩效评价基础数据表</w:t>
      </w:r>
    </w:p>
    <w:p w14:paraId="0997FD5D">
      <w:pPr>
        <w:spacing w:line="115" w:lineRule="exact"/>
        <w:rPr>
          <w:color w:val="000000"/>
        </w:rPr>
      </w:pPr>
    </w:p>
    <w:tbl>
      <w:tblPr>
        <w:tblStyle w:val="10"/>
        <w:tblW w:w="10056" w:type="dxa"/>
        <w:tblInd w:w="-6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2"/>
        <w:gridCol w:w="1176"/>
        <w:gridCol w:w="948"/>
        <w:gridCol w:w="1176"/>
        <w:gridCol w:w="1056"/>
        <w:gridCol w:w="1056"/>
        <w:gridCol w:w="1152"/>
      </w:tblGrid>
      <w:tr w14:paraId="56D1F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492" w:type="dxa"/>
            <w:tcBorders>
              <w:bottom w:val="nil"/>
            </w:tcBorders>
            <w:noWrap w:val="0"/>
            <w:vAlign w:val="center"/>
          </w:tcPr>
          <w:p w14:paraId="45BCC67D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名称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57F53A04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eastAsia="zh-CN"/>
              </w:rPr>
              <w:t>岳阳市岳阳楼区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val="en-US" w:eastAsia="zh-CN"/>
              </w:rPr>
              <w:t>学院路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eastAsia="zh-CN"/>
              </w:rPr>
              <w:t>小学</w:t>
            </w:r>
          </w:p>
        </w:tc>
      </w:tr>
      <w:tr w14:paraId="79838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top"/>
          </w:tcPr>
          <w:p w14:paraId="3FE9A53A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财政供养人员情况(人)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4938F347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2"/>
                <w:szCs w:val="22"/>
              </w:rPr>
              <w:t>编制数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5EBA1970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</w:rPr>
              <w:t>年实际在职人数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48308AC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控制率</w:t>
            </w:r>
          </w:p>
        </w:tc>
      </w:tr>
      <w:tr w14:paraId="4B9C6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5CA4236C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2C452F20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C082593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63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2D99E31F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121.15%</w:t>
            </w:r>
          </w:p>
        </w:tc>
      </w:tr>
      <w:tr w14:paraId="4B8D2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92" w:type="dxa"/>
            <w:noWrap w:val="0"/>
            <w:vAlign w:val="top"/>
          </w:tcPr>
          <w:p w14:paraId="6EC6B10C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2"/>
                <w:szCs w:val="22"/>
              </w:rPr>
              <w:t>经费控制情况(万元)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C3BC7B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年决算数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98AB46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年预算数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6AFF4935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2"/>
                <w:szCs w:val="22"/>
              </w:rPr>
              <w:t>年决算数</w:t>
            </w:r>
          </w:p>
        </w:tc>
      </w:tr>
      <w:tr w14:paraId="21657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43EB7443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三公经费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132AC07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13C2666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A12556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5545E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492" w:type="dxa"/>
            <w:noWrap w:val="0"/>
            <w:vAlign w:val="top"/>
          </w:tcPr>
          <w:p w14:paraId="41AA4231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1、公务用车购置和维护经费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275A83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C11B72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4CA9FC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0A873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56CEF58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其中：公车购置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2E14BD4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2C3968C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321713A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08DA2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BA4C110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公车运行维护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7A8093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1997CB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000E042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41B06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492" w:type="dxa"/>
            <w:noWrap w:val="0"/>
            <w:vAlign w:val="top"/>
          </w:tcPr>
          <w:p w14:paraId="702F96FB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2、出国经费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529ED5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70C0FA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4CCC2C3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2E014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33F49EC8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3、公务接待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155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D53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7CB9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4805F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3B3852C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2"/>
                <w:szCs w:val="22"/>
              </w:rPr>
              <w:t>项目支出：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5E9D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202.66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0FC8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03799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141.58</w:t>
            </w:r>
          </w:p>
        </w:tc>
      </w:tr>
      <w:tr w14:paraId="49139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6780C153">
            <w:pPr>
              <w:spacing w:before="133" w:line="200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1、业务工作经费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5DC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202.66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4A5E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46AC5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141.58</w:t>
            </w:r>
          </w:p>
        </w:tc>
      </w:tr>
      <w:tr w14:paraId="3AC88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076CBB4">
            <w:pPr>
              <w:spacing w:before="143" w:line="209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2、运行维护经费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659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5D824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43E30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580BD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18516462">
            <w:pPr>
              <w:spacing w:before="93" w:line="219" w:lineRule="auto"/>
              <w:ind w:firstLine="224" w:firstLineChars="10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级专项资金(一个专项一行)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D65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E9B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1D8F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007D7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6043F62B">
            <w:pPr>
              <w:spacing w:before="85" w:line="220" w:lineRule="auto"/>
              <w:ind w:firstLine="226" w:firstLineChars="1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5FBB6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63CDE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6C293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66CE8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1B7DC5BF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公用经费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8E10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92.06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 w14:paraId="72DFD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77.31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7A70F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225.11</w:t>
            </w:r>
          </w:p>
        </w:tc>
      </w:tr>
      <w:tr w14:paraId="04D0C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148BACF1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其中：办公经费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97F6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7.79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52858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8.67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7E99E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10.02</w:t>
            </w:r>
          </w:p>
        </w:tc>
      </w:tr>
      <w:tr w14:paraId="0DF45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338579CB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水费、电费、差旅费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5210C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5.90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2FB47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7.00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7F6FA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6.14</w:t>
            </w:r>
          </w:p>
        </w:tc>
      </w:tr>
      <w:tr w14:paraId="3864E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44AE3B1E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</w:rPr>
              <w:t>会议费、培训费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45C29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8.66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0A631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3.50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CE08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5.39</w:t>
            </w:r>
          </w:p>
        </w:tc>
      </w:tr>
      <w:tr w14:paraId="68795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136F59BB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</w:rPr>
              <w:t>政府采购金额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96C0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 w14:paraId="0D26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9.96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 w14:paraId="5C2C4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139.99</w:t>
            </w:r>
          </w:p>
        </w:tc>
      </w:tr>
      <w:tr w14:paraId="61F92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492" w:type="dxa"/>
            <w:noWrap w:val="0"/>
            <w:vAlign w:val="top"/>
          </w:tcPr>
          <w:p w14:paraId="15FA9ACF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部门基本支出预算调整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643546E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A44EC4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6B1D9CF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3828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center"/>
          </w:tcPr>
          <w:p w14:paraId="6ACED326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2"/>
                <w:szCs w:val="22"/>
              </w:rPr>
              <w:t>楼堂馆所控制情况</w:t>
            </w:r>
          </w:p>
          <w:p w14:paraId="513E81AA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(202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年完工项目)</w:t>
            </w:r>
          </w:p>
        </w:tc>
        <w:tc>
          <w:tcPr>
            <w:tcW w:w="1176" w:type="dxa"/>
            <w:noWrap w:val="0"/>
            <w:vAlign w:val="center"/>
          </w:tcPr>
          <w:p w14:paraId="390B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批复规模</w:t>
            </w:r>
          </w:p>
          <w:p w14:paraId="70FC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(m²)</w:t>
            </w:r>
          </w:p>
        </w:tc>
        <w:tc>
          <w:tcPr>
            <w:tcW w:w="948" w:type="dxa"/>
            <w:noWrap w:val="0"/>
            <w:vAlign w:val="center"/>
          </w:tcPr>
          <w:p w14:paraId="77D9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实际规</w:t>
            </w:r>
          </w:p>
          <w:p w14:paraId="2720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模(m²)</w:t>
            </w:r>
          </w:p>
        </w:tc>
        <w:tc>
          <w:tcPr>
            <w:tcW w:w="1176" w:type="dxa"/>
            <w:noWrap w:val="0"/>
            <w:vAlign w:val="center"/>
          </w:tcPr>
          <w:p w14:paraId="3C70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规模控制率</w:t>
            </w:r>
          </w:p>
        </w:tc>
        <w:tc>
          <w:tcPr>
            <w:tcW w:w="1056" w:type="dxa"/>
            <w:noWrap w:val="0"/>
            <w:vAlign w:val="center"/>
          </w:tcPr>
          <w:p w14:paraId="6045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预算投资</w:t>
            </w:r>
          </w:p>
          <w:p w14:paraId="1884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(万元)</w:t>
            </w:r>
          </w:p>
        </w:tc>
        <w:tc>
          <w:tcPr>
            <w:tcW w:w="1056" w:type="dxa"/>
            <w:noWrap w:val="0"/>
            <w:vAlign w:val="center"/>
          </w:tcPr>
          <w:p w14:paraId="5B4D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实际投资</w:t>
            </w:r>
          </w:p>
          <w:p w14:paraId="321B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(万元)</w:t>
            </w:r>
          </w:p>
        </w:tc>
        <w:tc>
          <w:tcPr>
            <w:tcW w:w="1152" w:type="dxa"/>
            <w:noWrap w:val="0"/>
            <w:vAlign w:val="center"/>
          </w:tcPr>
          <w:p w14:paraId="3C7C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投资概算控制率</w:t>
            </w:r>
          </w:p>
        </w:tc>
      </w:tr>
      <w:tr w14:paraId="5B499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40EDBEB9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noWrap w:val="0"/>
            <w:vAlign w:val="top"/>
          </w:tcPr>
          <w:p w14:paraId="5AC6A55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noWrap w:val="0"/>
            <w:vAlign w:val="top"/>
          </w:tcPr>
          <w:p w14:paraId="60CA6F1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noWrap w:val="0"/>
            <w:vAlign w:val="top"/>
          </w:tcPr>
          <w:p w14:paraId="56E9699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noWrap w:val="0"/>
            <w:vAlign w:val="top"/>
          </w:tcPr>
          <w:p w14:paraId="7FBA0042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noWrap w:val="0"/>
            <w:vAlign w:val="top"/>
          </w:tcPr>
          <w:p w14:paraId="62A2C4EB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 w:val="0"/>
            <w:vAlign w:val="top"/>
          </w:tcPr>
          <w:p w14:paraId="562F4406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3D1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7D16B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厉行节约保障措施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6A5C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坚持开展宣传教育、建全工作机制、建章立制、监督检查、加强管理</w:t>
            </w:r>
          </w:p>
        </w:tc>
      </w:tr>
    </w:tbl>
    <w:p w14:paraId="4D942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>说明：“项目支出”需要填报基本支出以外的所有项目支出情况，“公用经费”填报基本支出中的一般商品和服务支出。</w:t>
      </w:r>
    </w:p>
    <w:p w14:paraId="3793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default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陈俊        </w:t>
      </w:r>
      <w:r>
        <w:rPr>
          <w:rFonts w:hint="eastAsia" w:ascii="宋体" w:hAnsi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 xml:space="preserve"> 联系电话：18107308906</w:t>
      </w:r>
      <w:r>
        <w:rPr>
          <w:rFonts w:hint="eastAsia" w:ascii="宋体" w:hAnsi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  <w:lang w:val="en-US" w:eastAsia="zh-CN"/>
        </w:rPr>
        <w:t>2025年7月1日</w:t>
      </w:r>
    </w:p>
    <w:p w14:paraId="4B87299D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 w14:paraId="0CA79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eastAsia="zh-CN"/>
        </w:rPr>
        <w:t>年度预算单位整体支出绩效自评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eastAsia="zh-CN"/>
        </w:rPr>
        <w:t>表</w:t>
      </w:r>
    </w:p>
    <w:p w14:paraId="42B8247D">
      <w:pPr>
        <w:spacing w:line="132" w:lineRule="exact"/>
      </w:pPr>
    </w:p>
    <w:tbl>
      <w:tblPr>
        <w:tblStyle w:val="10"/>
        <w:tblW w:w="10044" w:type="dxa"/>
        <w:tblInd w:w="-7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104"/>
        <w:gridCol w:w="984"/>
        <w:gridCol w:w="1332"/>
        <w:gridCol w:w="1584"/>
        <w:gridCol w:w="1164"/>
        <w:gridCol w:w="576"/>
        <w:gridCol w:w="960"/>
        <w:gridCol w:w="1236"/>
      </w:tblGrid>
      <w:tr w14:paraId="657E0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2" w:type="dxa"/>
            <w:gridSpan w:val="3"/>
            <w:noWrap w:val="0"/>
            <w:vAlign w:val="top"/>
          </w:tcPr>
          <w:p w14:paraId="28264778">
            <w:pPr>
              <w:spacing w:before="24" w:line="208" w:lineRule="auto"/>
              <w:ind w:left="120" w:firstLine="392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预算单位名称</w:t>
            </w:r>
          </w:p>
        </w:tc>
        <w:tc>
          <w:tcPr>
            <w:tcW w:w="6852" w:type="dxa"/>
            <w:gridSpan w:val="6"/>
            <w:noWrap w:val="0"/>
            <w:vAlign w:val="top"/>
          </w:tcPr>
          <w:p w14:paraId="5E7A7338">
            <w:pPr>
              <w:pStyle w:val="11"/>
              <w:spacing w:line="239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岳阳市岳阳楼区学院路小学</w:t>
            </w:r>
          </w:p>
        </w:tc>
      </w:tr>
      <w:tr w14:paraId="1BAEB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4F160C00">
            <w:pPr>
              <w:pStyle w:val="11"/>
              <w:spacing w:line="467" w:lineRule="auto"/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</w:pPr>
          </w:p>
          <w:p w14:paraId="7BEB4C86"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  <w:t>年度预</w:t>
            </w:r>
          </w:p>
          <w:p w14:paraId="4263F0A2">
            <w:pPr>
              <w:spacing w:line="219" w:lineRule="auto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  <w:t>算申请</w:t>
            </w:r>
          </w:p>
          <w:p w14:paraId="59761C50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  <w:t>(万元)</w:t>
            </w:r>
          </w:p>
        </w:tc>
        <w:tc>
          <w:tcPr>
            <w:tcW w:w="2088" w:type="dxa"/>
            <w:gridSpan w:val="2"/>
            <w:noWrap w:val="0"/>
            <w:vAlign w:val="top"/>
          </w:tcPr>
          <w:p w14:paraId="6E840D10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2" w:type="dxa"/>
            <w:noWrap w:val="0"/>
            <w:vAlign w:val="top"/>
          </w:tcPr>
          <w:p w14:paraId="0530E3B2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年初预算数</w:t>
            </w:r>
          </w:p>
        </w:tc>
        <w:tc>
          <w:tcPr>
            <w:tcW w:w="1584" w:type="dxa"/>
            <w:noWrap w:val="0"/>
            <w:vAlign w:val="top"/>
          </w:tcPr>
          <w:p w14:paraId="224AB50B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全年预算数</w:t>
            </w:r>
          </w:p>
        </w:tc>
        <w:tc>
          <w:tcPr>
            <w:tcW w:w="1164" w:type="dxa"/>
            <w:noWrap w:val="0"/>
            <w:vAlign w:val="top"/>
          </w:tcPr>
          <w:p w14:paraId="08D984BB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全年执行数</w:t>
            </w:r>
          </w:p>
        </w:tc>
        <w:tc>
          <w:tcPr>
            <w:tcW w:w="576" w:type="dxa"/>
            <w:noWrap w:val="0"/>
            <w:vAlign w:val="top"/>
          </w:tcPr>
          <w:p w14:paraId="2A3307F4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BDBB7B7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执行率</w:t>
            </w:r>
          </w:p>
        </w:tc>
        <w:tc>
          <w:tcPr>
            <w:tcW w:w="1236" w:type="dxa"/>
            <w:noWrap w:val="0"/>
            <w:vAlign w:val="top"/>
          </w:tcPr>
          <w:p w14:paraId="51F82A35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自评得分</w:t>
            </w:r>
          </w:p>
        </w:tc>
      </w:tr>
      <w:tr w14:paraId="63A97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F260E0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8" w:type="dxa"/>
            <w:gridSpan w:val="2"/>
            <w:noWrap w:val="0"/>
            <w:vAlign w:val="top"/>
          </w:tcPr>
          <w:p w14:paraId="0D8078A3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年度资金总额</w:t>
            </w:r>
          </w:p>
        </w:tc>
        <w:tc>
          <w:tcPr>
            <w:tcW w:w="1332" w:type="dxa"/>
            <w:noWrap w:val="0"/>
            <w:vAlign w:val="center"/>
          </w:tcPr>
          <w:p w14:paraId="4EBABD17">
            <w:pPr>
              <w:spacing w:line="239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897.03</w:t>
            </w:r>
          </w:p>
        </w:tc>
        <w:tc>
          <w:tcPr>
            <w:tcW w:w="1584" w:type="dxa"/>
            <w:noWrap w:val="0"/>
            <w:vAlign w:val="center"/>
          </w:tcPr>
          <w:p w14:paraId="1894813E">
            <w:pPr>
              <w:spacing w:line="239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1202.67</w:t>
            </w:r>
          </w:p>
        </w:tc>
        <w:tc>
          <w:tcPr>
            <w:tcW w:w="1164" w:type="dxa"/>
            <w:noWrap w:val="0"/>
            <w:vAlign w:val="center"/>
          </w:tcPr>
          <w:p w14:paraId="19B4ED86">
            <w:pPr>
              <w:spacing w:line="239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1192.67</w:t>
            </w:r>
          </w:p>
        </w:tc>
        <w:tc>
          <w:tcPr>
            <w:tcW w:w="576" w:type="dxa"/>
            <w:noWrap w:val="0"/>
            <w:vAlign w:val="top"/>
          </w:tcPr>
          <w:p w14:paraId="04A0CDE1">
            <w:pPr>
              <w:pStyle w:val="11"/>
              <w:spacing w:before="54" w:line="194" w:lineRule="auto"/>
              <w:ind w:left="27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top"/>
          </w:tcPr>
          <w:p w14:paraId="21874FA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99.16%</w:t>
            </w:r>
          </w:p>
        </w:tc>
        <w:tc>
          <w:tcPr>
            <w:tcW w:w="1236" w:type="dxa"/>
            <w:noWrap w:val="0"/>
            <w:vAlign w:val="top"/>
          </w:tcPr>
          <w:p w14:paraId="7B2EF9F0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9.92</w:t>
            </w:r>
          </w:p>
        </w:tc>
      </w:tr>
      <w:tr w14:paraId="1C77E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F0E417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4" w:type="dxa"/>
            <w:gridSpan w:val="4"/>
            <w:noWrap w:val="0"/>
            <w:vAlign w:val="center"/>
          </w:tcPr>
          <w:p w14:paraId="7713468A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cs="宋体" w:eastAsiaTheme="minorEastAsia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按收入性质分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3936" w:type="dxa"/>
            <w:gridSpan w:val="4"/>
            <w:noWrap w:val="0"/>
            <w:vAlign w:val="center"/>
          </w:tcPr>
          <w:p w14:paraId="66BAB49E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13E1B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C3EDA7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4" w:type="dxa"/>
            <w:gridSpan w:val="4"/>
            <w:noWrap w:val="0"/>
            <w:vAlign w:val="center"/>
          </w:tcPr>
          <w:p w14:paraId="24DD533E">
            <w:pPr>
              <w:spacing w:line="193" w:lineRule="auto"/>
              <w:ind w:firstLine="180" w:firstLineChars="100"/>
              <w:jc w:val="left"/>
              <w:rPr>
                <w:rFonts w:hint="default" w:ascii="宋体" w:hAnsi="宋体" w:eastAsia="宋体" w:cs="宋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其中： 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1035.83</w:t>
            </w:r>
          </w:p>
        </w:tc>
        <w:tc>
          <w:tcPr>
            <w:tcW w:w="3936" w:type="dxa"/>
            <w:gridSpan w:val="4"/>
            <w:noWrap w:val="0"/>
            <w:vAlign w:val="center"/>
          </w:tcPr>
          <w:p w14:paraId="41245705">
            <w:pPr>
              <w:spacing w:line="194" w:lineRule="auto"/>
              <w:ind w:firstLine="180" w:firstLineChars="100"/>
              <w:jc w:val="left"/>
              <w:rPr>
                <w:rFonts w:hint="default" w:ascii="宋体" w:hAnsi="宋体" w:eastAsia="宋体" w:cs="宋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1051.09</w:t>
            </w:r>
          </w:p>
        </w:tc>
      </w:tr>
      <w:tr w14:paraId="2A8D7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BE6DC5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4" w:type="dxa"/>
            <w:gridSpan w:val="4"/>
            <w:noWrap w:val="0"/>
            <w:vAlign w:val="center"/>
          </w:tcPr>
          <w:p w14:paraId="6A066E16">
            <w:pPr>
              <w:spacing w:line="202" w:lineRule="auto"/>
              <w:ind w:firstLine="900" w:firstLineChars="500"/>
              <w:jc w:val="left"/>
              <w:rPr>
                <w:rFonts w:hint="default" w:ascii="宋体" w:hAnsi="宋体" w:eastAsia="宋体" w:cs="宋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政府性基金拨款：0.00</w:t>
            </w:r>
          </w:p>
        </w:tc>
        <w:tc>
          <w:tcPr>
            <w:tcW w:w="3936" w:type="dxa"/>
            <w:gridSpan w:val="4"/>
            <w:noWrap w:val="0"/>
            <w:vAlign w:val="center"/>
          </w:tcPr>
          <w:p w14:paraId="19FA3FE7">
            <w:pPr>
              <w:spacing w:line="201" w:lineRule="auto"/>
              <w:ind w:firstLine="720" w:firstLineChars="400"/>
              <w:jc w:val="left"/>
              <w:rPr>
                <w:rFonts w:hint="default" w:ascii="宋体" w:hAnsi="宋体" w:eastAsia="宋体" w:cs="宋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141.58</w:t>
            </w:r>
          </w:p>
        </w:tc>
      </w:tr>
      <w:tr w14:paraId="2883E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2CCB33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4" w:type="dxa"/>
            <w:gridSpan w:val="4"/>
            <w:noWrap w:val="0"/>
            <w:vAlign w:val="center"/>
          </w:tcPr>
          <w:p w14:paraId="103DEC4D">
            <w:pPr>
              <w:spacing w:line="192" w:lineRule="auto"/>
              <w:ind w:firstLine="900" w:firstLineChars="500"/>
              <w:jc w:val="left"/>
              <w:rPr>
                <w:rFonts w:hint="default" w:ascii="宋体" w:hAnsi="宋体" w:eastAsia="宋体" w:cs="宋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纳入专户管理的非税收入拨款：0.00</w:t>
            </w:r>
          </w:p>
        </w:tc>
        <w:tc>
          <w:tcPr>
            <w:tcW w:w="3936" w:type="dxa"/>
            <w:gridSpan w:val="4"/>
            <w:noWrap w:val="0"/>
            <w:vAlign w:val="center"/>
          </w:tcPr>
          <w:p w14:paraId="36CFBBEE">
            <w:pPr>
              <w:spacing w:line="239" w:lineRule="exact"/>
              <w:jc w:val="left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</w:p>
        </w:tc>
      </w:tr>
      <w:tr w14:paraId="4207B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1B48DDD1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4" w:type="dxa"/>
            <w:gridSpan w:val="4"/>
            <w:noWrap w:val="0"/>
            <w:vAlign w:val="center"/>
          </w:tcPr>
          <w:p w14:paraId="5A62EA7F">
            <w:pPr>
              <w:spacing w:line="192" w:lineRule="auto"/>
              <w:ind w:firstLine="900" w:firstLineChars="500"/>
              <w:jc w:val="left"/>
              <w:rPr>
                <w:rFonts w:hint="default" w:ascii="宋体" w:hAnsi="宋体" w:eastAsia="宋体" w:cs="宋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166.84</w:t>
            </w:r>
          </w:p>
        </w:tc>
        <w:tc>
          <w:tcPr>
            <w:tcW w:w="3936" w:type="dxa"/>
            <w:gridSpan w:val="4"/>
            <w:noWrap w:val="0"/>
            <w:vAlign w:val="center"/>
          </w:tcPr>
          <w:p w14:paraId="4C4263E1">
            <w:pPr>
              <w:spacing w:line="240" w:lineRule="exact"/>
              <w:jc w:val="left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</w:p>
        </w:tc>
      </w:tr>
      <w:tr w14:paraId="6CA2F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416FCA4">
            <w:pPr>
              <w:pStyle w:val="11"/>
              <w:spacing w:line="24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E8D6CE5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  <w:p w14:paraId="1106A4E7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  <w:p w14:paraId="425981AB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  <w:p w14:paraId="253EBBBE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  <w:p w14:paraId="390C0800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  <w:p w14:paraId="47473AE8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  <w:t>年度总体目标</w:t>
            </w:r>
          </w:p>
        </w:tc>
        <w:tc>
          <w:tcPr>
            <w:tcW w:w="5004" w:type="dxa"/>
            <w:gridSpan w:val="4"/>
            <w:noWrap w:val="0"/>
            <w:vAlign w:val="top"/>
          </w:tcPr>
          <w:p w14:paraId="74FDF984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预期目标</w:t>
            </w:r>
          </w:p>
        </w:tc>
        <w:tc>
          <w:tcPr>
            <w:tcW w:w="3936" w:type="dxa"/>
            <w:gridSpan w:val="4"/>
            <w:noWrap w:val="0"/>
            <w:vAlign w:val="top"/>
          </w:tcPr>
          <w:p w14:paraId="7F2F087A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实际完成情况</w:t>
            </w:r>
          </w:p>
        </w:tc>
      </w:tr>
      <w:tr w14:paraId="5D019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3867DF83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4" w:type="dxa"/>
            <w:gridSpan w:val="4"/>
            <w:noWrap w:val="0"/>
            <w:vAlign w:val="center"/>
          </w:tcPr>
          <w:p w14:paraId="7B33DB16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目标1：抓好教学教育工作，不断提高教育质量。加强教学常规工作管理，抓好教学质量，按时按质完成电子学籍的申报工作。</w:t>
            </w:r>
          </w:p>
          <w:p w14:paraId="22CE48DC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目标2：加强对学生的思想品德教育，使学生的德智体全面发展。加强学校德育工作和班主任队伍建设, 加强对少先队的管理，积极开展班队活动，发挥少先队的先锋模范作用，提高学生身体和心理素质，完成体质健康数据的上报工作。</w:t>
            </w:r>
          </w:p>
          <w:p w14:paraId="22C002AF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目标3：全方位保障校园安全。加强学校安全工作，切实做好交通安全、防溺水安全、防火安全、食品安全等工作，规范食堂管理，确保食品安全卫生，争取本年内无校方安全责任事故和食品安全责任事故。</w:t>
            </w:r>
          </w:p>
          <w:p w14:paraId="58F7712E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目标4：做好后勤保障工作。按时完成设备购置及维护工作，及时排除校舍安全隐患，保证教学工作的正常开展，固定资产及时入账，账实相符，后勤保障工作及时到位。</w:t>
            </w:r>
          </w:p>
          <w:p w14:paraId="58BC91FC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目标5：完成上级部门交给的其他工作，按时完成上级部门交给的创文创卫工作和其他工作。</w:t>
            </w:r>
          </w:p>
        </w:tc>
        <w:tc>
          <w:tcPr>
            <w:tcW w:w="3936" w:type="dxa"/>
            <w:gridSpan w:val="4"/>
            <w:noWrap w:val="0"/>
            <w:vAlign w:val="center"/>
          </w:tcPr>
          <w:p w14:paraId="171F073B"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目标1：教学质量得到新的提升。</w:t>
            </w:r>
          </w:p>
          <w:p w14:paraId="66E6BE50"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目标2：学生积极参与活动，逐步提高学生身体素质。</w:t>
            </w:r>
          </w:p>
          <w:p w14:paraId="3A5F51F9"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目标3：定期排查安全隐患，每月复查重点部位。安全教育多元，坚持1530主题教育和应急演练。</w:t>
            </w:r>
          </w:p>
          <w:p w14:paraId="0C862017"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目标4：教学工作按质按时完成。</w:t>
            </w:r>
          </w:p>
          <w:p w14:paraId="3728C6BA"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目标5：按时完成上级部门交代的各项工作。</w:t>
            </w:r>
          </w:p>
        </w:tc>
      </w:tr>
      <w:tr w14:paraId="4BD25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C66D01A">
            <w:pPr>
              <w:pStyle w:val="11"/>
              <w:spacing w:line="364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9A558A1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9"/>
                <w:sz w:val="18"/>
                <w:szCs w:val="18"/>
              </w:rPr>
              <w:t>绩效指标</w:t>
            </w:r>
          </w:p>
        </w:tc>
        <w:tc>
          <w:tcPr>
            <w:tcW w:w="1104" w:type="dxa"/>
            <w:noWrap w:val="0"/>
            <w:vAlign w:val="top"/>
          </w:tcPr>
          <w:p w14:paraId="58D7AC43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一级指标</w:t>
            </w:r>
          </w:p>
        </w:tc>
        <w:tc>
          <w:tcPr>
            <w:tcW w:w="984" w:type="dxa"/>
            <w:noWrap w:val="0"/>
            <w:vAlign w:val="top"/>
          </w:tcPr>
          <w:p w14:paraId="1F6FE74D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二级指标</w:t>
            </w:r>
          </w:p>
        </w:tc>
        <w:tc>
          <w:tcPr>
            <w:tcW w:w="1332" w:type="dxa"/>
            <w:noWrap w:val="0"/>
            <w:vAlign w:val="top"/>
          </w:tcPr>
          <w:p w14:paraId="05BA5B1A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三级指标</w:t>
            </w:r>
          </w:p>
        </w:tc>
        <w:tc>
          <w:tcPr>
            <w:tcW w:w="1584" w:type="dxa"/>
            <w:noWrap w:val="0"/>
            <w:vAlign w:val="top"/>
          </w:tcPr>
          <w:p w14:paraId="59A0CC63">
            <w:pPr>
              <w:spacing w:before="141" w:line="226" w:lineRule="auto"/>
              <w:ind w:left="1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年度指标值</w:t>
            </w:r>
          </w:p>
        </w:tc>
        <w:tc>
          <w:tcPr>
            <w:tcW w:w="1164" w:type="dxa"/>
            <w:noWrap w:val="0"/>
            <w:vAlign w:val="top"/>
          </w:tcPr>
          <w:p w14:paraId="3126860F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实际完成值</w:t>
            </w:r>
          </w:p>
        </w:tc>
        <w:tc>
          <w:tcPr>
            <w:tcW w:w="576" w:type="dxa"/>
            <w:noWrap w:val="0"/>
            <w:vAlign w:val="top"/>
          </w:tcPr>
          <w:p w14:paraId="763AF742">
            <w:pPr>
              <w:spacing w:before="141" w:line="227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C1004EB">
            <w:pPr>
              <w:spacing w:before="174" w:line="21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评得分</w:t>
            </w:r>
          </w:p>
        </w:tc>
        <w:tc>
          <w:tcPr>
            <w:tcW w:w="1236" w:type="dxa"/>
            <w:noWrap w:val="0"/>
            <w:vAlign w:val="top"/>
          </w:tcPr>
          <w:p w14:paraId="5BA04D2D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8"/>
                <w:szCs w:val="18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及改进措施</w:t>
            </w:r>
          </w:p>
        </w:tc>
      </w:tr>
      <w:tr w14:paraId="513CB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D6028A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2B3844C">
            <w:pPr>
              <w:pStyle w:val="11"/>
              <w:spacing w:line="27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B18029A">
            <w:pPr>
              <w:pStyle w:val="11"/>
              <w:spacing w:line="27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13842F4">
            <w:pPr>
              <w:pStyle w:val="11"/>
              <w:spacing w:line="27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AD5ED7A">
            <w:pPr>
              <w:pStyle w:val="11"/>
              <w:spacing w:line="273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D8E87ED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8"/>
                <w:szCs w:val="18"/>
              </w:rPr>
              <w:t>产出指标</w:t>
            </w:r>
          </w:p>
          <w:p w14:paraId="498DB6FF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8"/>
                <w:szCs w:val="18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8"/>
                <w:szCs w:val="18"/>
              </w:rPr>
              <w:t>分)</w:t>
            </w:r>
          </w:p>
        </w:tc>
        <w:tc>
          <w:tcPr>
            <w:tcW w:w="984" w:type="dxa"/>
            <w:vMerge w:val="restart"/>
            <w:tcBorders>
              <w:bottom w:val="nil"/>
            </w:tcBorders>
            <w:noWrap w:val="0"/>
            <w:vAlign w:val="top"/>
          </w:tcPr>
          <w:p w14:paraId="72596CDB">
            <w:pPr>
              <w:spacing w:before="274" w:line="226" w:lineRule="auto"/>
              <w:ind w:firstLine="192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F098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学生招生数量</w:t>
            </w:r>
          </w:p>
        </w:tc>
        <w:tc>
          <w:tcPr>
            <w:tcW w:w="1584" w:type="dxa"/>
            <w:noWrap w:val="0"/>
            <w:vAlign w:val="center"/>
          </w:tcPr>
          <w:p w14:paraId="3273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≥1000人</w:t>
            </w:r>
          </w:p>
        </w:tc>
        <w:tc>
          <w:tcPr>
            <w:tcW w:w="1164" w:type="dxa"/>
            <w:noWrap w:val="0"/>
            <w:vAlign w:val="center"/>
          </w:tcPr>
          <w:p w14:paraId="5BB1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921人</w:t>
            </w:r>
          </w:p>
        </w:tc>
        <w:tc>
          <w:tcPr>
            <w:tcW w:w="576" w:type="dxa"/>
            <w:noWrap w:val="0"/>
            <w:vAlign w:val="center"/>
          </w:tcPr>
          <w:p w14:paraId="2866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352D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9.2</w:t>
            </w:r>
          </w:p>
        </w:tc>
        <w:tc>
          <w:tcPr>
            <w:tcW w:w="1236" w:type="dxa"/>
            <w:noWrap w:val="0"/>
            <w:vAlign w:val="top"/>
          </w:tcPr>
          <w:p w14:paraId="4CBD6551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0B6A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FC0EC3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507609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061107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2" w:type="dxa"/>
            <w:noWrap w:val="0"/>
            <w:vAlign w:val="top"/>
          </w:tcPr>
          <w:p w14:paraId="5131A158">
            <w:pPr>
              <w:pStyle w:val="11"/>
              <w:spacing w:line="235" w:lineRule="exact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教师培训次数</w:t>
            </w:r>
          </w:p>
        </w:tc>
        <w:tc>
          <w:tcPr>
            <w:tcW w:w="1584" w:type="dxa"/>
            <w:noWrap w:val="0"/>
            <w:vAlign w:val="center"/>
          </w:tcPr>
          <w:p w14:paraId="2ECF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≧3次</w:t>
            </w:r>
          </w:p>
        </w:tc>
        <w:tc>
          <w:tcPr>
            <w:tcW w:w="1164" w:type="dxa"/>
            <w:noWrap w:val="0"/>
            <w:vAlign w:val="center"/>
          </w:tcPr>
          <w:p w14:paraId="044A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3次</w:t>
            </w:r>
          </w:p>
        </w:tc>
        <w:tc>
          <w:tcPr>
            <w:tcW w:w="576" w:type="dxa"/>
            <w:noWrap w:val="0"/>
            <w:vAlign w:val="center"/>
          </w:tcPr>
          <w:p w14:paraId="6DF2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7E07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26027A6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4B7F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6AED28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C8752F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restart"/>
            <w:tcBorders>
              <w:bottom w:val="nil"/>
            </w:tcBorders>
            <w:noWrap w:val="0"/>
            <w:vAlign w:val="top"/>
          </w:tcPr>
          <w:p w14:paraId="71AC86AE">
            <w:pPr>
              <w:spacing w:before="273" w:line="226" w:lineRule="auto"/>
              <w:ind w:firstLine="194" w:firstLineChars="1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质量指标</w:t>
            </w:r>
          </w:p>
        </w:tc>
        <w:tc>
          <w:tcPr>
            <w:tcW w:w="1332" w:type="dxa"/>
            <w:noWrap w:val="0"/>
            <w:vAlign w:val="top"/>
          </w:tcPr>
          <w:p w14:paraId="29DF4ADC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校园修缮完成率</w:t>
            </w:r>
          </w:p>
        </w:tc>
        <w:tc>
          <w:tcPr>
            <w:tcW w:w="1584" w:type="dxa"/>
            <w:noWrap w:val="0"/>
            <w:vAlign w:val="center"/>
          </w:tcPr>
          <w:p w14:paraId="0F0E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≤100%</w:t>
            </w:r>
          </w:p>
        </w:tc>
        <w:tc>
          <w:tcPr>
            <w:tcW w:w="1164" w:type="dxa"/>
            <w:noWrap w:val="0"/>
            <w:vAlign w:val="center"/>
          </w:tcPr>
          <w:p w14:paraId="01D6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576" w:type="dxa"/>
            <w:noWrap w:val="0"/>
            <w:vAlign w:val="center"/>
          </w:tcPr>
          <w:p w14:paraId="2A1B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AB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4.5</w:t>
            </w:r>
          </w:p>
        </w:tc>
        <w:tc>
          <w:tcPr>
            <w:tcW w:w="1236" w:type="dxa"/>
            <w:noWrap w:val="0"/>
            <w:vAlign w:val="top"/>
          </w:tcPr>
          <w:p w14:paraId="44F3BF5E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9856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31A8DA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8D01B5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467BD02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2" w:type="dxa"/>
            <w:noWrap w:val="0"/>
            <w:vAlign w:val="top"/>
          </w:tcPr>
          <w:p w14:paraId="1F1A3D0C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设备验收合格率</w:t>
            </w:r>
          </w:p>
        </w:tc>
        <w:tc>
          <w:tcPr>
            <w:tcW w:w="1584" w:type="dxa"/>
            <w:noWrap w:val="0"/>
            <w:vAlign w:val="center"/>
          </w:tcPr>
          <w:p w14:paraId="34C8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≥100%</w:t>
            </w:r>
          </w:p>
        </w:tc>
        <w:tc>
          <w:tcPr>
            <w:tcW w:w="1164" w:type="dxa"/>
            <w:noWrap w:val="0"/>
            <w:vAlign w:val="center"/>
          </w:tcPr>
          <w:p w14:paraId="009D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7917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2D0B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32C38D35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B5E9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1EE7A5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1017905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6ECC476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时效指标</w:t>
            </w:r>
          </w:p>
        </w:tc>
        <w:tc>
          <w:tcPr>
            <w:tcW w:w="133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76A32114">
            <w:pPr>
              <w:pStyle w:val="11"/>
              <w:spacing w:line="235" w:lineRule="exact"/>
              <w:jc w:val="center"/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C1107E0">
            <w:pPr>
              <w:pStyle w:val="11"/>
              <w:spacing w:line="235" w:lineRule="exact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年度内完成教学任务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center"/>
          </w:tcPr>
          <w:p w14:paraId="12CB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164" w:type="dxa"/>
            <w:noWrap w:val="0"/>
            <w:vAlign w:val="center"/>
          </w:tcPr>
          <w:p w14:paraId="1788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576" w:type="dxa"/>
            <w:noWrap w:val="0"/>
            <w:vAlign w:val="center"/>
          </w:tcPr>
          <w:p w14:paraId="6301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3C27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0A0E76CF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6872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36717B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C686C8E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16F6A24D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成本指标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8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全年教育投入经费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center"/>
          </w:tcPr>
          <w:p w14:paraId="66E0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≤1192.67万元</w:t>
            </w:r>
          </w:p>
        </w:tc>
        <w:tc>
          <w:tcPr>
            <w:tcW w:w="1164" w:type="dxa"/>
            <w:noWrap w:val="0"/>
            <w:vAlign w:val="center"/>
          </w:tcPr>
          <w:p w14:paraId="66EB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1192.67万元</w:t>
            </w:r>
          </w:p>
        </w:tc>
        <w:tc>
          <w:tcPr>
            <w:tcW w:w="576" w:type="dxa"/>
            <w:noWrap w:val="0"/>
            <w:vAlign w:val="center"/>
          </w:tcPr>
          <w:p w14:paraId="508B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4FEE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1A8C6CA9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974D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0C2966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2157FEF">
            <w:pPr>
              <w:pStyle w:val="11"/>
              <w:spacing w:line="256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CE565B3">
            <w:pPr>
              <w:pStyle w:val="11"/>
              <w:spacing w:line="256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A54530B">
            <w:pPr>
              <w:pStyle w:val="11"/>
              <w:spacing w:line="256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EF866B9">
            <w:pPr>
              <w:pStyle w:val="11"/>
              <w:spacing w:line="256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0568465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8"/>
                <w:szCs w:val="18"/>
              </w:rPr>
              <w:t>效益指标</w:t>
            </w:r>
          </w:p>
          <w:p w14:paraId="1078DF24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分）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C7B7C48">
            <w:pPr>
              <w:spacing w:before="154" w:line="233" w:lineRule="auto"/>
              <w:ind w:firstLine="190" w:firstLineChars="1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经济效</w:t>
            </w:r>
          </w:p>
          <w:p w14:paraId="530E9385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益指标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6FE2A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1FD012B2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不适用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top"/>
          </w:tcPr>
          <w:p w14:paraId="57813E81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59073583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不适用</w:t>
            </w:r>
          </w:p>
        </w:tc>
        <w:tc>
          <w:tcPr>
            <w:tcW w:w="1164" w:type="dxa"/>
            <w:noWrap w:val="0"/>
            <w:vAlign w:val="top"/>
          </w:tcPr>
          <w:p w14:paraId="1358A0F3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4ABFE83D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不适用</w:t>
            </w:r>
          </w:p>
        </w:tc>
        <w:tc>
          <w:tcPr>
            <w:tcW w:w="576" w:type="dxa"/>
            <w:noWrap w:val="0"/>
            <w:vAlign w:val="top"/>
          </w:tcPr>
          <w:p w14:paraId="43334516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412CBF6F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 w14:paraId="26376D24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55813074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6" w:type="dxa"/>
            <w:noWrap w:val="0"/>
            <w:vAlign w:val="top"/>
          </w:tcPr>
          <w:p w14:paraId="122999EA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2446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77C985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B848821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26DFFB13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</w:p>
          <w:p w14:paraId="619C1264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社会效</w:t>
            </w:r>
          </w:p>
          <w:p w14:paraId="185BD49B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益指标</w:t>
            </w:r>
          </w:p>
        </w:tc>
        <w:tc>
          <w:tcPr>
            <w:tcW w:w="133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42E1F182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改善城区教育教学水平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top"/>
          </w:tcPr>
          <w:p w14:paraId="5ED89E58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1AE0783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有所提升</w:t>
            </w:r>
          </w:p>
        </w:tc>
        <w:tc>
          <w:tcPr>
            <w:tcW w:w="1164" w:type="dxa"/>
            <w:noWrap w:val="0"/>
            <w:vAlign w:val="top"/>
          </w:tcPr>
          <w:p w14:paraId="194F3DA3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00079AD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有所提升</w:t>
            </w:r>
          </w:p>
        </w:tc>
        <w:tc>
          <w:tcPr>
            <w:tcW w:w="576" w:type="dxa"/>
            <w:noWrap w:val="0"/>
            <w:vAlign w:val="top"/>
          </w:tcPr>
          <w:p w14:paraId="2C47933E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6D2F745F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top"/>
          </w:tcPr>
          <w:p w14:paraId="2B23C24F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209C4576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5FA50A0B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F348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996496B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0C702A64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BD4B513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1C3CD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加强教师队伍建设，提高教师专业素养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top"/>
          </w:tcPr>
          <w:p w14:paraId="2CF7A2B9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14E115CB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有所加强</w:t>
            </w:r>
          </w:p>
        </w:tc>
        <w:tc>
          <w:tcPr>
            <w:tcW w:w="1164" w:type="dxa"/>
            <w:noWrap w:val="0"/>
            <w:vAlign w:val="top"/>
          </w:tcPr>
          <w:p w14:paraId="665BFA2C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7B33A83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有所加强</w:t>
            </w:r>
          </w:p>
        </w:tc>
        <w:tc>
          <w:tcPr>
            <w:tcW w:w="576" w:type="dxa"/>
            <w:noWrap w:val="0"/>
            <w:vAlign w:val="top"/>
          </w:tcPr>
          <w:p w14:paraId="54ECD85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45E5C796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top"/>
          </w:tcPr>
          <w:p w14:paraId="51B34218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6859A9D1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4.68</w:t>
            </w:r>
          </w:p>
        </w:tc>
        <w:tc>
          <w:tcPr>
            <w:tcW w:w="1236" w:type="dxa"/>
            <w:noWrap w:val="0"/>
            <w:vAlign w:val="top"/>
          </w:tcPr>
          <w:p w14:paraId="06A761B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3F42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285A161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06C5AAA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C4C5305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生态效</w:t>
            </w:r>
          </w:p>
          <w:p w14:paraId="62D88318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益指标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283A2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开展环境保护教育，提升教职工及学生生态环保意识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top"/>
          </w:tcPr>
          <w:p w14:paraId="7D2E80A1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644F3A1A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有所提升</w:t>
            </w:r>
          </w:p>
        </w:tc>
        <w:tc>
          <w:tcPr>
            <w:tcW w:w="1164" w:type="dxa"/>
            <w:noWrap w:val="0"/>
            <w:vAlign w:val="top"/>
          </w:tcPr>
          <w:p w14:paraId="348B2178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0EB4E24A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有所提升</w:t>
            </w:r>
          </w:p>
        </w:tc>
        <w:tc>
          <w:tcPr>
            <w:tcW w:w="576" w:type="dxa"/>
            <w:noWrap w:val="0"/>
            <w:vAlign w:val="top"/>
          </w:tcPr>
          <w:p w14:paraId="7448B84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328C804E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top"/>
          </w:tcPr>
          <w:p w14:paraId="632A8EA0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7220AD7F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9.6</w:t>
            </w:r>
          </w:p>
        </w:tc>
        <w:tc>
          <w:tcPr>
            <w:tcW w:w="1236" w:type="dxa"/>
            <w:noWrap w:val="0"/>
            <w:vAlign w:val="top"/>
          </w:tcPr>
          <w:p w14:paraId="0CFFB1A8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3F28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EB14FE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1E368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EC253D1">
            <w:pPr>
              <w:spacing w:before="207" w:line="230" w:lineRule="auto"/>
              <w:ind w:right="116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8522D2">
            <w:pPr>
              <w:pStyle w:val="11"/>
              <w:spacing w:line="235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27C7AE02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教育事业可持续发展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center"/>
          </w:tcPr>
          <w:p w14:paraId="0D01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1164" w:type="dxa"/>
            <w:noWrap w:val="0"/>
            <w:vAlign w:val="center"/>
          </w:tcPr>
          <w:p w14:paraId="3DD9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576" w:type="dxa"/>
            <w:noWrap w:val="0"/>
            <w:vAlign w:val="center"/>
          </w:tcPr>
          <w:p w14:paraId="0E90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BF2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9.8</w:t>
            </w:r>
          </w:p>
        </w:tc>
        <w:tc>
          <w:tcPr>
            <w:tcW w:w="1236" w:type="dxa"/>
            <w:noWrap w:val="0"/>
            <w:vAlign w:val="top"/>
          </w:tcPr>
          <w:p w14:paraId="7E4B9B7D">
            <w:pPr>
              <w:pStyle w:val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E9CF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CC39EA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A12BAFE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满意度</w:t>
            </w:r>
          </w:p>
          <w:p w14:paraId="32BC0944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指标</w:t>
            </w:r>
          </w:p>
          <w:p w14:paraId="0282DCD4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分）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E35A2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服务对象</w:t>
            </w:r>
          </w:p>
          <w:p w14:paraId="31BB4C20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满意度指</w:t>
            </w:r>
          </w:p>
          <w:p w14:paraId="287B1F57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标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53E06374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学生满意度</w:t>
            </w:r>
          </w:p>
        </w:tc>
        <w:tc>
          <w:tcPr>
            <w:tcW w:w="1584" w:type="dxa"/>
            <w:noWrap w:val="0"/>
            <w:vAlign w:val="top"/>
          </w:tcPr>
          <w:p w14:paraId="14C2A648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≧95%</w:t>
            </w:r>
          </w:p>
        </w:tc>
        <w:tc>
          <w:tcPr>
            <w:tcW w:w="1164" w:type="dxa"/>
            <w:noWrap w:val="0"/>
            <w:vAlign w:val="top"/>
          </w:tcPr>
          <w:p w14:paraId="730A41A3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top"/>
          </w:tcPr>
          <w:p w14:paraId="35744124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60" w:type="dxa"/>
            <w:noWrap w:val="0"/>
            <w:vAlign w:val="top"/>
          </w:tcPr>
          <w:p w14:paraId="3A97FA7D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36" w:type="dxa"/>
            <w:noWrap w:val="0"/>
            <w:vAlign w:val="top"/>
          </w:tcPr>
          <w:p w14:paraId="52FC0F08">
            <w:pPr>
              <w:pStyle w:val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396A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A99E3A0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BE4931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E2A1C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2" w:type="dxa"/>
            <w:tcBorders>
              <w:left w:val="single" w:color="auto" w:sz="4" w:space="0"/>
            </w:tcBorders>
            <w:noWrap w:val="0"/>
            <w:vAlign w:val="top"/>
          </w:tcPr>
          <w:p w14:paraId="5D7AC8A5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家长满意度</w:t>
            </w:r>
          </w:p>
        </w:tc>
        <w:tc>
          <w:tcPr>
            <w:tcW w:w="1584" w:type="dxa"/>
            <w:noWrap w:val="0"/>
            <w:vAlign w:val="top"/>
          </w:tcPr>
          <w:p w14:paraId="22B70D27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≧95%</w:t>
            </w:r>
          </w:p>
        </w:tc>
        <w:tc>
          <w:tcPr>
            <w:tcW w:w="1164" w:type="dxa"/>
            <w:noWrap w:val="0"/>
            <w:vAlign w:val="top"/>
          </w:tcPr>
          <w:p w14:paraId="258E6F5D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top"/>
          </w:tcPr>
          <w:p w14:paraId="586947B7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60" w:type="dxa"/>
            <w:noWrap w:val="0"/>
            <w:vAlign w:val="top"/>
          </w:tcPr>
          <w:p w14:paraId="3ACFC4B1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36" w:type="dxa"/>
            <w:noWrap w:val="0"/>
            <w:vAlign w:val="top"/>
          </w:tcPr>
          <w:p w14:paraId="79CD9A06">
            <w:pPr>
              <w:pStyle w:val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9042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04" w:type="dxa"/>
            <w:vMerge w:val="continue"/>
            <w:tcBorders>
              <w:top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733BEEE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7D47FEC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2F8E0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2" w:type="dxa"/>
            <w:tcBorders>
              <w:left w:val="single" w:color="auto" w:sz="4" w:space="0"/>
            </w:tcBorders>
            <w:noWrap w:val="0"/>
            <w:vAlign w:val="top"/>
          </w:tcPr>
          <w:p w14:paraId="1B9B1B10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社会公众满意度</w:t>
            </w:r>
          </w:p>
        </w:tc>
        <w:tc>
          <w:tcPr>
            <w:tcW w:w="1584" w:type="dxa"/>
            <w:noWrap w:val="0"/>
            <w:vAlign w:val="center"/>
          </w:tcPr>
          <w:p w14:paraId="6400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164" w:type="dxa"/>
            <w:noWrap w:val="0"/>
            <w:vAlign w:val="center"/>
          </w:tcPr>
          <w:p w14:paraId="0DBB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7001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noWrap w:val="0"/>
            <w:vAlign w:val="center"/>
          </w:tcPr>
          <w:p w14:paraId="67CD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36" w:type="dxa"/>
            <w:noWrap w:val="0"/>
            <w:vAlign w:val="top"/>
          </w:tcPr>
          <w:p w14:paraId="715FDC97">
            <w:pPr>
              <w:pStyle w:val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1202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272" w:type="dxa"/>
            <w:gridSpan w:val="6"/>
            <w:noWrap w:val="0"/>
            <w:vAlign w:val="top"/>
          </w:tcPr>
          <w:p w14:paraId="6D87050C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总分</w:t>
            </w:r>
          </w:p>
        </w:tc>
        <w:tc>
          <w:tcPr>
            <w:tcW w:w="576" w:type="dxa"/>
            <w:noWrap w:val="0"/>
            <w:vAlign w:val="center"/>
          </w:tcPr>
          <w:p w14:paraId="5CCC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noWrap w:val="0"/>
            <w:vAlign w:val="center"/>
          </w:tcPr>
          <w:p w14:paraId="2280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97.70</w:t>
            </w:r>
          </w:p>
        </w:tc>
        <w:tc>
          <w:tcPr>
            <w:tcW w:w="1236" w:type="dxa"/>
            <w:noWrap w:val="0"/>
            <w:vAlign w:val="top"/>
          </w:tcPr>
          <w:p w14:paraId="26ECF59E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23FA9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75375870">
      <w:pPr>
        <w:tabs>
          <w:tab w:val="left" w:pos="2572"/>
        </w:tabs>
        <w:bidi w:val="0"/>
        <w:jc w:val="left"/>
        <w:rPr>
          <w:rFonts w:hint="eastAsia" w:eastAsiaTheme="minorEastAsia"/>
          <w:lang w:eastAsia="zh-CN"/>
        </w:rPr>
      </w:pPr>
    </w:p>
    <w:p w14:paraId="1FDDD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default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陈俊        </w:t>
      </w:r>
      <w:r>
        <w:rPr>
          <w:rFonts w:hint="eastAsia" w:ascii="宋体" w:hAnsi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 xml:space="preserve"> 联系电话：18107308906</w:t>
      </w:r>
      <w:r>
        <w:rPr>
          <w:rFonts w:hint="eastAsia" w:ascii="宋体" w:hAnsi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  <w:lang w:val="en-US" w:eastAsia="zh-CN"/>
        </w:rPr>
        <w:t>2025年7月1日</w:t>
      </w:r>
    </w:p>
    <w:p w14:paraId="6D4D349D">
      <w:pPr>
        <w:tabs>
          <w:tab w:val="left" w:pos="2572"/>
        </w:tabs>
        <w:bidi w:val="0"/>
        <w:jc w:val="left"/>
        <w:rPr>
          <w:rFonts w:hint="eastAsia" w:eastAsiaTheme="minorEastAsia"/>
          <w:lang w:eastAsia="zh-CN"/>
        </w:rPr>
      </w:pPr>
    </w:p>
    <w:sectPr>
      <w:footerReference r:id="rId4" w:type="default"/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001E1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FA2FC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DFA2FC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80864"/>
    <w:multiLevelType w:val="singleLevel"/>
    <w:tmpl w:val="80F808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9525FE"/>
    <w:multiLevelType w:val="singleLevel"/>
    <w:tmpl w:val="8F9525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106682A"/>
    <w:multiLevelType w:val="singleLevel"/>
    <w:tmpl w:val="A106682A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C3452724"/>
    <w:multiLevelType w:val="singleLevel"/>
    <w:tmpl w:val="C3452724"/>
    <w:lvl w:ilvl="0" w:tentative="0">
      <w:start w:val="4"/>
      <w:numFmt w:val="decimal"/>
      <w:suff w:val="nothing"/>
      <w:lvlText w:val="%1、"/>
      <w:lvlJc w:val="left"/>
    </w:lvl>
  </w:abstractNum>
  <w:abstractNum w:abstractNumId="4">
    <w:nsid w:val="DFC0C5EF"/>
    <w:multiLevelType w:val="singleLevel"/>
    <w:tmpl w:val="DFC0C5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11310E23"/>
    <w:multiLevelType w:val="singleLevel"/>
    <w:tmpl w:val="11310E23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26CDAD09"/>
    <w:multiLevelType w:val="singleLevel"/>
    <w:tmpl w:val="26CDAD0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3316DE5C"/>
    <w:multiLevelType w:val="singleLevel"/>
    <w:tmpl w:val="3316DE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0F5523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BD2C25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A71AD5"/>
    <w:rsid w:val="6FA752CC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4841</Words>
  <Characters>5359</Characters>
  <Lines>0</Lines>
  <Paragraphs>0</Paragraphs>
  <TotalTime>16</TotalTime>
  <ScaleCrop>false</ScaleCrop>
  <LinksUpToDate>false</LinksUpToDate>
  <CharactersWithSpaces>5415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si</cp:lastModifiedBy>
  <dcterms:modified xsi:type="dcterms:W3CDTF">2025-07-14T02:12:26Z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eyJoZGlkIjoiYjg2NTcxMjRiMTQ0MDZhYjcxNzE3MDBhM2ExOWExMjAiLCJ1c2VySWQiOiIyOTUzNjMwMDkifQ==</vt:lpwstr>
  </property>
</Properties>
</file>