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F941E0">
      <w:pPr>
        <w:pStyle w:val="2"/>
        <w:spacing w:before="102" w:line="224" w:lineRule="auto"/>
        <w:sectPr>
          <w:footerReference r:id="rId3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  <w:r>
        <w:drawing>
          <wp:inline distT="0" distB="0" distL="114300" distR="114300">
            <wp:extent cx="5509895" cy="7432675"/>
            <wp:effectExtent l="0" t="0" r="6985" b="4445"/>
            <wp:docPr id="1" name="图片 1" descr="胥家桥小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胥家桥小学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09895" cy="743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岳阳市岳阳楼区胥家桥小学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F4093C2">
      <w:pPr>
        <w:spacing w:line="283" w:lineRule="auto"/>
        <w:rPr>
          <w:rFonts w:ascii="Arial"/>
          <w:sz w:val="21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0759F2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（一）职能职责</w:t>
      </w:r>
    </w:p>
    <w:p w14:paraId="152A7ADE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1、宣传贯彻执行党和国家的教育方针、政策、法律法规等，坚持依法治教、依法治学，贯彻执行岳阳楼区教育局的行政规章制度。</w:t>
      </w:r>
    </w:p>
    <w:p w14:paraId="3E5F70E6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2、维护学校的教学秩序，为学生创造良好的学习环境。</w:t>
      </w:r>
    </w:p>
    <w:p w14:paraId="2670AA78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3、积极稳妥地推进教育改革，按教育规律办事，不断提高教育质量。</w:t>
      </w:r>
    </w:p>
    <w:p w14:paraId="23DC1629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4、根据学校规模，设置学校管理机构，建立健全各项规章制度和岗位责任制。</w:t>
      </w:r>
    </w:p>
    <w:p w14:paraId="7928E4A0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5、坚持教书育人，服务育人，环境育人方针，加强对学生的思想品德教育，使学生的德智体全面发展。</w:t>
      </w:r>
    </w:p>
    <w:p w14:paraId="3B53685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6、抓好教师队伍建设，使每个教师都热心于教育事业。</w:t>
      </w:r>
    </w:p>
    <w:p w14:paraId="2FE3B181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7、做好安全防范，保证学生的人身安全。</w:t>
      </w:r>
    </w:p>
    <w:p w14:paraId="5A8A4366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（二）机构设置</w:t>
      </w:r>
    </w:p>
    <w:p w14:paraId="081B3228">
      <w:pPr>
        <w:keepNext/>
        <w:keepLines/>
        <w:widowControl/>
        <w:spacing w:beforeLines="0" w:afterLines="0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本部门内设机构包括：校务办、教研室、德育办、后勤保卫办。根据编办核定，我校共有教职工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人，其中：在职编制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人；离退休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人。其中：事业编制职工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15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33744F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1：坚持政治理论学习和业务能力培养,坚持建立正确有效的学校价值体系和文化,创建浓厚的学习氛围。</w:t>
      </w:r>
    </w:p>
    <w:p w14:paraId="33AD7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2：严格按照国家课程标准开齐开足课程，包括语文、数学、英语等基础学科，以及体育、艺术、科学、劳动等综合学科，确保学生知识结构均衡。</w:t>
      </w:r>
    </w:p>
    <w:p w14:paraId="0B839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 3：为教师制定个性化成长计划，鼓励教师参加学历提升、技能培训、课题研究等。实施 “青蓝工程”，安排经验丰富的教师与青年教师结对，帮助青年教师快速成长。同时，建立教师评价体系，将教学业绩、教研成果、师德表现等纳入评价范围，激励教师不断进步。</w:t>
      </w:r>
    </w:p>
    <w:p w14:paraId="6511C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</w:r>
    </w:p>
    <w:p w14:paraId="0DD67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 xml:space="preserve">   5：全方位保障校园安全。加强学校安全工作，切实做好交通安全、防溺水安全、防火安全、食品安全等工作，规范食堂管理，确保食品安全卫生，争取本年内无校方安全责任事故和食品安全责任事故。</w:t>
      </w:r>
    </w:p>
    <w:p w14:paraId="34F5A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：师生培养工作：完成年初既定学生招生工作；引进优质教师，开展教师培训工作，建立优质的师资队伍；丰富学生课外活动，拓展学生课外知识，调整学生学习心态，秉持以人为本的教育方式；落实“双减”任务，减轻学生过重作业负担和校外培训负担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4DE1FE6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299.90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20E169C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235.07万元：包括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59.90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4.94万元；奖金31.57万元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伙食补助费6.40万元；绩效工资49.00万元；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21.48万元；职工基本医疗保险缴费8.70万元；其他社会保障缴费1.89万元；住房公积金15.78万元；其他工资福利4.60万元；退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22.06万元；生活补助8.55万元；代缴社会保险费0.20万元。</w:t>
      </w:r>
    </w:p>
    <w:p w14:paraId="15E7E0E2">
      <w:pPr>
        <w:spacing w:line="240" w:lineRule="auto"/>
        <w:ind w:firstLine="600" w:firstLineChars="200"/>
        <w:rPr>
          <w:rFonts w:hint="default" w:ascii="楷体" w:hAnsi="楷体" w:eastAsia="楷体" w:cs="楷体"/>
          <w:spacing w:val="9"/>
          <w:position w:val="21"/>
          <w:sz w:val="31"/>
          <w:szCs w:val="31"/>
          <w:lang w:val="en-US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64.83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1.54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1.14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0.46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2.41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物业管理费0.27万元；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4.96</w:t>
      </w:r>
      <w:r>
        <w:rPr>
          <w:rFonts w:hint="eastAsia" w:ascii="仿宋" w:hAnsi="仿宋" w:eastAsia="仿宋" w:cs="仿宋"/>
          <w:bCs/>
          <w:sz w:val="30"/>
          <w:szCs w:val="30"/>
        </w:rPr>
        <w:t>万元；培训费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0.43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36.68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劳务费0.97万元；</w:t>
      </w:r>
      <w:r>
        <w:rPr>
          <w:rFonts w:hint="eastAsia" w:ascii="仿宋" w:hAnsi="仿宋" w:eastAsia="仿宋" w:cs="仿宋"/>
          <w:bCs/>
          <w:sz w:val="30"/>
          <w:szCs w:val="30"/>
        </w:rPr>
        <w:t>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0.76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14.36万元；专用设备购置0.85万元。</w:t>
      </w:r>
    </w:p>
    <w:p w14:paraId="5565AB25">
      <w:pPr>
        <w:pStyle w:val="9"/>
      </w:pP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429021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95.54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13.55万元；津贴补贴1.54万元；奖金3.38万元；绩效工资4.53万元；机关事业单位基本养老保险缴费0.64万元；职工基本医疗保险缴费0.28万元；其他社会保障缴费0.25万元；住房公积金0.85万元；医疗费1.35万元；其他工资福利9.77万元；办公费0.83万元；印刷费2.06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12.99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1.41万元；专用材料费12.27万元；劳务费1.49万元；工会经费3.91万元；其他商品和服务支出8.19万元；退休费1.81万元；生活补助11.47万元；奖励金0.10万元；其他对个人和家庭的补助0.16万元；专用设备购置0.63万元；大型修缮2.08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6782FCD7">
      <w:pPr>
        <w:pStyle w:val="9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6899A62">
      <w:pPr>
        <w:pStyle w:val="9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1B5CACB">
      <w:pPr>
        <w:pStyle w:val="9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8ED0A17">
      <w:pPr>
        <w:numPr>
          <w:ilvl w:val="0"/>
          <w:numId w:val="0"/>
        </w:numPr>
        <w:spacing w:line="240" w:lineRule="auto"/>
        <w:ind w:firstLine="600" w:firstLineChars="200"/>
        <w:jc w:val="left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为深入贯彻落实全面实施预算绩效管理的要求，建立科学、合理的预算支出绩效评价体系，提升财政资源配置效率与使用效益，特对胥家桥小学单位整体支出绩效情况进行全面剖析。旨在清晰呈现学校资金使用的全过程及效果，为后续优化管理提供有力依据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E371FAB">
      <w:pPr>
        <w:numPr>
          <w:ilvl w:val="0"/>
          <w:numId w:val="4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4EE57B08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高度重视校园安全工作，将其视为学校发展的重要保障。严格落实“1530”及三防教育，“1530”教育模式可能是指每天放学前1分钟、每周放学前5分钟、节假日放假前30分钟对学生进行安全教育，三防教育则是指人防、物防、技防教育。通过这种常态化的安全教育，提高了学生的安全意识和自我保护能力。</w:t>
      </w:r>
    </w:p>
    <w:p w14:paraId="6369BC03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食堂专项整治和双重安全防护体系行动迅速，这表明学校在食品安全和校园整体安全方面采取了积极有效的措施。食堂专项整治可能包括对食堂食品采购、加工、储存等环节的严格监管，确保师生饮食安全。双重安全防护体系可能涵盖了校园安全管理的多个方面，如门禁管理、校园巡逻、安全设施设备的维护等。这些措施的有效实施，使得学校在一学年内实现了0安全事故，为师生创造了一个安全稳定的学习和工作环境。</w:t>
      </w:r>
    </w:p>
    <w:p w14:paraId="46A32189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校园面貌改善方面，学校完成了5间教室翻新，2间办公室桌椅和墙面翻新。教室翻新为学生提供了更加舒适、美观的学习环境，有利于提高学生的学习积极性。办公室的翻新改善了教师的工作环境，体现了学校对教师的关心，有助于提高教师的工作满意度和工作效率。</w:t>
      </w:r>
    </w:p>
    <w:p w14:paraId="31F5328F">
      <w:pPr>
        <w:pStyle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24E59C3E">
      <w:pPr>
        <w:pStyle w:val="9"/>
        <w:ind w:left="0" w:leftChars="0"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（一）整体教学质量显著提升</w:t>
      </w:r>
    </w:p>
    <w:p w14:paraId="0E394020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在过去的3年里，学校教学质量实现了令人瞩目的进步。从最初处于倒数前3的位置，逐年稳步上升，每年前进8个名次，最终进入正数前3的行列。这一成绩的取得，是学校全体师生共同努力的结果，反映了学校在教学管理、师资队伍建设、教学方法改进等多方面工作的有效性。这种持续的进步也得到了外部的认可，学校被评为“教学质量先进单位”，这一荣誉是对学校整体教学水平的高度肯定，有助于提升学校的声誉和竞争力。</w:t>
      </w:r>
    </w:p>
    <w:p w14:paraId="2468EFD6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（二）学科组成绩突出</w:t>
      </w:r>
    </w:p>
    <w:p w14:paraId="63E6B306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六年级语文和六年级数学学科组在众多学科组中脱颖而出，被评为“先进学科组”。这表明这两个学科组在教学计划制定、教学方法创新、教学团队协作以及学生成绩提升等方面表现卓越。学科组内的教师们可能通过集体备课、共享教学资源、共同研究教学难点等方式，提高了教学质量，为其他学科组树立了良好的榜样。</w:t>
      </w:r>
    </w:p>
    <w:p w14:paraId="0AE7FC62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（三）教师课题研究成果</w:t>
      </w:r>
    </w:p>
    <w:p w14:paraId="41FA4A15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三位老师的小课题均成功结题，这体现了学校教师在教学研究方面的积极性和能力。小课题研究通常聚焦于教学实践中的具体问题，如教学方法的优化、学生学习兴趣的提高等。教师们能够深入研究并成功结题，说明他们具备一定的教育科研能力，能够运用科学的研究方法解决教学中的实际问题，这不仅有助于提高自身的教学水平，也为学校的教学改革提供了有益的经验。</w:t>
      </w:r>
    </w:p>
    <w:p w14:paraId="43BD3868">
      <w:pPr>
        <w:pStyle w:val="9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0C39FC51">
      <w:pPr>
        <w:pStyle w:val="9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及时完成在校学生的春、秋两季教学计划，及时发放教职工的工资及福利待遇。</w:t>
      </w:r>
    </w:p>
    <w:p w14:paraId="6C6868F9">
      <w:pPr>
        <w:pStyle w:val="9"/>
        <w:numPr>
          <w:ilvl w:val="0"/>
          <w:numId w:val="5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6E9DCA83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全年经费开支控制在预算内。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044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0834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6ED3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37094D45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月份以“争做爱国好队员”为主题，开展国庆爱国主义教育活动，增强学生的爱国主义情感。建队日活动中的大队委改选、中队辅导员聘书发放等，有助于加强少先队组织建设，提高学生的自我管理能力。开展禁毒教育主题活动，提高学生的禁毒意识，保护学生的身心健康。九九重阳尊老爱幼活动，传承中华民族的传统美德，培养学生的社会责任感。</w:t>
      </w:r>
    </w:p>
    <w:p w14:paraId="222E5E48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一月份的“争做学习好队员”主题下，结合11.9消防日开展学习应急疏散演练，提高学生的安全意识和应急能力。爱眼护眼主题教育活动，引导学生养成良好的用眼习惯。垃圾分类主题教育活动，培养学生的环保意识。举行秋季运动会，增强学生的体质，培养学生的团队合作精神。开展学习中山精神主题教育活动，传承革命先辈的精神。</w:t>
      </w:r>
    </w:p>
    <w:p w14:paraId="2C9480DF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十二月份的“争做文明好队员”主题活动中，文明礼仪教育活动有助于提高学生的文明素养。法制教育活动，增强学生的法制观念。结合“12.13”国家公祭日开展国防教育主题队会，让学生铭记历史，增强国防意识。</w:t>
      </w:r>
    </w:p>
    <w:p w14:paraId="0718D80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34BFC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通过学校的宣传教育，提高全体教职人员及学生的生态保护意识。</w:t>
      </w:r>
    </w:p>
    <w:p w14:paraId="42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1CAA1095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稳步提高教育质量，培植学校特色，打造学校品牌，促进教育事业持续发展。</w:t>
      </w:r>
    </w:p>
    <w:p w14:paraId="6859104E">
      <w:pPr>
        <w:pStyle w:val="9"/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259AA4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学生满意度95%，家长满意度96%，教职工满意度98%。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237BD2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1、在一些教学改革活动中，虽然学校积极推动，但部分教师和学生的参与度可能还不够高，需要进一步加强宣传和引导；</w:t>
      </w:r>
    </w:p>
    <w:p w14:paraId="2AE93D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2、在德育工作中，虽然开展了丰富多彩的活动，但活动的深度和持续性可能还需要进一步提高，以确保德育效果能够更加深入持久地影响学生。</w:t>
      </w:r>
    </w:p>
    <w:p w14:paraId="62203F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3、学校设备老旧，急需更新，基础设施薄弱。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8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、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工作建议</w:t>
      </w:r>
    </w:p>
    <w:p w14:paraId="7F605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1.成立教学改革宣传小组，通过教师大会、教研组专题会、等形式，系统解读教学改革的核心目标、对教师专业成长的促进作用以及对学生能力提升的实际价值。</w:t>
      </w:r>
    </w:p>
    <w:p w14:paraId="2956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2. 为每个班级配备德育成长档案袋，记录学生在系列活动中的表现、感悟及行为变化，由班主任、家长共同填写观察记录。每学期末组织 “德育效果复盘会”，分析活动对学生行为习惯的实际影响，根据反馈调整下一阶段活动设计，确保德育目标的连贯性。</w:t>
      </w:r>
    </w:p>
    <w:p w14:paraId="5FD01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3. 成立由后勤人员、专业技术人员组成的设备维护小组，每月对校园设备进行巡检和简易维修，延长设备使用寿命。开设“学生设备管理员”岗位，培训学生参与日常设备检查，培养其爱护公物的意识，同时及时反馈设备故障问题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本年度学校整体支出严格遵循预算管理规定，围绕教育教学核心任务，在人员经费、公用经费、项目经费等方面合理分配资金，保障了学校各项工作的有序开展。资金使用聚焦教学改革推进、德育活动实施、设备维护与更新等重点领域，基本实现了年初设定的绩效目标，但在部分环节存在优化空间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sz w:val="21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61E42136">
      <w:pPr>
        <w:pStyle w:val="9"/>
        <w:rPr>
          <w:rFonts w:ascii="Arial"/>
          <w:sz w:val="21"/>
        </w:rPr>
      </w:pPr>
    </w:p>
    <w:p w14:paraId="1E063AC7">
      <w:pPr>
        <w:pStyle w:val="9"/>
        <w:rPr>
          <w:rFonts w:ascii="Arial"/>
          <w:sz w:val="21"/>
        </w:rPr>
      </w:pPr>
    </w:p>
    <w:p w14:paraId="6E4AF6A6">
      <w:pPr>
        <w:pStyle w:val="9"/>
        <w:rPr>
          <w:rFonts w:ascii="Arial"/>
          <w:sz w:val="21"/>
        </w:rPr>
      </w:pPr>
    </w:p>
    <w:p w14:paraId="074A0A4F">
      <w:pPr>
        <w:pStyle w:val="9"/>
        <w:rPr>
          <w:rFonts w:ascii="Arial"/>
          <w:sz w:val="21"/>
        </w:rPr>
      </w:pPr>
    </w:p>
    <w:p w14:paraId="4FFE2821">
      <w:pPr>
        <w:pStyle w:val="9"/>
        <w:rPr>
          <w:rFonts w:ascii="Arial"/>
          <w:sz w:val="21"/>
        </w:rPr>
      </w:pPr>
    </w:p>
    <w:p w14:paraId="0C0E1D15">
      <w:pPr>
        <w:pStyle w:val="9"/>
        <w:rPr>
          <w:rFonts w:ascii="Arial"/>
          <w:sz w:val="21"/>
        </w:rPr>
      </w:pPr>
    </w:p>
    <w:p w14:paraId="08C951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38E4E1C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 w:firstLine="732" w:firstLineChars="200"/>
        <w:jc w:val="left"/>
        <w:textAlignment w:val="auto"/>
        <w:rPr>
          <w:rFonts w:hint="eastAsia"/>
          <w:spacing w:val="8"/>
        </w:rPr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5C8FBDA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F4BDDB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left"/>
        <w:textAlignment w:val="auto"/>
        <w:rPr>
          <w:rFonts w:hint="eastAsia"/>
          <w:spacing w:val="8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</w:rPr>
        <w:t>整体支出绩效评价基础数据表</w:t>
      </w:r>
    </w:p>
    <w:p w14:paraId="0997FD5D">
      <w:pPr>
        <w:spacing w:line="115" w:lineRule="exact"/>
        <w:rPr>
          <w:color w:val="000000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eastAsia="zh-CN"/>
              </w:rPr>
              <w:t>岳阳市岳阳楼区胥家桥小学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2"/>
                <w:szCs w:val="22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173.33 %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2"/>
                <w:szCs w:val="22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2"/>
                <w:szCs w:val="22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2"/>
                <w:szCs w:val="22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2"/>
                <w:szCs w:val="22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03799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95.54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6AC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95.54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007D7D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6043F62B">
            <w:pPr>
              <w:spacing w:before="85" w:line="220" w:lineRule="auto"/>
              <w:ind w:firstLine="226" w:firstLineChars="1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FBB6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63CDE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C293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</w:t>
            </w: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公用经费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8E10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58.34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72DF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17.27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A70F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64.83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其中：办公经费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97F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3.96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2858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4.06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E9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1.54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水费、电费、差旅费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210C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1.82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2FB47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2.30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7F6FA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2.87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会议费、培训费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5C29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5.98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0A63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1.00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CE0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0.43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2"/>
                <w:szCs w:val="22"/>
              </w:rPr>
              <w:t>政府采购金额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96C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0.00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D26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17.27</w:t>
            </w:r>
          </w:p>
        </w:tc>
        <w:tc>
          <w:tcPr>
            <w:tcW w:w="2208" w:type="dxa"/>
            <w:gridSpan w:val="2"/>
            <w:noWrap w:val="0"/>
            <w:vAlign w:val="center"/>
          </w:tcPr>
          <w:p w14:paraId="5C2C4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17.85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2"/>
                <w:szCs w:val="22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(202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2"/>
                <w:szCs w:val="22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2"/>
                <w:szCs w:val="22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2"/>
                <w:szCs w:val="22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坚持开展宣传教育、建全工作机制、建章立制、监督检查、加强管理</w:t>
            </w: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熊超霞      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 xml:space="preserve"> 联系电话：15573018943</w:t>
      </w:r>
      <w:r>
        <w:rPr>
          <w:rFonts w:hint="eastAsia" w:ascii="宋体" w:hAnsi="宋体" w:cs="宋体"/>
          <w:color w:val="000000"/>
          <w:spacing w:val="0"/>
          <w:position w:val="0"/>
          <w:sz w:val="22"/>
          <w:szCs w:val="22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2"/>
          <w:szCs w:val="22"/>
          <w:lang w:val="en-US" w:eastAsia="zh-CN"/>
        </w:rPr>
        <w:t>2025年7月3日</w:t>
      </w: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Times New Roman" w:hAnsi="Times New Roman" w:eastAsia="宋体" w:cs="Times New Roman"/>
          <w:spacing w:val="-4"/>
          <w:sz w:val="31"/>
          <w:szCs w:val="31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36"/>
          <w:szCs w:val="36"/>
          <w:lang w:eastAsia="zh-CN"/>
        </w:rPr>
        <w:t>年度预算单位整体支出绩效自评表</w:t>
      </w:r>
    </w:p>
    <w:p w14:paraId="42B8247D">
      <w:pPr>
        <w:spacing w:line="132" w:lineRule="exact"/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332"/>
        <w:gridCol w:w="1584"/>
        <w:gridCol w:w="1164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岳阳市岳阳楼区胥家桥小学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kern w:val="2"/>
                <w:sz w:val="18"/>
                <w:szCs w:val="18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年初预算数</w:t>
            </w:r>
          </w:p>
        </w:tc>
        <w:tc>
          <w:tcPr>
            <w:tcW w:w="1584" w:type="dxa"/>
            <w:noWrap w:val="0"/>
            <w:vAlign w:val="top"/>
          </w:tcPr>
          <w:p w14:paraId="224AB50B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全年预算数</w:t>
            </w:r>
          </w:p>
        </w:tc>
        <w:tc>
          <w:tcPr>
            <w:tcW w:w="1164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年度资金总额</w:t>
            </w:r>
          </w:p>
        </w:tc>
        <w:tc>
          <w:tcPr>
            <w:tcW w:w="1332" w:type="dxa"/>
            <w:noWrap w:val="0"/>
            <w:vAlign w:val="center"/>
          </w:tcPr>
          <w:p w14:paraId="4EBABD17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246.49</w:t>
            </w:r>
          </w:p>
        </w:tc>
        <w:tc>
          <w:tcPr>
            <w:tcW w:w="1584" w:type="dxa"/>
            <w:noWrap w:val="0"/>
            <w:vAlign w:val="center"/>
          </w:tcPr>
          <w:p w14:paraId="1894813E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402.44</w:t>
            </w:r>
          </w:p>
        </w:tc>
        <w:tc>
          <w:tcPr>
            <w:tcW w:w="1164" w:type="dxa"/>
            <w:noWrap w:val="0"/>
            <w:vAlign w:val="center"/>
          </w:tcPr>
          <w:p w14:paraId="19B4ED86">
            <w:pPr>
              <w:spacing w:line="239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395.44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8"/>
                <w:szCs w:val="18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98.26 %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9.83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spacing w:val="8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24DD533E">
            <w:pPr>
              <w:spacing w:line="193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 一般公共预算：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345.34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1245705">
            <w:pPr>
              <w:spacing w:line="194" w:lineRule="auto"/>
              <w:ind w:firstLine="180" w:firstLineChars="1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299.90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6A066E16">
            <w:pPr>
              <w:spacing w:line="20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9FA3FE7">
            <w:pPr>
              <w:spacing w:line="201" w:lineRule="auto"/>
              <w:ind w:firstLine="720" w:firstLineChars="4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95.54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103DEC4D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纳入专户管理的非税收入拨款：0.00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36CFBBEE">
            <w:pPr>
              <w:spacing w:line="239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5A62EA7F">
            <w:pPr>
              <w:spacing w:line="192" w:lineRule="auto"/>
              <w:ind w:firstLine="900" w:firstLineChars="500"/>
              <w:jc w:val="left"/>
              <w:rPr>
                <w:rFonts w:hint="default" w:ascii="宋体" w:hAnsi="宋体" w:eastAsia="宋体" w:cs="宋体"/>
                <w:spacing w:val="8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Theme="minorEastAsia" w:hAnsi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57.10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4C4263E1">
            <w:pPr>
              <w:spacing w:line="240" w:lineRule="exact"/>
              <w:jc w:val="left"/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25981AB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253EBBBE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390C0800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en-US" w:bidi="ar-SA"/>
              </w:rPr>
              <w:t>年度总体目标</w:t>
            </w:r>
          </w:p>
        </w:tc>
        <w:tc>
          <w:tcPr>
            <w:tcW w:w="5004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预期目标</w:t>
            </w:r>
          </w:p>
        </w:tc>
        <w:tc>
          <w:tcPr>
            <w:tcW w:w="3936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5004" w:type="dxa"/>
            <w:gridSpan w:val="4"/>
            <w:noWrap w:val="0"/>
            <w:vAlign w:val="center"/>
          </w:tcPr>
          <w:p w14:paraId="75014F2F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目标1：抓好教学教育工作，不断提高教育质量。加强教学常规工作管理，抓好教学质量，按时按质完成电子学籍的申报工作。</w:t>
            </w:r>
          </w:p>
          <w:p w14:paraId="0BAF76D8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目标2：加强对学生的思想品德教育，使学生的德智体全面发展。加强学校德育工作和班主任队伍建设, 加强对少先队的管理，积极开展班队活动，发挥少先队的先锋模范作用，提高学生身体和心理素质，完成体质健康数据的上报工作。</w:t>
            </w:r>
          </w:p>
          <w:p w14:paraId="416DC9A3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目标3：全方位保障校园安全。加强学校安全工作，切实做好交通安全、防溺水安全、防火安全、食品安全等工作，规范食堂管理，确保食品安全卫生，争取本年内无校方安全责任事故和食品安全责任事故。</w:t>
            </w:r>
          </w:p>
          <w:p w14:paraId="7B0E2B87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目标4：做好后勤保障工作。按时完成设备购置及维护工作，及时排除校舍安全隐患，保证教学工作的正常开展，固定资产及时入账，账实相符，后勤保障工作及时到位。</w:t>
            </w:r>
          </w:p>
          <w:p w14:paraId="58BC91FC">
            <w:pPr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  <w:t>目标5：完成上级部门交给的其他工作，按时完成上级部门交给的创文创卫工作和其他工作。</w:t>
            </w:r>
          </w:p>
        </w:tc>
        <w:tc>
          <w:tcPr>
            <w:tcW w:w="3936" w:type="dxa"/>
            <w:gridSpan w:val="4"/>
            <w:noWrap w:val="0"/>
            <w:vAlign w:val="center"/>
          </w:tcPr>
          <w:p w14:paraId="15387FD3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目标1：教学质量得到新的提升。</w:t>
            </w:r>
          </w:p>
          <w:p w14:paraId="69EB59AF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目标2：学生积极参与活动，逐步提高学生身体素质。</w:t>
            </w:r>
          </w:p>
          <w:p w14:paraId="7EA30A2C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目标3：定期排查安全隐患，每月复查重点部位。安全教育多元，坚持1530主题教育和应急演练。</w:t>
            </w:r>
          </w:p>
          <w:p w14:paraId="343D86F0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目标4：教学工作按质按时完成。</w:t>
            </w:r>
          </w:p>
          <w:p w14:paraId="3728C6BA">
            <w:pPr>
              <w:pStyle w:val="5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目标5：按时完成上级部门交代的各项工作。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9"/>
                <w:sz w:val="18"/>
                <w:szCs w:val="18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二级指标</w:t>
            </w:r>
          </w:p>
        </w:tc>
        <w:tc>
          <w:tcPr>
            <w:tcW w:w="1332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三级指标</w:t>
            </w:r>
          </w:p>
        </w:tc>
        <w:tc>
          <w:tcPr>
            <w:tcW w:w="1584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年度指标值</w:t>
            </w:r>
          </w:p>
        </w:tc>
        <w:tc>
          <w:tcPr>
            <w:tcW w:w="1164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8"/>
                <w:szCs w:val="18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8"/>
                <w:szCs w:val="18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8"/>
                <w:szCs w:val="18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8"/>
                <w:szCs w:val="18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0C24AD15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数量指标</w:t>
            </w:r>
          </w:p>
        </w:tc>
        <w:tc>
          <w:tcPr>
            <w:tcW w:w="1332" w:type="dxa"/>
            <w:noWrap w:val="0"/>
            <w:vAlign w:val="center"/>
          </w:tcPr>
          <w:p w14:paraId="4F098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学年内0投诉举报</w:t>
            </w:r>
          </w:p>
        </w:tc>
        <w:tc>
          <w:tcPr>
            <w:tcW w:w="1584" w:type="dxa"/>
            <w:noWrap w:val="0"/>
            <w:vAlign w:val="center"/>
          </w:tcPr>
          <w:p w14:paraId="3273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≧0次</w:t>
            </w:r>
          </w:p>
        </w:tc>
        <w:tc>
          <w:tcPr>
            <w:tcW w:w="1164" w:type="dxa"/>
            <w:noWrap w:val="0"/>
            <w:vAlign w:val="center"/>
          </w:tcPr>
          <w:p w14:paraId="5BB18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0次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A06110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5131A158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学年内实现0安全事故</w:t>
            </w:r>
          </w:p>
        </w:tc>
        <w:tc>
          <w:tcPr>
            <w:tcW w:w="1584" w:type="dxa"/>
            <w:noWrap w:val="0"/>
            <w:vAlign w:val="center"/>
          </w:tcPr>
          <w:p w14:paraId="2ECF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≧0次</w:t>
            </w:r>
          </w:p>
        </w:tc>
        <w:tc>
          <w:tcPr>
            <w:tcW w:w="1164" w:type="dxa"/>
            <w:noWrap w:val="0"/>
            <w:vAlign w:val="center"/>
          </w:tcPr>
          <w:p w14:paraId="044A3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4DA98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08AE7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07CC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</w:tcBorders>
            <w:noWrap w:val="0"/>
            <w:vAlign w:val="top"/>
          </w:tcPr>
          <w:p w14:paraId="1F2CD21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D6A8A9E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教师培训次数</w:t>
            </w:r>
          </w:p>
        </w:tc>
        <w:tc>
          <w:tcPr>
            <w:tcW w:w="1584" w:type="dxa"/>
            <w:noWrap w:val="0"/>
            <w:vAlign w:val="center"/>
          </w:tcPr>
          <w:p w14:paraId="5C4F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≧3次</w:t>
            </w:r>
          </w:p>
        </w:tc>
        <w:tc>
          <w:tcPr>
            <w:tcW w:w="1164" w:type="dxa"/>
            <w:noWrap w:val="0"/>
            <w:vAlign w:val="center"/>
          </w:tcPr>
          <w:p w14:paraId="7198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3次</w:t>
            </w:r>
          </w:p>
        </w:tc>
        <w:tc>
          <w:tcPr>
            <w:tcW w:w="576" w:type="dxa"/>
            <w:noWrap w:val="0"/>
            <w:vAlign w:val="center"/>
          </w:tcPr>
          <w:p w14:paraId="6A66B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495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96B3C9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top"/>
          </w:tcPr>
          <w:p w14:paraId="1E17B815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</w:pPr>
          </w:p>
          <w:p w14:paraId="71AC86AE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质量指标</w:t>
            </w:r>
          </w:p>
        </w:tc>
        <w:tc>
          <w:tcPr>
            <w:tcW w:w="1332" w:type="dxa"/>
            <w:noWrap w:val="0"/>
            <w:vAlign w:val="top"/>
          </w:tcPr>
          <w:p w14:paraId="29DF4AD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校园修缮完成率</w:t>
            </w:r>
          </w:p>
        </w:tc>
        <w:tc>
          <w:tcPr>
            <w:tcW w:w="1584" w:type="dxa"/>
            <w:noWrap w:val="0"/>
            <w:vAlign w:val="center"/>
          </w:tcPr>
          <w:p w14:paraId="0F0E6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  <w:tc>
          <w:tcPr>
            <w:tcW w:w="1164" w:type="dxa"/>
            <w:noWrap w:val="0"/>
            <w:vAlign w:val="center"/>
          </w:tcPr>
          <w:p w14:paraId="01D66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noWrap w:val="0"/>
            <w:vAlign w:val="top"/>
          </w:tcPr>
          <w:p w14:paraId="1F1A3D0C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校园安全事故发生率</w:t>
            </w:r>
          </w:p>
        </w:tc>
        <w:tc>
          <w:tcPr>
            <w:tcW w:w="1584" w:type="dxa"/>
            <w:noWrap w:val="0"/>
            <w:vAlign w:val="center"/>
          </w:tcPr>
          <w:p w14:paraId="34C83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164" w:type="dxa"/>
            <w:noWrap w:val="0"/>
            <w:vAlign w:val="center"/>
          </w:tcPr>
          <w:p w14:paraId="009DC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0559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88637C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E728689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FB85097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</w:tcBorders>
            <w:noWrap w:val="0"/>
            <w:vAlign w:val="top"/>
          </w:tcPr>
          <w:p w14:paraId="2D5D410A">
            <w:pPr>
              <w:spacing w:line="240" w:lineRule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食品安全事故发生率</w:t>
            </w:r>
          </w:p>
        </w:tc>
        <w:tc>
          <w:tcPr>
            <w:tcW w:w="1584" w:type="dxa"/>
            <w:noWrap w:val="0"/>
            <w:vAlign w:val="center"/>
          </w:tcPr>
          <w:p w14:paraId="7FEB3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≦0%</w:t>
            </w:r>
          </w:p>
        </w:tc>
        <w:tc>
          <w:tcPr>
            <w:tcW w:w="1164" w:type="dxa"/>
            <w:noWrap w:val="0"/>
            <w:vAlign w:val="center"/>
          </w:tcPr>
          <w:p w14:paraId="579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0%</w:t>
            </w:r>
          </w:p>
        </w:tc>
        <w:tc>
          <w:tcPr>
            <w:tcW w:w="576" w:type="dxa"/>
            <w:noWrap w:val="0"/>
            <w:vAlign w:val="center"/>
          </w:tcPr>
          <w:p w14:paraId="541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24D1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183D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时效指标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76A32114">
            <w:pPr>
              <w:pStyle w:val="11"/>
              <w:spacing w:line="235" w:lineRule="exact"/>
              <w:jc w:val="center"/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  <w:p w14:paraId="3C1107E0">
            <w:pPr>
              <w:pStyle w:val="11"/>
              <w:spacing w:line="235" w:lineRule="exact"/>
              <w:jc w:val="lef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及时发放教职工待遇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12CB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164" w:type="dxa"/>
            <w:noWrap w:val="0"/>
            <w:vAlign w:val="center"/>
          </w:tcPr>
          <w:p w14:paraId="17882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成本指标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全年经费开支控制在预算内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控制在预算内</w:t>
            </w:r>
          </w:p>
        </w:tc>
        <w:tc>
          <w:tcPr>
            <w:tcW w:w="1164" w:type="dxa"/>
            <w:noWrap w:val="0"/>
            <w:vAlign w:val="center"/>
          </w:tcPr>
          <w:p w14:paraId="66EBE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8"/>
                <w:szCs w:val="18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C7B7C48">
            <w:pPr>
              <w:spacing w:before="154" w:line="233" w:lineRule="auto"/>
              <w:ind w:firstLine="190" w:firstLineChars="100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经济效</w:t>
            </w:r>
          </w:p>
          <w:p w14:paraId="530E9385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26FE2A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FD012B2">
            <w:pPr>
              <w:pStyle w:val="11"/>
              <w:spacing w:line="235" w:lineRule="exac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7813E8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1164" w:type="dxa"/>
            <w:noWrap w:val="0"/>
            <w:vAlign w:val="top"/>
          </w:tcPr>
          <w:p w14:paraId="1358A0F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top"/>
          </w:tcPr>
          <w:p w14:paraId="4333451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 w14:paraId="26376D2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26DFFB13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</w:pPr>
          </w:p>
          <w:p w14:paraId="619C126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社会效</w:t>
            </w:r>
          </w:p>
          <w:p w14:paraId="185BD49B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改善城区教育教学水平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5ED89E5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1164" w:type="dxa"/>
            <w:noWrap w:val="0"/>
            <w:vAlign w:val="top"/>
          </w:tcPr>
          <w:p w14:paraId="194F3DA3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top"/>
          </w:tcPr>
          <w:p w14:paraId="2C47933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D2F745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2B23C24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F348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996496B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C702A64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BD4B513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1C3CD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加强教师队伍建设，提高教师专业素养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2CF7A2B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14E115CB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1164" w:type="dxa"/>
            <w:noWrap w:val="0"/>
            <w:vAlign w:val="top"/>
          </w:tcPr>
          <w:p w14:paraId="665BFA2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B33A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有所加强</w:t>
            </w:r>
          </w:p>
        </w:tc>
        <w:tc>
          <w:tcPr>
            <w:tcW w:w="576" w:type="dxa"/>
            <w:noWrap w:val="0"/>
            <w:vAlign w:val="top"/>
          </w:tcPr>
          <w:p w14:paraId="54ECD85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45E5C79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top"/>
          </w:tcPr>
          <w:p w14:paraId="51B3421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859A9D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4.5</w:t>
            </w:r>
          </w:p>
        </w:tc>
        <w:tc>
          <w:tcPr>
            <w:tcW w:w="1236" w:type="dxa"/>
            <w:noWrap w:val="0"/>
            <w:vAlign w:val="top"/>
          </w:tcPr>
          <w:p w14:paraId="06A761B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C4C5305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生态效</w:t>
            </w:r>
          </w:p>
          <w:p w14:paraId="62D88318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益指标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283A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top"/>
          </w:tcPr>
          <w:p w14:paraId="7D2E80A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1164" w:type="dxa"/>
            <w:noWrap w:val="0"/>
            <w:vAlign w:val="top"/>
          </w:tcPr>
          <w:p w14:paraId="348B217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效果明显</w:t>
            </w:r>
          </w:p>
        </w:tc>
        <w:tc>
          <w:tcPr>
            <w:tcW w:w="576" w:type="dxa"/>
            <w:noWrap w:val="0"/>
            <w:vAlign w:val="top"/>
          </w:tcPr>
          <w:p w14:paraId="7448B84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632A8E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98336AA">
            <w:pPr>
              <w:spacing w:before="207" w:line="230" w:lineRule="auto"/>
              <w:ind w:right="116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</w:p>
          <w:p w14:paraId="2EC253D1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可持续影响指标</w:t>
            </w:r>
          </w:p>
        </w:tc>
        <w:tc>
          <w:tcPr>
            <w:tcW w:w="13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C7AE02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584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1164" w:type="dxa"/>
            <w:noWrap w:val="0"/>
            <w:vAlign w:val="center"/>
          </w:tcPr>
          <w:p w14:paraId="3DD9F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长期坚持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8"/>
                <w:szCs w:val="18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5"/>
                <w:sz w:val="18"/>
                <w:szCs w:val="18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2"/>
                <w:sz w:val="18"/>
                <w:szCs w:val="18"/>
              </w:rPr>
              <w:t>标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53E06374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1584" w:type="dxa"/>
            <w:noWrap w:val="0"/>
            <w:vAlign w:val="top"/>
          </w:tcPr>
          <w:p w14:paraId="14C2A64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730A41A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95%</w:t>
            </w:r>
          </w:p>
        </w:tc>
        <w:tc>
          <w:tcPr>
            <w:tcW w:w="576" w:type="dxa"/>
            <w:noWrap w:val="0"/>
            <w:vAlign w:val="top"/>
          </w:tcPr>
          <w:p w14:paraId="357441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97FA7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5D7AC8A5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1584" w:type="dxa"/>
            <w:noWrap w:val="0"/>
            <w:vAlign w:val="top"/>
          </w:tcPr>
          <w:p w14:paraId="22B70D2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≧95%</w:t>
            </w:r>
          </w:p>
        </w:tc>
        <w:tc>
          <w:tcPr>
            <w:tcW w:w="1164" w:type="dxa"/>
            <w:noWrap w:val="0"/>
            <w:vAlign w:val="top"/>
          </w:tcPr>
          <w:p w14:paraId="258E6F5D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96%</w:t>
            </w:r>
          </w:p>
        </w:tc>
        <w:tc>
          <w:tcPr>
            <w:tcW w:w="576" w:type="dxa"/>
            <w:noWrap w:val="0"/>
            <w:vAlign w:val="top"/>
          </w:tcPr>
          <w:p w14:paraId="586947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960" w:type="dxa"/>
            <w:noWrap w:val="0"/>
            <w:vAlign w:val="top"/>
          </w:tcPr>
          <w:p w14:paraId="3ACFC4B1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90425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33BEE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7D47FEC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02F8E0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332" w:type="dxa"/>
            <w:tcBorders>
              <w:left w:val="single" w:color="auto" w:sz="4" w:space="0"/>
            </w:tcBorders>
            <w:noWrap w:val="0"/>
            <w:vAlign w:val="top"/>
          </w:tcPr>
          <w:p w14:paraId="1B9B1B10">
            <w:pPr>
              <w:pStyle w:val="11"/>
              <w:spacing w:line="235" w:lineRule="exact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社会公众满意度</w:t>
            </w:r>
          </w:p>
        </w:tc>
        <w:tc>
          <w:tcPr>
            <w:tcW w:w="1584" w:type="dxa"/>
            <w:noWrap w:val="0"/>
            <w:vAlign w:val="center"/>
          </w:tcPr>
          <w:p w14:paraId="64009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164" w:type="dxa"/>
            <w:noWrap w:val="0"/>
            <w:vAlign w:val="center"/>
          </w:tcPr>
          <w:p w14:paraId="0DBB0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7001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 w14:paraId="67CD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236" w:type="dxa"/>
            <w:noWrap w:val="0"/>
            <w:vAlign w:val="top"/>
          </w:tcPr>
          <w:p w14:paraId="715FDC97">
            <w:pPr>
              <w:pStyle w:val="11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97.83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23FA9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p w14:paraId="600B3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填表人：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熊超霞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联系电话：15573018943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>2025年7月3日</w:t>
      </w:r>
    </w:p>
    <w:p w14:paraId="6D4D349D">
      <w:pPr>
        <w:tabs>
          <w:tab w:val="left" w:pos="2572"/>
        </w:tabs>
        <w:bidi w:val="0"/>
        <w:jc w:val="left"/>
        <w:rPr>
          <w:rFonts w:hint="eastAsia" w:eastAsiaTheme="minorEastAsia"/>
          <w:lang w:eastAsia="zh-CN"/>
        </w:rPr>
      </w:pPr>
    </w:p>
    <w:sectPr>
      <w:footerReference r:id="rId4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2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021A7F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80263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CEE005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5555</Words>
  <Characters>5996</Characters>
  <Lines>0</Lines>
  <Paragraphs>0</Paragraphs>
  <TotalTime>12</TotalTime>
  <ScaleCrop>false</ScaleCrop>
  <LinksUpToDate>false</LinksUpToDate>
  <CharactersWithSpaces>6056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si</cp:lastModifiedBy>
  <dcterms:modified xsi:type="dcterms:W3CDTF">2025-07-14T02:10:08Z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eyJoZGlkIjoiYjg2NTcxMjRiMTQ0MDZhYjcxNzE3MDBhM2ExOWExMjAiLCJ1c2VySWQiOiIyOTUzNjMwMDkifQ==</vt:lpwstr>
  </property>
</Properties>
</file>