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AE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both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516245" cy="8366760"/>
            <wp:effectExtent l="0" t="0" r="635" b="0"/>
            <wp:docPr id="1" name="图片 1" descr="梅子柿小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梅子柿小学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16245" cy="836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20F00">
      <w:pPr>
        <w:pStyle w:val="3"/>
        <w:spacing w:before="102" w:line="224" w:lineRule="auto"/>
        <w:ind w:left="3216"/>
        <w:sectPr>
          <w:footerReference r:id="rId3" w:type="default"/>
          <w:pgSz w:w="11900" w:h="16833"/>
          <w:pgMar w:top="1401" w:right="1583" w:bottom="1445" w:left="1618" w:header="0" w:footer="1170" w:gutter="0"/>
          <w:pgNumType w:fmt="decimal"/>
          <w:cols w:space="720" w:num="1"/>
        </w:sectPr>
      </w:pPr>
    </w:p>
    <w:p w14:paraId="348DB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岳阳市岳阳楼区梅子柿小学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整体支出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绩效自评报告</w:t>
      </w:r>
      <w:bookmarkStart w:id="0" w:name="_GoBack"/>
      <w:bookmarkEnd w:id="0"/>
    </w:p>
    <w:p w14:paraId="7F4093C2">
      <w:pPr>
        <w:spacing w:line="283" w:lineRule="auto"/>
        <w:rPr>
          <w:rFonts w:ascii="Arial"/>
          <w:sz w:val="21"/>
        </w:rPr>
      </w:pPr>
    </w:p>
    <w:p w14:paraId="2C914E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spacing w:val="5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5"/>
          <w:sz w:val="31"/>
          <w:szCs w:val="31"/>
        </w:rPr>
        <w:t>基本情况</w:t>
      </w:r>
    </w:p>
    <w:p w14:paraId="0759F2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（一）职能职责</w:t>
      </w:r>
    </w:p>
    <w:p w14:paraId="152A7ADE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1、宣传贯彻执行党和国家的教育方针、政策、法律法规等，坚持依法治教、依法治学，贯彻执行岳阳楼区教育局的行政规章制度。</w:t>
      </w:r>
    </w:p>
    <w:p w14:paraId="3E5F70E6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2、维护学校的教学秩序，为学生创造良好的学习环境。</w:t>
      </w:r>
    </w:p>
    <w:p w14:paraId="433A7BF1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333333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3、积极稳妥地推进教育改革，按教育规律办事</w:t>
      </w:r>
      <w:r>
        <w:rPr>
          <w:rFonts w:hint="eastAsia" w:ascii="仿宋" w:hAnsi="仿宋" w:eastAsia="仿宋" w:cs="仿宋"/>
          <w:color w:val="333333"/>
          <w:sz w:val="30"/>
          <w:szCs w:val="30"/>
          <w:lang w:eastAsia="zh-CN"/>
        </w:rPr>
        <w:t>。</w:t>
      </w:r>
    </w:p>
    <w:p w14:paraId="23DC1629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4、根据学校规模，设置学校管理机构，建立健全各项规章制度和岗位责任制。</w:t>
      </w:r>
    </w:p>
    <w:p w14:paraId="7928E4A0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5、抓好教师队伍建设，使每个教师都热心于教育事业。</w:t>
      </w:r>
    </w:p>
    <w:p w14:paraId="3B53685B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6、做好安全防范，保证学生的人身安全。</w:t>
      </w:r>
    </w:p>
    <w:p w14:paraId="2FE3B181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7、坚持教书育人，服务育人，环境育人方针，加强对学生的思想品德教育，使学生的德智体全面发展。</w:t>
      </w:r>
    </w:p>
    <w:p w14:paraId="5A8A4366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（二）机构设置</w:t>
      </w:r>
    </w:p>
    <w:p w14:paraId="081B3228">
      <w:pPr>
        <w:keepNext/>
        <w:keepLines/>
        <w:widowControl/>
        <w:spacing w:beforeLines="0" w:afterLines="0"/>
        <w:ind w:firstLine="600" w:firstLineChars="20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本部门内设机构包括：办公室、党建办、德育处、教导处、后勤处。根据编办核定，我校共有教职工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人，其中：在职编制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13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人；离退休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人。其中：事业编制职工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13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人。</w:t>
      </w:r>
    </w:p>
    <w:p w14:paraId="3BF8D9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（三）年度工作内容</w:t>
      </w:r>
    </w:p>
    <w:p w14:paraId="33744F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1：坚持政治理论学习和业务能力培养,坚持建立正确有效的学校价值体系和文化,创建浓厚的学习氛围。</w:t>
      </w:r>
    </w:p>
    <w:p w14:paraId="33AD7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2：开齐开足学科课程，以备课、作业为着力点，完善课前准备、课堂教学、分层作业等环节的实施与管理。</w:t>
      </w:r>
    </w:p>
    <w:p w14:paraId="0B839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 xml:space="preserve">    3：加强对教师的专业培训，完成线上线下研修任务，提升教师专业成长。</w:t>
      </w:r>
    </w:p>
    <w:p w14:paraId="6511C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4：加强对学生的思想品德教育，使学生的德智体全面发展。加强学校德育工作和班主任队伍建设, 加强对少先队的管理，积极开展班队活动，发挥少先队的先锋模范作用，提高学生身体和心理素质，完成体质健康数据的上报工作。</w:t>
      </w:r>
    </w:p>
    <w:p w14:paraId="0DD67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 xml:space="preserve">   5：全方位保障校园安全。加强学校安全工作，切实做好交通安全、防溺水安全、防火安全、食品安全等工作，规范食堂管理，确保食品安全卫生，争取本年内无校方安全责任事故和食品安全责任事故。</w:t>
      </w:r>
    </w:p>
    <w:p w14:paraId="34F5A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6：落实“双减”任务，减轻学生过重作业负担和校外培训负担。</w:t>
      </w:r>
    </w:p>
    <w:p w14:paraId="488C3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二、</w:t>
      </w:r>
      <w:r>
        <w:rPr>
          <w:rFonts w:ascii="黑体" w:hAnsi="黑体" w:eastAsia="黑体" w:cs="黑体"/>
          <w:spacing w:val="-3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一般公共预算支出情况</w:t>
      </w:r>
    </w:p>
    <w:p w14:paraId="5BD59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spacing w:val="9"/>
          <w:position w:val="21"/>
          <w:sz w:val="31"/>
          <w:szCs w:val="31"/>
        </w:rPr>
      </w:pPr>
      <w:r>
        <w:rPr>
          <w:rFonts w:ascii="楷体" w:hAnsi="楷体" w:eastAsia="楷体" w:cs="楷体"/>
          <w:spacing w:val="9"/>
          <w:position w:val="21"/>
          <w:sz w:val="31"/>
          <w:szCs w:val="31"/>
        </w:rPr>
        <w:t>（一）基本支出情况</w:t>
      </w:r>
    </w:p>
    <w:p w14:paraId="4DE1FE66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一般公共预算基本支出202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0"/>
          <w:szCs w:val="30"/>
        </w:rPr>
        <w:t>年度总支出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265.42</w:t>
      </w:r>
      <w:r>
        <w:rPr>
          <w:rFonts w:hint="eastAsia" w:ascii="仿宋" w:hAnsi="仿宋" w:eastAsia="仿宋" w:cs="仿宋"/>
          <w:bCs/>
          <w:sz w:val="30"/>
          <w:szCs w:val="30"/>
        </w:rPr>
        <w:t>万元，其中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：</w:t>
      </w:r>
    </w:p>
    <w:p w14:paraId="20E169CE">
      <w:pPr>
        <w:spacing w:line="240" w:lineRule="auto"/>
        <w:ind w:firstLine="600" w:firstLineChars="200"/>
        <w:rPr>
          <w:rFonts w:hint="default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人员经费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186.51万元：包括</w:t>
      </w:r>
      <w:r>
        <w:rPr>
          <w:rFonts w:hint="eastAsia" w:ascii="仿宋" w:hAnsi="仿宋" w:eastAsia="仿宋" w:cs="仿宋"/>
          <w:bCs/>
          <w:sz w:val="30"/>
          <w:szCs w:val="30"/>
        </w:rPr>
        <w:t>基本工资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38.02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万</w:t>
      </w:r>
      <w:r>
        <w:rPr>
          <w:rFonts w:hint="eastAsia" w:ascii="仿宋" w:hAnsi="仿宋" w:eastAsia="仿宋" w:cs="仿宋"/>
          <w:bCs/>
          <w:sz w:val="30"/>
          <w:szCs w:val="30"/>
        </w:rPr>
        <w:t>元；津贴补贴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12.17万元；奖金35.98万元</w:t>
      </w:r>
      <w:r>
        <w:rPr>
          <w:rFonts w:hint="eastAsia" w:ascii="仿宋" w:hAnsi="仿宋" w:eastAsia="仿宋" w:cs="仿宋"/>
          <w:bCs/>
          <w:sz w:val="30"/>
          <w:szCs w:val="30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绩效工资38.84万元；</w:t>
      </w:r>
      <w:r>
        <w:rPr>
          <w:rFonts w:hint="eastAsia" w:ascii="仿宋" w:hAnsi="仿宋" w:eastAsia="仿宋" w:cs="仿宋"/>
          <w:bCs/>
          <w:sz w:val="30"/>
          <w:szCs w:val="30"/>
        </w:rPr>
        <w:t>机关事业单位基本养老保险缴费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20.38万元；职业年金缴费3.40万元；职工基本医疗保险缴费7.17万元；其他社会保障缴费0.47万元；住房公积金22.00万元；其他工资福利7.28万元；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生活补助0.80万元。</w:t>
      </w:r>
    </w:p>
    <w:p w14:paraId="5565AB25">
      <w:pPr>
        <w:spacing w:line="240" w:lineRule="auto"/>
        <w:ind w:firstLine="600" w:firstLineChars="200"/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公用经费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78.91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包括</w:t>
      </w:r>
      <w:r>
        <w:rPr>
          <w:rFonts w:hint="eastAsia" w:ascii="仿宋" w:hAnsi="仿宋" w:eastAsia="仿宋" w:cs="仿宋"/>
          <w:bCs/>
          <w:sz w:val="30"/>
          <w:szCs w:val="30"/>
        </w:rPr>
        <w:t>办公费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9.69</w:t>
      </w:r>
      <w:r>
        <w:rPr>
          <w:rFonts w:hint="eastAsia" w:ascii="仿宋" w:hAnsi="仿宋" w:eastAsia="仿宋" w:cs="仿宋"/>
          <w:bCs/>
          <w:sz w:val="30"/>
          <w:szCs w:val="30"/>
        </w:rPr>
        <w:t>万元；印刷费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0.29</w:t>
      </w:r>
      <w:r>
        <w:rPr>
          <w:rFonts w:hint="eastAsia" w:ascii="仿宋" w:hAnsi="仿宋" w:eastAsia="仿宋" w:cs="仿宋"/>
          <w:bCs/>
          <w:sz w:val="30"/>
          <w:szCs w:val="30"/>
        </w:rPr>
        <w:t>万元；水费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2.33</w:t>
      </w:r>
      <w:r>
        <w:rPr>
          <w:rFonts w:hint="eastAsia" w:ascii="仿宋" w:hAnsi="仿宋" w:eastAsia="仿宋" w:cs="仿宋"/>
          <w:bCs/>
          <w:sz w:val="30"/>
          <w:szCs w:val="30"/>
        </w:rPr>
        <w:t>万元；电费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0.61</w:t>
      </w:r>
      <w:r>
        <w:rPr>
          <w:rFonts w:hint="eastAsia" w:ascii="仿宋" w:hAnsi="仿宋" w:eastAsia="仿宋" w:cs="仿宋"/>
          <w:bCs/>
          <w:sz w:val="30"/>
          <w:szCs w:val="30"/>
        </w:rPr>
        <w:t>万元；维修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z w:val="30"/>
          <w:szCs w:val="30"/>
        </w:rPr>
        <w:t>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10.00</w:t>
      </w:r>
      <w:r>
        <w:rPr>
          <w:rFonts w:hint="eastAsia" w:ascii="仿宋" w:hAnsi="仿宋" w:eastAsia="仿宋" w:cs="仿宋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；租赁费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3.00万元；</w:t>
      </w:r>
      <w:r>
        <w:rPr>
          <w:rFonts w:hint="eastAsia" w:ascii="仿宋" w:hAnsi="仿宋" w:eastAsia="仿宋" w:cs="仿宋"/>
          <w:bCs/>
          <w:sz w:val="30"/>
          <w:szCs w:val="30"/>
        </w:rPr>
        <w:t>培训费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0.01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劳务费0.23万元；</w:t>
      </w:r>
      <w:r>
        <w:rPr>
          <w:rFonts w:hint="eastAsia" w:ascii="仿宋" w:hAnsi="仿宋" w:eastAsia="仿宋" w:cs="仿宋"/>
          <w:bCs/>
          <w:sz w:val="30"/>
          <w:szCs w:val="30"/>
        </w:rPr>
        <w:t>委托业务费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2.75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福利费0.05万元；</w:t>
      </w:r>
      <w:r>
        <w:rPr>
          <w:rFonts w:hint="eastAsia" w:ascii="仿宋" w:hAnsi="仿宋" w:eastAsia="仿宋" w:cs="仿宋"/>
          <w:bCs/>
          <w:sz w:val="30"/>
          <w:szCs w:val="30"/>
        </w:rPr>
        <w:t>其他商品和服务支出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3.45万元；办公设备购置16.75万元；专用设备购置29.75万元。</w:t>
      </w:r>
    </w:p>
    <w:p w14:paraId="565119C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楷体" w:hAnsi="楷体" w:eastAsia="楷体" w:cs="楷体"/>
          <w:spacing w:val="9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项目支出情况</w:t>
      </w:r>
    </w:p>
    <w:p w14:paraId="34290211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一般公共预算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sz w:val="30"/>
          <w:szCs w:val="30"/>
        </w:rPr>
        <w:t>支出202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0"/>
          <w:szCs w:val="30"/>
        </w:rPr>
        <w:t>年度总支出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62.51</w:t>
      </w:r>
      <w:r>
        <w:rPr>
          <w:rFonts w:hint="eastAsia" w:ascii="仿宋" w:hAnsi="仿宋" w:eastAsia="仿宋" w:cs="仿宋"/>
          <w:bCs/>
          <w:sz w:val="30"/>
          <w:szCs w:val="30"/>
        </w:rPr>
        <w:t>万元，其中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：</w:t>
      </w:r>
    </w:p>
    <w:p w14:paraId="6ABC20BE">
      <w:pPr>
        <w:spacing w:line="240" w:lineRule="auto"/>
        <w:ind w:firstLine="600" w:firstLineChars="200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基本工资8.05万元；津贴补贴1.61万元；奖金7.49万元；绩效工资6.29万元；机关事业单位基本养老保险缴费3.96万元；职工基本医疗保险缴费2.17万元；其他社会保障缴费0.99万元；住房公积金3.96万元；其他工资福利3.69万元；办公费2.53万元；水费1.16万元；电费2.19万元；物业管理费6.00万元；</w:t>
      </w:r>
      <w:r>
        <w:rPr>
          <w:rFonts w:hint="eastAsia" w:ascii="仿宋" w:hAnsi="仿宋" w:eastAsia="仿宋" w:cs="仿宋"/>
          <w:bCs/>
          <w:sz w:val="30"/>
          <w:szCs w:val="30"/>
        </w:rPr>
        <w:t>维修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z w:val="30"/>
          <w:szCs w:val="30"/>
        </w:rPr>
        <w:t>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2.78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培训费0.13万元；专用材料费0.15万元；劳务费1.80万元；委托业务费0.23万元；工会经费0.78万元；其他交通费用0.30万元；其他商品和服务支出2.60万元；退休费3.65万元。</w:t>
      </w:r>
    </w:p>
    <w:p w14:paraId="40ED3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三、政府性基金预算支出情况</w:t>
      </w:r>
    </w:p>
    <w:p w14:paraId="6782FCD7">
      <w:pPr>
        <w:pStyle w:val="2"/>
        <w:rPr>
          <w:rFonts w:hint="default"/>
          <w:lang w:val="en-US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本单位2024年年度政府性基金预算支出0万元。</w:t>
      </w:r>
    </w:p>
    <w:p w14:paraId="4D22B58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7"/>
          <w:position w:val="21"/>
          <w:sz w:val="31"/>
          <w:szCs w:val="31"/>
        </w:rPr>
      </w:pPr>
      <w:r>
        <w:rPr>
          <w:rFonts w:ascii="黑体" w:hAnsi="黑体" w:eastAsia="黑体" w:cs="黑体"/>
          <w:spacing w:val="7"/>
          <w:position w:val="21"/>
          <w:sz w:val="31"/>
          <w:szCs w:val="31"/>
        </w:rPr>
        <w:t>国有资本经营预算支出情况</w:t>
      </w:r>
    </w:p>
    <w:p w14:paraId="66899A62">
      <w:pPr>
        <w:pStyle w:val="2"/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本单位2024年年度国有资本经营预算支出0万元。</w:t>
      </w:r>
    </w:p>
    <w:p w14:paraId="74C03A3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社会保险基金预算支出情况</w:t>
      </w:r>
    </w:p>
    <w:p w14:paraId="51B5CACB">
      <w:pPr>
        <w:pStyle w:val="2"/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本单位2024年年度社会保险基金预算支出0万元。</w:t>
      </w:r>
    </w:p>
    <w:p w14:paraId="5865AAF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8"/>
          <w:sz w:val="31"/>
          <w:szCs w:val="31"/>
        </w:rPr>
        <w:t>整体支出绩效情况</w:t>
      </w:r>
    </w:p>
    <w:p w14:paraId="08ED0A17">
      <w:pPr>
        <w:numPr>
          <w:ilvl w:val="0"/>
          <w:numId w:val="0"/>
        </w:numPr>
        <w:spacing w:line="240" w:lineRule="auto"/>
        <w:ind w:firstLine="600" w:firstLineChars="200"/>
        <w:jc w:val="left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为深入贯彻落实全面实施预算绩效管理的要求，建立科学、合理的预算支出绩效评价体系，提升财政资源配置效率与使用效益，特对梅子柿小学单位整体支出绩效情况进行全面剖析。旨在清晰呈现学校资金使用的全过程及效果，为后续优化管理提供有力依据。</w:t>
      </w:r>
    </w:p>
    <w:p w14:paraId="5F212830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一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产出指标完成情况分析</w:t>
      </w:r>
    </w:p>
    <w:p w14:paraId="4E371FAB">
      <w:pPr>
        <w:numPr>
          <w:ilvl w:val="0"/>
          <w:numId w:val="4"/>
        </w:num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数量指标</w:t>
      </w:r>
    </w:p>
    <w:p w14:paraId="125A150D">
      <w:pPr>
        <w:pStyle w:val="2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全年召开专题研讨会4次，集体学习讨论4次，党支部书记邓乐保同志讲专题党课 4次，撰写心得体会、交流研讨40余篇，教师撰写学习笔记1万多字。通过深入学习，提高了全体教职工的政治理论水平，进一步夯实团结奋斗的思想政治基础。</w:t>
      </w:r>
    </w:p>
    <w:p w14:paraId="31F5328F">
      <w:pPr>
        <w:pStyle w:val="2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2、质量指标</w:t>
      </w:r>
    </w:p>
    <w:p w14:paraId="35986A06">
      <w:pPr>
        <w:pStyle w:val="2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学校积极开展活动，促进学生德、智、体、美、劳全面发展。3月，“学雷锋”活动；4月，植树节活动和读书节活动；5月，“致敬耕耘 ，礼赞劳动”活动；6月，庆六一活动；9月“我和我的祖国”主题教育活动；10月，垃圾分类手抄报比赛、制作比赛；11月，“跃动童年，趣享冬韵”第二届冬季运动会活动。</w:t>
      </w:r>
    </w:p>
    <w:p w14:paraId="4081EFD0">
      <w:pPr>
        <w:pStyle w:val="2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学校不断加强班主任队伍建设，召开全体班主任大会，极大地激发了班主任工作上的责任性和事业上的敬业心。</w:t>
      </w:r>
    </w:p>
    <w:p w14:paraId="43BD3868">
      <w:pPr>
        <w:pStyle w:val="2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3、时效指标</w:t>
      </w:r>
    </w:p>
    <w:p w14:paraId="0C39FC51">
      <w:pPr>
        <w:pStyle w:val="2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及时完成在校学生的春、秋两季教学计划，及时发放教职工的工资及福利待遇。</w:t>
      </w:r>
    </w:p>
    <w:p w14:paraId="6C6868F9">
      <w:pPr>
        <w:pStyle w:val="2"/>
        <w:numPr>
          <w:ilvl w:val="0"/>
          <w:numId w:val="5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成本指标</w:t>
      </w:r>
    </w:p>
    <w:p w14:paraId="6E9DCA8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全年经费开支控制在预算内。</w:t>
      </w:r>
    </w:p>
    <w:p w14:paraId="4822F5F1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（二）效益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指标完成情况分析</w:t>
      </w:r>
    </w:p>
    <w:p w14:paraId="604488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40" w:line="4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1、经济效益</w:t>
      </w:r>
    </w:p>
    <w:p w14:paraId="08344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不适用。  </w:t>
      </w:r>
    </w:p>
    <w:p w14:paraId="6ED3D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2、社会效益</w:t>
      </w:r>
    </w:p>
    <w:p w14:paraId="5436C6E2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（1）开展党员示范课活动，开展“每月一实践”活动，党员教师以身作则，做到带头抓落实。</w:t>
      </w:r>
    </w:p>
    <w:p w14:paraId="6E11263D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（2）通过“主题党日”活动，开展党支部党课、专题宣讲；召开学习贯彻习近平总书记重要讲话和指示批示、学习贯彻党的二十大精神、师德师风专项学习等专题活动。</w:t>
      </w:r>
    </w:p>
    <w:p w14:paraId="0718D80E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3、生态效益</w:t>
      </w:r>
    </w:p>
    <w:p w14:paraId="34BFCC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通过学校的宣传教育，提高全体教职人员及学生的生态保护意识。</w:t>
      </w:r>
    </w:p>
    <w:p w14:paraId="428FFC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4、可持续影响</w:t>
      </w:r>
    </w:p>
    <w:p w14:paraId="1CAA109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稳步提高教育质量，培植学校特色，打造学校品牌，促进教育事业持续发展。</w:t>
      </w:r>
    </w:p>
    <w:p w14:paraId="6859104E"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社会公众满意度</w:t>
      </w:r>
    </w:p>
    <w:p w14:paraId="259AA4E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学生满意度96%，家长满意度96%，社会公众满意度96%。</w:t>
      </w:r>
    </w:p>
    <w:p w14:paraId="45F90FB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9"/>
          <w:position w:val="21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存在的问题及原因分析</w:t>
      </w:r>
    </w:p>
    <w:p w14:paraId="237BD2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1、部分教师教学方式传统，学生学习积极性不高。学科教学质量不均衡，薄弱学科师资与资源不足。教学评价重成绩，对学习过程和综合素养评价不够全面。</w:t>
      </w:r>
    </w:p>
    <w:p w14:paraId="2AE93D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2、结构欠合理，骨干和带头人少，青年教师成长慢。培训体系不完善，内容形式单一，教师参与度低。</w:t>
      </w:r>
    </w:p>
    <w:p w14:paraId="62203F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3、思政教育不够专业，效果不佳，部分学生思想和行为待及时纠正。综合素质评价体系不完善，指标、过程不科学，无法准确评价学生。</w:t>
      </w:r>
    </w:p>
    <w:p w14:paraId="7E15A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ascii="黑体" w:hAnsi="黑体" w:eastAsia="黑体" w:cs="黑体"/>
          <w:spacing w:val="8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8"/>
          <w:sz w:val="31"/>
          <w:szCs w:val="31"/>
        </w:rPr>
        <w:t>八、下一步改进措施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工作建议</w:t>
      </w:r>
    </w:p>
    <w:p w14:paraId="155AA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1. 组织教师培训与研讨，推广新教学法，激发学生兴趣。扶持薄弱学科，优化师资与资源配置。完善评价体系，关注学习过程与综合素养，反馈结果促进改进。</w:t>
      </w:r>
    </w:p>
    <w:p w14:paraId="5FD01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2. 培养骨干和带头人，优化队伍结构。健全培训体系，提高教师参与度。</w:t>
      </w:r>
    </w:p>
    <w:p w14:paraId="17443E8D">
      <w:pPr>
        <w:pStyle w:val="2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3.创新思政教育方法，开展多样活动，加强队伍建设，关注学生思想动态。</w:t>
      </w:r>
    </w:p>
    <w:p w14:paraId="0BBA3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 w:cs="黑体"/>
          <w:spacing w:val="8"/>
          <w:position w:val="21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九、</w:t>
      </w:r>
      <w:r>
        <w:rPr>
          <w:rFonts w:hint="eastAsia" w:ascii="黑体" w:hAnsi="黑体" w:eastAsia="黑体" w:cs="黑体"/>
          <w:spacing w:val="9"/>
          <w:position w:val="21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9"/>
          <w:position w:val="21"/>
          <w:sz w:val="31"/>
          <w:szCs w:val="31"/>
        </w:rPr>
        <w:t>整体支出绩效自评结果拟应用和公开</w:t>
      </w:r>
      <w:r>
        <w:rPr>
          <w:rFonts w:ascii="黑体" w:hAnsi="黑体" w:eastAsia="黑体" w:cs="黑体"/>
          <w:spacing w:val="8"/>
          <w:position w:val="21"/>
          <w:sz w:val="31"/>
          <w:szCs w:val="31"/>
        </w:rPr>
        <w:t>情况</w:t>
      </w:r>
    </w:p>
    <w:p w14:paraId="2B8931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本年度学校整体支出严格遵循预算管理规定，围绕教育教学核心任务，在人员经费、公用经费、项目经费等方面合理分配资金，保障了学校各项工作的有序开展。资金使用聚焦教学改革推进、德育活动实施、设备维护与更新等重点领域，基本实现了年初设定的绩效目标，但在部分环节存在优化空间。同时将部门整体支出绩效自评报告在单位门户网站上进行公开，广泛接受社会监督。</w:t>
      </w:r>
    </w:p>
    <w:p w14:paraId="674A1116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-3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其他需要说明的情况</w:t>
      </w:r>
    </w:p>
    <w:p w14:paraId="71C7AD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Arial"/>
          <w:sz w:val="21"/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61E42136">
      <w:pPr>
        <w:pStyle w:val="2"/>
        <w:rPr>
          <w:rFonts w:ascii="Arial"/>
          <w:sz w:val="21"/>
        </w:rPr>
      </w:pPr>
    </w:p>
    <w:p w14:paraId="1E063AC7">
      <w:pPr>
        <w:pStyle w:val="2"/>
        <w:rPr>
          <w:rFonts w:ascii="Arial"/>
          <w:sz w:val="21"/>
        </w:rPr>
      </w:pPr>
    </w:p>
    <w:p w14:paraId="6E4AF6A6">
      <w:pPr>
        <w:pStyle w:val="2"/>
        <w:rPr>
          <w:rFonts w:ascii="Arial"/>
          <w:sz w:val="21"/>
        </w:rPr>
      </w:pPr>
    </w:p>
    <w:p w14:paraId="074A0A4F">
      <w:pPr>
        <w:pStyle w:val="2"/>
        <w:rPr>
          <w:rFonts w:ascii="Arial"/>
          <w:sz w:val="21"/>
        </w:rPr>
      </w:pPr>
    </w:p>
    <w:p w14:paraId="4FFE2821">
      <w:pPr>
        <w:pStyle w:val="2"/>
        <w:rPr>
          <w:rFonts w:ascii="Arial"/>
          <w:sz w:val="21"/>
        </w:rPr>
      </w:pPr>
    </w:p>
    <w:p w14:paraId="0C0E1D15">
      <w:pPr>
        <w:pStyle w:val="2"/>
        <w:rPr>
          <w:rFonts w:ascii="Arial"/>
          <w:sz w:val="21"/>
        </w:rPr>
      </w:pPr>
    </w:p>
    <w:p w14:paraId="08C9519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</w:pPr>
      <w:r>
        <w:rPr>
          <w:spacing w:val="6"/>
        </w:rPr>
        <w:t>附件：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、</w:t>
      </w:r>
      <w:r>
        <w:rPr>
          <w:rFonts w:hint="eastAsia"/>
          <w:spacing w:val="6"/>
          <w:lang w:eastAsia="zh-CN"/>
        </w:rPr>
        <w:t>单位</w:t>
      </w:r>
      <w:r>
        <w:rPr>
          <w:spacing w:val="6"/>
        </w:rPr>
        <w:t>整体支出绩效评价基础数据表</w:t>
      </w:r>
    </w:p>
    <w:p w14:paraId="38E4E1C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 w:firstLine="732" w:firstLineChars="200"/>
        <w:jc w:val="left"/>
        <w:textAlignment w:val="auto"/>
        <w:rPr>
          <w:rFonts w:hint="eastAsia"/>
          <w:spacing w:val="8"/>
        </w:rPr>
      </w:pP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、</w:t>
      </w:r>
      <w:r>
        <w:rPr>
          <w:rFonts w:hint="eastAsia"/>
          <w:spacing w:val="8"/>
          <w:lang w:eastAsia="zh-CN"/>
        </w:rPr>
        <w:t>单位</w:t>
      </w:r>
      <w:r>
        <w:rPr>
          <w:spacing w:val="8"/>
        </w:rPr>
        <w:t>整体支出绩效自评表</w:t>
      </w:r>
    </w:p>
    <w:p w14:paraId="5C8FBDA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rPr>
          <w:rFonts w:hint="eastAsia"/>
          <w:spacing w:val="8"/>
        </w:rPr>
      </w:pPr>
    </w:p>
    <w:p w14:paraId="5F4BDDB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rPr>
          <w:rFonts w:hint="eastAsia"/>
          <w:spacing w:val="8"/>
        </w:rPr>
      </w:pPr>
    </w:p>
    <w:p w14:paraId="5465DBD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rPr>
          <w:rFonts w:hint="eastAsia"/>
          <w:spacing w:val="8"/>
        </w:rPr>
      </w:pPr>
    </w:p>
    <w:p w14:paraId="5EB9EFD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rPr>
          <w:rFonts w:hint="eastAsia"/>
          <w:spacing w:val="8"/>
        </w:rPr>
      </w:pPr>
    </w:p>
    <w:p w14:paraId="3290739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rPr>
          <w:rFonts w:hint="eastAsia"/>
          <w:spacing w:val="8"/>
        </w:rPr>
      </w:pPr>
    </w:p>
    <w:p w14:paraId="2B585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</w:pPr>
    </w:p>
    <w:p w14:paraId="51B09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</w:pPr>
    </w:p>
    <w:p w14:paraId="25D69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</w:pPr>
    </w:p>
    <w:p w14:paraId="5F2E9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  <w:t>1</w:t>
      </w:r>
    </w:p>
    <w:p w14:paraId="51559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</w:rPr>
        <w:t>整体支出绩效评价基础数据表</w:t>
      </w:r>
    </w:p>
    <w:p w14:paraId="0997FD5D">
      <w:pPr>
        <w:spacing w:line="115" w:lineRule="exact"/>
        <w:rPr>
          <w:color w:val="000000"/>
        </w:rPr>
      </w:pPr>
    </w:p>
    <w:tbl>
      <w:tblPr>
        <w:tblStyle w:val="10"/>
        <w:tblW w:w="10056" w:type="dxa"/>
        <w:tblInd w:w="-6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92"/>
        <w:gridCol w:w="1176"/>
        <w:gridCol w:w="948"/>
        <w:gridCol w:w="1176"/>
        <w:gridCol w:w="1056"/>
        <w:gridCol w:w="1056"/>
        <w:gridCol w:w="1152"/>
      </w:tblGrid>
      <w:tr w14:paraId="56D1F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492" w:type="dxa"/>
            <w:tcBorders>
              <w:bottom w:val="nil"/>
            </w:tcBorders>
            <w:noWrap w:val="0"/>
            <w:vAlign w:val="center"/>
          </w:tcPr>
          <w:p w14:paraId="45BCC67D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</w:rPr>
              <w:t>预算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</w:rPr>
              <w:t>名称</w:t>
            </w:r>
          </w:p>
        </w:tc>
        <w:tc>
          <w:tcPr>
            <w:tcW w:w="6564" w:type="dxa"/>
            <w:gridSpan w:val="6"/>
            <w:noWrap w:val="0"/>
            <w:vAlign w:val="top"/>
          </w:tcPr>
          <w:p w14:paraId="57F53A04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  <w:lang w:eastAsia="zh-CN"/>
              </w:rPr>
              <w:t>岳阳市岳阳楼区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  <w:lang w:val="en-US" w:eastAsia="zh-CN"/>
              </w:rPr>
              <w:t>梅子柿小学</w:t>
            </w:r>
          </w:p>
        </w:tc>
      </w:tr>
      <w:tr w14:paraId="79838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492" w:type="dxa"/>
            <w:vMerge w:val="restart"/>
            <w:tcBorders>
              <w:bottom w:val="nil"/>
            </w:tcBorders>
            <w:noWrap w:val="0"/>
            <w:vAlign w:val="top"/>
          </w:tcPr>
          <w:p w14:paraId="3FE9A53A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2"/>
                <w:szCs w:val="22"/>
              </w:rPr>
              <w:t>财政供养人员情况(人)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4938F347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2"/>
                <w:szCs w:val="22"/>
              </w:rPr>
              <w:t>编制数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5EBA1970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2"/>
                <w:szCs w:val="22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2"/>
                <w:szCs w:val="22"/>
              </w:rPr>
              <w:t>年实际在职人数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548308AC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</w:rPr>
              <w:t>控制率</w:t>
            </w:r>
          </w:p>
        </w:tc>
      </w:tr>
      <w:tr w14:paraId="4B9C6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vMerge w:val="continue"/>
            <w:tcBorders>
              <w:top w:val="nil"/>
            </w:tcBorders>
            <w:noWrap w:val="0"/>
            <w:vAlign w:val="top"/>
          </w:tcPr>
          <w:p w14:paraId="5CA4236C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noWrap w:val="0"/>
            <w:vAlign w:val="top"/>
          </w:tcPr>
          <w:p w14:paraId="2C452F20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3C082593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2D99E31F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130.77%</w:t>
            </w:r>
          </w:p>
        </w:tc>
      </w:tr>
      <w:tr w14:paraId="4B8D2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492" w:type="dxa"/>
            <w:noWrap w:val="0"/>
            <w:vAlign w:val="top"/>
          </w:tcPr>
          <w:p w14:paraId="6EC6B10C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22"/>
                <w:szCs w:val="22"/>
              </w:rPr>
              <w:t>经费控制情况(万元)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C3BC7BB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</w:rPr>
              <w:t>年决算数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798AB46F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</w:rPr>
              <w:t>年预算数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6AFF4935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2"/>
                <w:szCs w:val="22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2"/>
                <w:szCs w:val="22"/>
              </w:rPr>
              <w:t>年决算数</w:t>
            </w:r>
          </w:p>
        </w:tc>
      </w:tr>
      <w:tr w14:paraId="21657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43EB7443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2"/>
                <w:szCs w:val="22"/>
              </w:rPr>
              <w:t>三公经费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132AC07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13C2666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5A12556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5545E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492" w:type="dxa"/>
            <w:noWrap w:val="0"/>
            <w:vAlign w:val="top"/>
          </w:tcPr>
          <w:p w14:paraId="41AA4231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1、公务用车购置和维护经费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275A83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3C11B72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54CA9FC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0A873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256CEF58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</w:rPr>
              <w:t>其中：公车购置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2E14BD4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2C3968C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321713A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08DA2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492" w:type="dxa"/>
            <w:noWrap w:val="0"/>
            <w:vAlign w:val="top"/>
          </w:tcPr>
          <w:p w14:paraId="2BA4C110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</w:rPr>
              <w:t>公车运行维护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37A8093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31997CB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000E042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41B06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492" w:type="dxa"/>
            <w:noWrap w:val="0"/>
            <w:vAlign w:val="top"/>
          </w:tcPr>
          <w:p w14:paraId="702F96FB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</w:rPr>
              <w:t>2、出国经费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529ED5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770C0FA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4CCC2C3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2E014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noWrap w:val="0"/>
            <w:vAlign w:val="top"/>
          </w:tcPr>
          <w:p w14:paraId="33F49EC8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2"/>
                <w:szCs w:val="22"/>
              </w:rPr>
              <w:t>3、公务接待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1550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7D537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7CB90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4805F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23B3852C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2"/>
                <w:szCs w:val="22"/>
              </w:rPr>
              <w:t>项目支出：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5E9D9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0FC8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2.00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03799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62.51</w:t>
            </w:r>
          </w:p>
        </w:tc>
      </w:tr>
      <w:tr w14:paraId="49139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6780C153">
            <w:pPr>
              <w:spacing w:before="133" w:line="200" w:lineRule="auto"/>
              <w:ind w:firstLine="222" w:firstLineChars="100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2"/>
                <w:szCs w:val="22"/>
              </w:rPr>
              <w:t>1、业务工作经费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5DCF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34A5E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2.00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46AC5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62.51</w:t>
            </w:r>
          </w:p>
        </w:tc>
      </w:tr>
      <w:tr w14:paraId="3AC88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492" w:type="dxa"/>
            <w:noWrap w:val="0"/>
            <w:vAlign w:val="top"/>
          </w:tcPr>
          <w:p w14:paraId="2076CBB4">
            <w:pPr>
              <w:spacing w:before="143" w:line="209" w:lineRule="auto"/>
              <w:ind w:firstLine="222" w:firstLineChars="100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2"/>
                <w:szCs w:val="22"/>
              </w:rPr>
              <w:t>2、运行维护经费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3659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5D824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43E30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580BD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492" w:type="dxa"/>
            <w:noWrap w:val="0"/>
            <w:vAlign w:val="top"/>
          </w:tcPr>
          <w:p w14:paraId="18516462">
            <w:pPr>
              <w:spacing w:before="93" w:line="219" w:lineRule="auto"/>
              <w:ind w:firstLine="224" w:firstLineChars="100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</w:rPr>
              <w:t>级专项资金(一个专项一行)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D659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E9B6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1D8FB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007D7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noWrap w:val="0"/>
            <w:vAlign w:val="top"/>
          </w:tcPr>
          <w:p w14:paraId="6043F62B">
            <w:pPr>
              <w:spacing w:before="85" w:line="220" w:lineRule="auto"/>
              <w:ind w:firstLine="226" w:firstLineChars="100"/>
              <w:jc w:val="left"/>
              <w:rPr>
                <w:rFonts w:hint="eastAsia" w:ascii="宋体" w:hAnsi="宋体" w:eastAsia="宋体" w:cs="宋体"/>
                <w:color w:val="000000"/>
                <w:spacing w:val="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2"/>
                <w:szCs w:val="22"/>
                <w:lang w:val="en-US" w:eastAsia="zh-CN"/>
              </w:rPr>
              <w:t>4、上级转移支付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</w:rPr>
              <w:t>(一个专项一行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5FBB6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63CDE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6C293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66CE8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noWrap w:val="0"/>
            <w:vAlign w:val="top"/>
          </w:tcPr>
          <w:p w14:paraId="1B7DC5BF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2"/>
                <w:szCs w:val="22"/>
              </w:rPr>
              <w:t>公用经费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38E10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center"/>
          </w:tcPr>
          <w:p w14:paraId="72DFD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78.91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7A70F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78.91</w:t>
            </w:r>
          </w:p>
        </w:tc>
      </w:tr>
      <w:tr w14:paraId="04D0C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148BACF1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2"/>
                <w:szCs w:val="22"/>
              </w:rPr>
              <w:t>其中：办公经费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397F6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52858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9.69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top"/>
          </w:tcPr>
          <w:p w14:paraId="7E99E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9.69</w:t>
            </w:r>
          </w:p>
        </w:tc>
      </w:tr>
      <w:tr w14:paraId="0DF45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338579CB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2"/>
                <w:szCs w:val="22"/>
              </w:rPr>
              <w:t>水费、电费、差旅费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5210C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2FB47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2.94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top"/>
          </w:tcPr>
          <w:p w14:paraId="7F6FA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2.94</w:t>
            </w:r>
          </w:p>
        </w:tc>
      </w:tr>
      <w:tr w14:paraId="3864E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noWrap w:val="0"/>
            <w:vAlign w:val="top"/>
          </w:tcPr>
          <w:p w14:paraId="44AE3B1E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2"/>
                <w:szCs w:val="22"/>
              </w:rPr>
              <w:t>会议费、培训费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45C29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0A631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0.01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top"/>
          </w:tcPr>
          <w:p w14:paraId="5CE08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0.01</w:t>
            </w:r>
          </w:p>
        </w:tc>
      </w:tr>
      <w:tr w14:paraId="68795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136F59BB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2"/>
                <w:szCs w:val="22"/>
              </w:rPr>
              <w:t>政府采购金额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96C0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center"/>
          </w:tcPr>
          <w:p w14:paraId="0D260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5.7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5C2C4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5.7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61F92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3492" w:type="dxa"/>
            <w:noWrap w:val="0"/>
            <w:vAlign w:val="top"/>
          </w:tcPr>
          <w:p w14:paraId="15FA9ACF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2"/>
                <w:szCs w:val="22"/>
              </w:rPr>
              <w:t>部门基本支出预算调整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643546E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A44EC4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6B1D9CF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3828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3492" w:type="dxa"/>
            <w:vMerge w:val="restart"/>
            <w:tcBorders>
              <w:bottom w:val="nil"/>
            </w:tcBorders>
            <w:noWrap w:val="0"/>
            <w:vAlign w:val="center"/>
          </w:tcPr>
          <w:p w14:paraId="6ACED326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position w:val="14"/>
                <w:sz w:val="22"/>
                <w:szCs w:val="22"/>
              </w:rPr>
              <w:t>楼堂馆所控制情况</w:t>
            </w:r>
          </w:p>
          <w:p w14:paraId="513E81AA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2"/>
                <w:szCs w:val="22"/>
              </w:rPr>
              <w:t>(202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2"/>
                <w:szCs w:val="22"/>
              </w:rPr>
              <w:t>年完工项目)</w:t>
            </w:r>
          </w:p>
        </w:tc>
        <w:tc>
          <w:tcPr>
            <w:tcW w:w="1176" w:type="dxa"/>
            <w:noWrap w:val="0"/>
            <w:vAlign w:val="center"/>
          </w:tcPr>
          <w:p w14:paraId="390BC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批复规模</w:t>
            </w:r>
          </w:p>
          <w:p w14:paraId="70FCD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(m²)</w:t>
            </w:r>
          </w:p>
        </w:tc>
        <w:tc>
          <w:tcPr>
            <w:tcW w:w="948" w:type="dxa"/>
            <w:noWrap w:val="0"/>
            <w:vAlign w:val="center"/>
          </w:tcPr>
          <w:p w14:paraId="77D94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实际规</w:t>
            </w:r>
          </w:p>
          <w:p w14:paraId="27207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模(m²)</w:t>
            </w:r>
          </w:p>
        </w:tc>
        <w:tc>
          <w:tcPr>
            <w:tcW w:w="1176" w:type="dxa"/>
            <w:noWrap w:val="0"/>
            <w:vAlign w:val="center"/>
          </w:tcPr>
          <w:p w14:paraId="3C708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规模控制率</w:t>
            </w:r>
          </w:p>
        </w:tc>
        <w:tc>
          <w:tcPr>
            <w:tcW w:w="1056" w:type="dxa"/>
            <w:noWrap w:val="0"/>
            <w:vAlign w:val="center"/>
          </w:tcPr>
          <w:p w14:paraId="6045E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预算投资</w:t>
            </w:r>
          </w:p>
          <w:p w14:paraId="18844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(万元)</w:t>
            </w:r>
          </w:p>
        </w:tc>
        <w:tc>
          <w:tcPr>
            <w:tcW w:w="1056" w:type="dxa"/>
            <w:noWrap w:val="0"/>
            <w:vAlign w:val="center"/>
          </w:tcPr>
          <w:p w14:paraId="5B4DA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实际投资</w:t>
            </w:r>
          </w:p>
          <w:p w14:paraId="321BB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(万元)</w:t>
            </w:r>
          </w:p>
        </w:tc>
        <w:tc>
          <w:tcPr>
            <w:tcW w:w="1152" w:type="dxa"/>
            <w:noWrap w:val="0"/>
            <w:vAlign w:val="center"/>
          </w:tcPr>
          <w:p w14:paraId="3C7C3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投资概算控制率</w:t>
            </w:r>
          </w:p>
        </w:tc>
      </w:tr>
      <w:tr w14:paraId="5B499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vMerge w:val="continue"/>
            <w:tcBorders>
              <w:top w:val="nil"/>
            </w:tcBorders>
            <w:noWrap w:val="0"/>
            <w:vAlign w:val="top"/>
          </w:tcPr>
          <w:p w14:paraId="40EDBEB9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noWrap w:val="0"/>
            <w:vAlign w:val="top"/>
          </w:tcPr>
          <w:p w14:paraId="5AC6A555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noWrap w:val="0"/>
            <w:vAlign w:val="top"/>
          </w:tcPr>
          <w:p w14:paraId="60CA6F13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noWrap w:val="0"/>
            <w:vAlign w:val="top"/>
          </w:tcPr>
          <w:p w14:paraId="56E96991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noWrap w:val="0"/>
            <w:vAlign w:val="top"/>
          </w:tcPr>
          <w:p w14:paraId="7FBA0042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noWrap w:val="0"/>
            <w:vAlign w:val="top"/>
          </w:tcPr>
          <w:p w14:paraId="62A2C4EB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noWrap w:val="0"/>
            <w:vAlign w:val="top"/>
          </w:tcPr>
          <w:p w14:paraId="562F4406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3D14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492" w:type="dxa"/>
            <w:noWrap w:val="0"/>
            <w:vAlign w:val="top"/>
          </w:tcPr>
          <w:p w14:paraId="7D16B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2"/>
                <w:szCs w:val="22"/>
              </w:rPr>
              <w:t>厉行节约保障措施</w:t>
            </w:r>
          </w:p>
        </w:tc>
        <w:tc>
          <w:tcPr>
            <w:tcW w:w="6564" w:type="dxa"/>
            <w:gridSpan w:val="6"/>
            <w:noWrap w:val="0"/>
            <w:vAlign w:val="top"/>
          </w:tcPr>
          <w:p w14:paraId="6A5C3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坚持开展宣传教育、建全工作机制、建章立制、监督检查、加强管理</w:t>
            </w:r>
          </w:p>
        </w:tc>
      </w:tr>
    </w:tbl>
    <w:p w14:paraId="4D942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</w:rPr>
        <w:t>说明：“项目支出”需要填报基本支出以外的所有项目支出情况，“公用经费”填报基本支出中的一般商品和服务支出。</w:t>
      </w:r>
    </w:p>
    <w:p w14:paraId="37934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default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  <w:lang w:val="en-US" w:eastAsia="zh-CN"/>
        </w:rPr>
        <w:t xml:space="preserve">卢四英       </w:t>
      </w:r>
      <w:r>
        <w:rPr>
          <w:rFonts w:hint="eastAsia" w:ascii="宋体" w:hAnsi="宋体" w:cs="宋体"/>
          <w:color w:val="000000"/>
          <w:spacing w:val="0"/>
          <w:position w:val="0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</w:rPr>
        <w:t xml:space="preserve"> 联系电话：13637303558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pacing w:val="0"/>
          <w:position w:val="0"/>
          <w:sz w:val="22"/>
          <w:szCs w:val="22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</w:rPr>
        <w:t>填报日期：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  <w:lang w:val="en-US" w:eastAsia="zh-CN"/>
        </w:rPr>
        <w:t>2025年7月11日</w:t>
      </w:r>
    </w:p>
    <w:p w14:paraId="4B87299D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2</w:t>
      </w:r>
    </w:p>
    <w:p w14:paraId="0CA79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  <w:lang w:eastAsia="zh-CN"/>
        </w:rPr>
        <w:t>年度预算单位整体支出绩效自评表</w:t>
      </w:r>
    </w:p>
    <w:p w14:paraId="42B8247D">
      <w:pPr>
        <w:spacing w:line="132" w:lineRule="exact"/>
      </w:pPr>
    </w:p>
    <w:tbl>
      <w:tblPr>
        <w:tblStyle w:val="10"/>
        <w:tblW w:w="10044" w:type="dxa"/>
        <w:tblInd w:w="-70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1104"/>
        <w:gridCol w:w="984"/>
        <w:gridCol w:w="1332"/>
        <w:gridCol w:w="1584"/>
        <w:gridCol w:w="1164"/>
        <w:gridCol w:w="576"/>
        <w:gridCol w:w="960"/>
        <w:gridCol w:w="1236"/>
      </w:tblGrid>
      <w:tr w14:paraId="657E0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2" w:type="dxa"/>
            <w:gridSpan w:val="3"/>
            <w:noWrap w:val="0"/>
            <w:vAlign w:val="top"/>
          </w:tcPr>
          <w:p w14:paraId="28264778">
            <w:pPr>
              <w:spacing w:before="24" w:line="208" w:lineRule="auto"/>
              <w:ind w:left="120" w:firstLine="392" w:firstLineChars="2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预算单位名称</w:t>
            </w:r>
          </w:p>
        </w:tc>
        <w:tc>
          <w:tcPr>
            <w:tcW w:w="6852" w:type="dxa"/>
            <w:gridSpan w:val="6"/>
            <w:noWrap w:val="0"/>
            <w:vAlign w:val="top"/>
          </w:tcPr>
          <w:p w14:paraId="5E7A7338">
            <w:pPr>
              <w:pStyle w:val="11"/>
              <w:spacing w:line="239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岳阳市岳阳楼区梅子柿小学</w:t>
            </w:r>
          </w:p>
        </w:tc>
      </w:tr>
      <w:tr w14:paraId="1BAEB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4F160C00">
            <w:pPr>
              <w:pStyle w:val="11"/>
              <w:spacing w:line="467" w:lineRule="auto"/>
              <w:rPr>
                <w:rFonts w:hint="eastAsia" w:ascii="宋体" w:hAnsi="宋体" w:eastAsia="宋体" w:cs="宋体"/>
                <w:spacing w:val="2"/>
                <w:kern w:val="2"/>
                <w:sz w:val="18"/>
                <w:szCs w:val="18"/>
                <w:lang w:val="en-US" w:eastAsia="zh-CN" w:bidi="ar-SA"/>
              </w:rPr>
            </w:pPr>
          </w:p>
          <w:p w14:paraId="7BEB4C86">
            <w:pPr>
              <w:spacing w:line="280" w:lineRule="exact"/>
              <w:jc w:val="center"/>
              <w:rPr>
                <w:rFonts w:hint="eastAsia" w:ascii="宋体" w:hAnsi="宋体" w:eastAsia="宋体" w:cs="宋体"/>
                <w:spacing w:val="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18"/>
                <w:szCs w:val="18"/>
                <w:lang w:val="en-US" w:eastAsia="zh-CN" w:bidi="ar-SA"/>
              </w:rPr>
              <w:t>年度预</w:t>
            </w:r>
          </w:p>
          <w:p w14:paraId="4263F0A2">
            <w:pPr>
              <w:spacing w:line="219" w:lineRule="auto"/>
              <w:jc w:val="center"/>
              <w:rPr>
                <w:rFonts w:hint="eastAsia" w:ascii="宋体" w:hAnsi="宋体" w:eastAsia="宋体" w:cs="宋体"/>
                <w:spacing w:val="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18"/>
                <w:szCs w:val="18"/>
                <w:lang w:val="en-US" w:eastAsia="zh-CN" w:bidi="ar-SA"/>
              </w:rPr>
              <w:t>算申请</w:t>
            </w:r>
          </w:p>
          <w:p w14:paraId="59761C50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18"/>
                <w:szCs w:val="18"/>
                <w:lang w:val="en-US" w:eastAsia="zh-CN" w:bidi="ar-SA"/>
              </w:rPr>
              <w:t>(万元)</w:t>
            </w:r>
          </w:p>
        </w:tc>
        <w:tc>
          <w:tcPr>
            <w:tcW w:w="2088" w:type="dxa"/>
            <w:gridSpan w:val="2"/>
            <w:noWrap w:val="0"/>
            <w:vAlign w:val="top"/>
          </w:tcPr>
          <w:p w14:paraId="6E840D10">
            <w:pPr>
              <w:pStyle w:val="11"/>
              <w:spacing w:line="235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2" w:type="dxa"/>
            <w:noWrap w:val="0"/>
            <w:vAlign w:val="top"/>
          </w:tcPr>
          <w:p w14:paraId="0530E3B2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年初预算数</w:t>
            </w:r>
          </w:p>
        </w:tc>
        <w:tc>
          <w:tcPr>
            <w:tcW w:w="1584" w:type="dxa"/>
            <w:noWrap w:val="0"/>
            <w:vAlign w:val="top"/>
          </w:tcPr>
          <w:p w14:paraId="224AB50B">
            <w:pPr>
              <w:spacing w:before="20" w:line="208" w:lineRule="auto"/>
              <w:ind w:left="15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全年预算数</w:t>
            </w:r>
          </w:p>
        </w:tc>
        <w:tc>
          <w:tcPr>
            <w:tcW w:w="1164" w:type="dxa"/>
            <w:noWrap w:val="0"/>
            <w:vAlign w:val="top"/>
          </w:tcPr>
          <w:p w14:paraId="08D984BB"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全年执行数</w:t>
            </w:r>
          </w:p>
        </w:tc>
        <w:tc>
          <w:tcPr>
            <w:tcW w:w="576" w:type="dxa"/>
            <w:noWrap w:val="0"/>
            <w:vAlign w:val="top"/>
          </w:tcPr>
          <w:p w14:paraId="2A3307F4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分值</w:t>
            </w:r>
          </w:p>
        </w:tc>
        <w:tc>
          <w:tcPr>
            <w:tcW w:w="960" w:type="dxa"/>
            <w:noWrap w:val="0"/>
            <w:vAlign w:val="top"/>
          </w:tcPr>
          <w:p w14:paraId="2BDBB7B7"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执行率</w:t>
            </w:r>
          </w:p>
        </w:tc>
        <w:tc>
          <w:tcPr>
            <w:tcW w:w="1236" w:type="dxa"/>
            <w:noWrap w:val="0"/>
            <w:vAlign w:val="top"/>
          </w:tcPr>
          <w:p w14:paraId="51F82A35">
            <w:pPr>
              <w:spacing w:before="20" w:line="20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自评得分</w:t>
            </w:r>
          </w:p>
        </w:tc>
      </w:tr>
      <w:tr w14:paraId="63A97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2F260E0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8" w:type="dxa"/>
            <w:gridSpan w:val="2"/>
            <w:noWrap w:val="0"/>
            <w:vAlign w:val="top"/>
          </w:tcPr>
          <w:p w14:paraId="0D8078A3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年度资金总额</w:t>
            </w:r>
          </w:p>
        </w:tc>
        <w:tc>
          <w:tcPr>
            <w:tcW w:w="1332" w:type="dxa"/>
            <w:noWrap w:val="0"/>
            <w:vAlign w:val="center"/>
          </w:tcPr>
          <w:p w14:paraId="4EBABD17">
            <w:pPr>
              <w:spacing w:line="239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200.11</w:t>
            </w:r>
          </w:p>
        </w:tc>
        <w:tc>
          <w:tcPr>
            <w:tcW w:w="1584" w:type="dxa"/>
            <w:noWrap w:val="0"/>
            <w:vAlign w:val="center"/>
          </w:tcPr>
          <w:p w14:paraId="1894813E">
            <w:pPr>
              <w:spacing w:line="239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331.93</w:t>
            </w:r>
          </w:p>
        </w:tc>
        <w:tc>
          <w:tcPr>
            <w:tcW w:w="1164" w:type="dxa"/>
            <w:noWrap w:val="0"/>
            <w:vAlign w:val="center"/>
          </w:tcPr>
          <w:p w14:paraId="19B4ED86">
            <w:pPr>
              <w:spacing w:line="239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327.93</w:t>
            </w:r>
          </w:p>
        </w:tc>
        <w:tc>
          <w:tcPr>
            <w:tcW w:w="576" w:type="dxa"/>
            <w:noWrap w:val="0"/>
            <w:vAlign w:val="top"/>
          </w:tcPr>
          <w:p w14:paraId="04A0CDE1">
            <w:pPr>
              <w:pStyle w:val="11"/>
              <w:spacing w:before="54" w:line="194" w:lineRule="auto"/>
              <w:ind w:left="270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top"/>
          </w:tcPr>
          <w:p w14:paraId="21874FA9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98.79%</w:t>
            </w:r>
          </w:p>
        </w:tc>
        <w:tc>
          <w:tcPr>
            <w:tcW w:w="1236" w:type="dxa"/>
            <w:noWrap w:val="0"/>
            <w:vAlign w:val="top"/>
          </w:tcPr>
          <w:p w14:paraId="7B2EF9F0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9.88</w:t>
            </w:r>
          </w:p>
        </w:tc>
      </w:tr>
      <w:tr w14:paraId="1C77E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7F0E417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04" w:type="dxa"/>
            <w:gridSpan w:val="4"/>
            <w:noWrap w:val="0"/>
            <w:vAlign w:val="center"/>
          </w:tcPr>
          <w:p w14:paraId="7713468A">
            <w:pPr>
              <w:spacing w:line="193" w:lineRule="auto"/>
              <w:ind w:firstLine="180" w:firstLineChars="100"/>
              <w:jc w:val="left"/>
              <w:rPr>
                <w:rFonts w:hint="eastAsia" w:ascii="宋体" w:hAnsi="宋体" w:cs="宋体" w:eastAsiaTheme="minorEastAsia"/>
                <w:spacing w:val="8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按收入性质分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3936" w:type="dxa"/>
            <w:gridSpan w:val="4"/>
            <w:noWrap w:val="0"/>
            <w:vAlign w:val="center"/>
          </w:tcPr>
          <w:p w14:paraId="66BAB49E">
            <w:pPr>
              <w:spacing w:line="193" w:lineRule="auto"/>
              <w:ind w:firstLine="180" w:firstLineChars="100"/>
              <w:jc w:val="left"/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</w:p>
        </w:tc>
      </w:tr>
      <w:tr w14:paraId="13E1B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6C3EDA7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04" w:type="dxa"/>
            <w:gridSpan w:val="4"/>
            <w:noWrap w:val="0"/>
            <w:vAlign w:val="center"/>
          </w:tcPr>
          <w:p w14:paraId="24DD533E">
            <w:pPr>
              <w:spacing w:line="193" w:lineRule="auto"/>
              <w:ind w:firstLine="180" w:firstLineChars="100"/>
              <w:jc w:val="left"/>
              <w:rPr>
                <w:rFonts w:hint="default" w:ascii="宋体" w:hAnsi="宋体" w:eastAsia="宋体" w:cs="宋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其中： 一般公共预算：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220.98</w:t>
            </w:r>
          </w:p>
        </w:tc>
        <w:tc>
          <w:tcPr>
            <w:tcW w:w="3936" w:type="dxa"/>
            <w:gridSpan w:val="4"/>
            <w:noWrap w:val="0"/>
            <w:vAlign w:val="center"/>
          </w:tcPr>
          <w:p w14:paraId="41245705">
            <w:pPr>
              <w:spacing w:line="194" w:lineRule="auto"/>
              <w:ind w:firstLine="180" w:firstLineChars="100"/>
              <w:jc w:val="left"/>
              <w:rPr>
                <w:rFonts w:hint="default" w:ascii="宋体" w:hAnsi="宋体" w:eastAsia="宋体" w:cs="宋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265.42</w:t>
            </w:r>
          </w:p>
        </w:tc>
      </w:tr>
      <w:tr w14:paraId="2A8D7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0BE6DC5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04" w:type="dxa"/>
            <w:gridSpan w:val="4"/>
            <w:noWrap w:val="0"/>
            <w:vAlign w:val="center"/>
          </w:tcPr>
          <w:p w14:paraId="6A066E16">
            <w:pPr>
              <w:spacing w:line="202" w:lineRule="auto"/>
              <w:ind w:firstLine="900" w:firstLineChars="500"/>
              <w:jc w:val="left"/>
              <w:rPr>
                <w:rFonts w:hint="default" w:ascii="宋体" w:hAnsi="宋体" w:eastAsia="宋体" w:cs="宋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政府性基金拨款：0.00</w:t>
            </w:r>
          </w:p>
        </w:tc>
        <w:tc>
          <w:tcPr>
            <w:tcW w:w="3936" w:type="dxa"/>
            <w:gridSpan w:val="4"/>
            <w:noWrap w:val="0"/>
            <w:vAlign w:val="center"/>
          </w:tcPr>
          <w:p w14:paraId="19FA3FE7">
            <w:pPr>
              <w:spacing w:line="201" w:lineRule="auto"/>
              <w:ind w:firstLine="720" w:firstLineChars="400"/>
              <w:jc w:val="left"/>
              <w:rPr>
                <w:rFonts w:hint="default" w:ascii="宋体" w:hAnsi="宋体" w:eastAsia="宋体" w:cs="宋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62.51</w:t>
            </w:r>
          </w:p>
        </w:tc>
      </w:tr>
      <w:tr w14:paraId="2883E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2CCB33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04" w:type="dxa"/>
            <w:gridSpan w:val="4"/>
            <w:noWrap w:val="0"/>
            <w:vAlign w:val="center"/>
          </w:tcPr>
          <w:p w14:paraId="103DEC4D">
            <w:pPr>
              <w:spacing w:line="192" w:lineRule="auto"/>
              <w:ind w:firstLine="900" w:firstLineChars="500"/>
              <w:jc w:val="left"/>
              <w:rPr>
                <w:rFonts w:hint="default" w:ascii="宋体" w:hAnsi="宋体" w:eastAsia="宋体" w:cs="宋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纳入专户管理的非税收入拨款：0.00</w:t>
            </w:r>
          </w:p>
        </w:tc>
        <w:tc>
          <w:tcPr>
            <w:tcW w:w="3936" w:type="dxa"/>
            <w:gridSpan w:val="4"/>
            <w:noWrap w:val="0"/>
            <w:vAlign w:val="center"/>
          </w:tcPr>
          <w:p w14:paraId="36CFBBEE">
            <w:pPr>
              <w:spacing w:line="239" w:lineRule="exact"/>
              <w:jc w:val="left"/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</w:pPr>
          </w:p>
        </w:tc>
      </w:tr>
      <w:tr w14:paraId="4207B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</w:tcBorders>
            <w:noWrap w:val="0"/>
            <w:vAlign w:val="top"/>
          </w:tcPr>
          <w:p w14:paraId="1B48DDD1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04" w:type="dxa"/>
            <w:gridSpan w:val="4"/>
            <w:noWrap w:val="0"/>
            <w:vAlign w:val="center"/>
          </w:tcPr>
          <w:p w14:paraId="5A62EA7F">
            <w:pPr>
              <w:spacing w:line="192" w:lineRule="auto"/>
              <w:ind w:firstLine="900" w:firstLineChars="500"/>
              <w:jc w:val="left"/>
              <w:rPr>
                <w:rFonts w:hint="default" w:ascii="宋体" w:hAnsi="宋体" w:eastAsia="宋体" w:cs="宋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106.95</w:t>
            </w:r>
          </w:p>
        </w:tc>
        <w:tc>
          <w:tcPr>
            <w:tcW w:w="3936" w:type="dxa"/>
            <w:gridSpan w:val="4"/>
            <w:noWrap w:val="0"/>
            <w:vAlign w:val="center"/>
          </w:tcPr>
          <w:p w14:paraId="4C4263E1">
            <w:pPr>
              <w:spacing w:line="240" w:lineRule="exact"/>
              <w:jc w:val="left"/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</w:pPr>
          </w:p>
        </w:tc>
      </w:tr>
      <w:tr w14:paraId="6CA2F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7416FCA4">
            <w:pPr>
              <w:pStyle w:val="11"/>
              <w:spacing w:line="242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E8D6CE5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</w:p>
          <w:p w14:paraId="1106A4E7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</w:p>
          <w:p w14:paraId="425981AB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</w:p>
          <w:p w14:paraId="253EBBBE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</w:p>
          <w:p w14:paraId="390C0800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</w:p>
          <w:p w14:paraId="47473AE8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  <w:t>年度总体目标</w:t>
            </w:r>
          </w:p>
        </w:tc>
        <w:tc>
          <w:tcPr>
            <w:tcW w:w="5004" w:type="dxa"/>
            <w:gridSpan w:val="4"/>
            <w:noWrap w:val="0"/>
            <w:vAlign w:val="top"/>
          </w:tcPr>
          <w:p w14:paraId="74FDF984"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预期目标</w:t>
            </w:r>
          </w:p>
        </w:tc>
        <w:tc>
          <w:tcPr>
            <w:tcW w:w="3936" w:type="dxa"/>
            <w:gridSpan w:val="4"/>
            <w:noWrap w:val="0"/>
            <w:vAlign w:val="top"/>
          </w:tcPr>
          <w:p w14:paraId="7F2F087A"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实际完成情况</w:t>
            </w:r>
          </w:p>
        </w:tc>
      </w:tr>
      <w:tr w14:paraId="5D019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104" w:type="dxa"/>
            <w:vMerge w:val="continue"/>
            <w:tcBorders>
              <w:top w:val="nil"/>
            </w:tcBorders>
            <w:noWrap w:val="0"/>
            <w:vAlign w:val="top"/>
          </w:tcPr>
          <w:p w14:paraId="3867DF83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04" w:type="dxa"/>
            <w:gridSpan w:val="4"/>
            <w:noWrap w:val="0"/>
            <w:vAlign w:val="center"/>
          </w:tcPr>
          <w:p w14:paraId="0BAF76D8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目标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：加强对学生的思想品德教育，使学生的德智体全面发展。加强学校德育工作和班主任队伍建设, 加强对少先队的管理，积极开展班队活动，发挥少先队的先锋模范作用，提高学生身体和心理素质，完成体质健康数据的上报工作。</w:t>
            </w:r>
          </w:p>
          <w:p w14:paraId="416DC9A3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目标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：全方位保障校园安全。加强学校安全工作，切实做好交通安全、防溺水安全、防火安全、食品安全等工作，规范食堂管理，确保食品安全卫生，争取本年内无校方安全责任事故和食品安全责任事故。</w:t>
            </w:r>
          </w:p>
          <w:p w14:paraId="7B0E2B87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目标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：做好后勤保障工作。按时完成设备购置及维护工作，及时排除校舍安全隐患，保证教学工作的正常开展，固定资产及时入账，账实相符，后勤保障工作及时到位。</w:t>
            </w:r>
          </w:p>
          <w:p w14:paraId="58BC91FC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目标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：完成上级部门交给的其他工作，按时完成上级部门交给的创文创卫工作和其他工作。</w:t>
            </w:r>
          </w:p>
        </w:tc>
        <w:tc>
          <w:tcPr>
            <w:tcW w:w="3936" w:type="dxa"/>
            <w:gridSpan w:val="4"/>
            <w:noWrap w:val="0"/>
            <w:vAlign w:val="center"/>
          </w:tcPr>
          <w:p w14:paraId="69EB59AF">
            <w:pPr>
              <w:pStyle w:val="6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目标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：学生积极参与活动，逐步提高学生身体素质。</w:t>
            </w:r>
          </w:p>
          <w:p w14:paraId="7EA30A2C">
            <w:pPr>
              <w:pStyle w:val="6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目标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：落实“1530”教育制度，通过主题班会、升旗、生命与健康课、思政课等开展传染病预防、安全事故教育等活动。组织师生开展防地震疏散演练、119消防应急疏散演练、反恐防暴演练，举办学习宪法和禁毒专题讲座和安全知识讲座等，为构建平安和谐校园保驾护航。</w:t>
            </w:r>
          </w:p>
          <w:p w14:paraId="343D86F0">
            <w:pPr>
              <w:pStyle w:val="6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目标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：一月一次，头尾彻查。及时完成了校舍维修、线路改造、消防设施更新等隐患整改工作。</w:t>
            </w:r>
          </w:p>
          <w:p w14:paraId="3728C6BA">
            <w:pPr>
              <w:pStyle w:val="6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目标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：按时完成上级部门交代的各项工作。</w:t>
            </w:r>
          </w:p>
        </w:tc>
      </w:tr>
      <w:tr w14:paraId="4BD25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3C66D01A">
            <w:pPr>
              <w:pStyle w:val="11"/>
              <w:spacing w:line="364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9A558A1"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9"/>
                <w:sz w:val="18"/>
                <w:szCs w:val="18"/>
              </w:rPr>
              <w:t>绩效指标</w:t>
            </w:r>
          </w:p>
        </w:tc>
        <w:tc>
          <w:tcPr>
            <w:tcW w:w="1104" w:type="dxa"/>
            <w:noWrap w:val="0"/>
            <w:vAlign w:val="top"/>
          </w:tcPr>
          <w:p w14:paraId="58D7AC43"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一级指标</w:t>
            </w:r>
          </w:p>
        </w:tc>
        <w:tc>
          <w:tcPr>
            <w:tcW w:w="984" w:type="dxa"/>
            <w:noWrap w:val="0"/>
            <w:vAlign w:val="top"/>
          </w:tcPr>
          <w:p w14:paraId="1F6FE74D"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二级指标</w:t>
            </w:r>
          </w:p>
        </w:tc>
        <w:tc>
          <w:tcPr>
            <w:tcW w:w="1332" w:type="dxa"/>
            <w:noWrap w:val="0"/>
            <w:vAlign w:val="top"/>
          </w:tcPr>
          <w:p w14:paraId="05BA5B1A"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三级指标</w:t>
            </w:r>
          </w:p>
        </w:tc>
        <w:tc>
          <w:tcPr>
            <w:tcW w:w="1584" w:type="dxa"/>
            <w:noWrap w:val="0"/>
            <w:vAlign w:val="top"/>
          </w:tcPr>
          <w:p w14:paraId="59A0CC63">
            <w:pPr>
              <w:spacing w:before="141" w:line="226" w:lineRule="auto"/>
              <w:ind w:left="11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年度指标值</w:t>
            </w:r>
          </w:p>
        </w:tc>
        <w:tc>
          <w:tcPr>
            <w:tcW w:w="1164" w:type="dxa"/>
            <w:noWrap w:val="0"/>
            <w:vAlign w:val="top"/>
          </w:tcPr>
          <w:p w14:paraId="3126860F"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实际完成值</w:t>
            </w:r>
          </w:p>
        </w:tc>
        <w:tc>
          <w:tcPr>
            <w:tcW w:w="576" w:type="dxa"/>
            <w:noWrap w:val="0"/>
            <w:vAlign w:val="top"/>
          </w:tcPr>
          <w:p w14:paraId="763AF742">
            <w:pPr>
              <w:spacing w:before="141" w:line="227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分值</w:t>
            </w:r>
          </w:p>
        </w:tc>
        <w:tc>
          <w:tcPr>
            <w:tcW w:w="960" w:type="dxa"/>
            <w:noWrap w:val="0"/>
            <w:vAlign w:val="top"/>
          </w:tcPr>
          <w:p w14:paraId="2C1004EB">
            <w:pPr>
              <w:spacing w:before="174" w:line="21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:lang w:val="en-US" w:eastAsia="zh-CN"/>
              </w:rPr>
              <w:t>自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评得分</w:t>
            </w:r>
          </w:p>
        </w:tc>
        <w:tc>
          <w:tcPr>
            <w:tcW w:w="1236" w:type="dxa"/>
            <w:noWrap w:val="0"/>
            <w:vAlign w:val="top"/>
          </w:tcPr>
          <w:p w14:paraId="5BA04D2D">
            <w:pPr>
              <w:spacing w:before="21" w:line="220" w:lineRule="auto"/>
              <w:ind w:left="111" w:right="109" w:firstLine="1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偏差原因</w:t>
            </w:r>
            <w:r>
              <w:rPr>
                <w:rFonts w:hint="eastAsia" w:ascii="宋体" w:hAnsi="宋体" w:cs="宋体"/>
                <w:spacing w:val="13"/>
                <w:sz w:val="18"/>
                <w:szCs w:val="18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析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及改进措施</w:t>
            </w:r>
          </w:p>
        </w:tc>
      </w:tr>
      <w:tr w14:paraId="513CB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ED6028A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72B3844C">
            <w:pPr>
              <w:pStyle w:val="11"/>
              <w:spacing w:line="272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B18029A">
            <w:pPr>
              <w:pStyle w:val="11"/>
              <w:spacing w:line="272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13842F4">
            <w:pPr>
              <w:pStyle w:val="11"/>
              <w:spacing w:line="272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AD5ED7A">
            <w:pPr>
              <w:pStyle w:val="11"/>
              <w:spacing w:line="273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D8E87ED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position w:val="19"/>
                <w:sz w:val="18"/>
                <w:szCs w:val="18"/>
              </w:rPr>
              <w:t>产出指标</w:t>
            </w:r>
          </w:p>
          <w:p w14:paraId="498DB6FF">
            <w:pPr>
              <w:spacing w:line="261" w:lineRule="exact"/>
              <w:ind w:left="252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8"/>
                <w:szCs w:val="18"/>
              </w:rPr>
              <w:t>(50</w:t>
            </w:r>
            <w:r>
              <w:rPr>
                <w:rFonts w:hint="eastAsia" w:ascii="宋体" w:hAnsi="宋体" w:eastAsia="宋体" w:cs="宋体"/>
                <w:spacing w:val="14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8"/>
                <w:szCs w:val="18"/>
              </w:rPr>
              <w:t>分)</w:t>
            </w:r>
          </w:p>
        </w:tc>
        <w:tc>
          <w:tcPr>
            <w:tcW w:w="984" w:type="dxa"/>
            <w:vMerge w:val="restart"/>
            <w:tcBorders>
              <w:bottom w:val="nil"/>
            </w:tcBorders>
            <w:noWrap w:val="0"/>
            <w:vAlign w:val="top"/>
          </w:tcPr>
          <w:p w14:paraId="72596CDB">
            <w:pPr>
              <w:spacing w:before="274" w:line="226" w:lineRule="auto"/>
              <w:ind w:firstLine="192" w:firstLineChars="10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4F098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学生招生数量</w:t>
            </w:r>
          </w:p>
        </w:tc>
        <w:tc>
          <w:tcPr>
            <w:tcW w:w="1584" w:type="dxa"/>
            <w:noWrap w:val="0"/>
            <w:vAlign w:val="center"/>
          </w:tcPr>
          <w:p w14:paraId="3273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153人</w:t>
            </w:r>
          </w:p>
        </w:tc>
        <w:tc>
          <w:tcPr>
            <w:tcW w:w="1164" w:type="dxa"/>
            <w:noWrap w:val="0"/>
            <w:vAlign w:val="center"/>
          </w:tcPr>
          <w:p w14:paraId="5BB1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153人</w:t>
            </w:r>
          </w:p>
        </w:tc>
        <w:tc>
          <w:tcPr>
            <w:tcW w:w="576" w:type="dxa"/>
            <w:noWrap w:val="0"/>
            <w:vAlign w:val="center"/>
          </w:tcPr>
          <w:p w14:paraId="2866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60" w:type="dxa"/>
            <w:noWrap w:val="0"/>
            <w:vAlign w:val="center"/>
          </w:tcPr>
          <w:p w14:paraId="352D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236" w:type="dxa"/>
            <w:noWrap w:val="0"/>
            <w:vAlign w:val="top"/>
          </w:tcPr>
          <w:p w14:paraId="4CBD6551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4DA98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08AE7B5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07CC161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</w:tcBorders>
            <w:noWrap w:val="0"/>
            <w:vAlign w:val="top"/>
          </w:tcPr>
          <w:p w14:paraId="1F2CD212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2" w:type="dxa"/>
            <w:noWrap w:val="0"/>
            <w:vAlign w:val="top"/>
          </w:tcPr>
          <w:p w14:paraId="1D6A8A9E">
            <w:pPr>
              <w:pStyle w:val="11"/>
              <w:spacing w:line="235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教师培训节次</w:t>
            </w:r>
          </w:p>
        </w:tc>
        <w:tc>
          <w:tcPr>
            <w:tcW w:w="1584" w:type="dxa"/>
            <w:noWrap w:val="0"/>
            <w:vAlign w:val="center"/>
          </w:tcPr>
          <w:p w14:paraId="5C4F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≧20节</w:t>
            </w:r>
          </w:p>
        </w:tc>
        <w:tc>
          <w:tcPr>
            <w:tcW w:w="1164" w:type="dxa"/>
            <w:noWrap w:val="0"/>
            <w:vAlign w:val="center"/>
          </w:tcPr>
          <w:p w14:paraId="7198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30节</w:t>
            </w:r>
          </w:p>
        </w:tc>
        <w:tc>
          <w:tcPr>
            <w:tcW w:w="576" w:type="dxa"/>
            <w:noWrap w:val="0"/>
            <w:vAlign w:val="center"/>
          </w:tcPr>
          <w:p w14:paraId="6A66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960" w:type="dxa"/>
            <w:noWrap w:val="0"/>
            <w:vAlign w:val="center"/>
          </w:tcPr>
          <w:p w14:paraId="3495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236" w:type="dxa"/>
            <w:noWrap w:val="0"/>
            <w:vAlign w:val="top"/>
          </w:tcPr>
          <w:p w14:paraId="396B3C94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4B7F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6AED28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CC8752F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4" w:type="dxa"/>
            <w:vMerge w:val="restart"/>
            <w:tcBorders>
              <w:bottom w:val="nil"/>
            </w:tcBorders>
            <w:noWrap w:val="0"/>
            <w:vAlign w:val="top"/>
          </w:tcPr>
          <w:p w14:paraId="71AC86AE">
            <w:pPr>
              <w:spacing w:before="273" w:line="226" w:lineRule="auto"/>
              <w:ind w:firstLine="194" w:firstLineChars="1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质量指标</w:t>
            </w:r>
          </w:p>
        </w:tc>
        <w:tc>
          <w:tcPr>
            <w:tcW w:w="1332" w:type="dxa"/>
            <w:noWrap w:val="0"/>
            <w:vAlign w:val="top"/>
          </w:tcPr>
          <w:p w14:paraId="29DF4ADC">
            <w:pPr>
              <w:pStyle w:val="11"/>
              <w:spacing w:line="235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小学毕业率</w:t>
            </w:r>
          </w:p>
        </w:tc>
        <w:tc>
          <w:tcPr>
            <w:tcW w:w="1584" w:type="dxa"/>
            <w:noWrap w:val="0"/>
            <w:vAlign w:val="center"/>
          </w:tcPr>
          <w:p w14:paraId="0F0E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≧100%</w:t>
            </w:r>
          </w:p>
        </w:tc>
        <w:tc>
          <w:tcPr>
            <w:tcW w:w="1164" w:type="dxa"/>
            <w:noWrap w:val="0"/>
            <w:vAlign w:val="center"/>
          </w:tcPr>
          <w:p w14:paraId="01D6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76" w:type="dxa"/>
            <w:noWrap w:val="0"/>
            <w:vAlign w:val="center"/>
          </w:tcPr>
          <w:p w14:paraId="2A1B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5AB0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44F3BF5E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9856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231A8DA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28D01B5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467BD02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2" w:type="dxa"/>
            <w:noWrap w:val="0"/>
            <w:vAlign w:val="top"/>
          </w:tcPr>
          <w:p w14:paraId="1F1A3D0C">
            <w:pPr>
              <w:pStyle w:val="11"/>
              <w:spacing w:line="235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校园修缮完成率</w:t>
            </w:r>
          </w:p>
        </w:tc>
        <w:tc>
          <w:tcPr>
            <w:tcW w:w="1584" w:type="dxa"/>
            <w:noWrap w:val="0"/>
            <w:vAlign w:val="center"/>
          </w:tcPr>
          <w:p w14:paraId="34C8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≦100%</w:t>
            </w:r>
          </w:p>
        </w:tc>
        <w:tc>
          <w:tcPr>
            <w:tcW w:w="1164" w:type="dxa"/>
            <w:noWrap w:val="0"/>
            <w:vAlign w:val="center"/>
          </w:tcPr>
          <w:p w14:paraId="009D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96%</w:t>
            </w:r>
          </w:p>
        </w:tc>
        <w:tc>
          <w:tcPr>
            <w:tcW w:w="576" w:type="dxa"/>
            <w:noWrap w:val="0"/>
            <w:vAlign w:val="center"/>
          </w:tcPr>
          <w:p w14:paraId="7917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2D0B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4.5</w:t>
            </w:r>
          </w:p>
        </w:tc>
        <w:tc>
          <w:tcPr>
            <w:tcW w:w="1236" w:type="dxa"/>
            <w:noWrap w:val="0"/>
            <w:vAlign w:val="top"/>
          </w:tcPr>
          <w:p w14:paraId="32C38D35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0559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88637C9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E728689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1FB85097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2" w:type="dxa"/>
            <w:tcBorders>
              <w:bottom w:val="single" w:color="auto" w:sz="4" w:space="0"/>
            </w:tcBorders>
            <w:noWrap w:val="0"/>
            <w:vAlign w:val="top"/>
          </w:tcPr>
          <w:p w14:paraId="2D5D410A">
            <w:pPr>
              <w:spacing w:line="240" w:lineRule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食品安全事故发生率</w:t>
            </w:r>
          </w:p>
        </w:tc>
        <w:tc>
          <w:tcPr>
            <w:tcW w:w="1584" w:type="dxa"/>
            <w:noWrap w:val="0"/>
            <w:vAlign w:val="center"/>
          </w:tcPr>
          <w:p w14:paraId="7FEB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≦0%</w:t>
            </w:r>
          </w:p>
        </w:tc>
        <w:tc>
          <w:tcPr>
            <w:tcW w:w="1164" w:type="dxa"/>
            <w:noWrap w:val="0"/>
            <w:vAlign w:val="center"/>
          </w:tcPr>
          <w:p w14:paraId="579F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76" w:type="dxa"/>
            <w:noWrap w:val="0"/>
            <w:vAlign w:val="center"/>
          </w:tcPr>
          <w:p w14:paraId="5419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424D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32C183D1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B5E9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A1EE7A5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1017905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6ECC476B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时效指标</w:t>
            </w:r>
          </w:p>
        </w:tc>
        <w:tc>
          <w:tcPr>
            <w:tcW w:w="1332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76A32114">
            <w:pPr>
              <w:pStyle w:val="11"/>
              <w:spacing w:line="235" w:lineRule="exact"/>
              <w:jc w:val="center"/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C1107E0">
            <w:pPr>
              <w:pStyle w:val="11"/>
              <w:spacing w:line="235" w:lineRule="exact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新生入学率完成时间</w:t>
            </w:r>
          </w:p>
        </w:tc>
        <w:tc>
          <w:tcPr>
            <w:tcW w:w="1584" w:type="dxa"/>
            <w:tcBorders>
              <w:left w:val="single" w:color="auto" w:sz="4" w:space="0"/>
            </w:tcBorders>
            <w:noWrap w:val="0"/>
            <w:vAlign w:val="center"/>
          </w:tcPr>
          <w:p w14:paraId="12CB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2024.9.30</w:t>
            </w:r>
          </w:p>
        </w:tc>
        <w:tc>
          <w:tcPr>
            <w:tcW w:w="1164" w:type="dxa"/>
            <w:noWrap w:val="0"/>
            <w:vAlign w:val="center"/>
          </w:tcPr>
          <w:p w14:paraId="1788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2024.9.30</w:t>
            </w:r>
          </w:p>
        </w:tc>
        <w:tc>
          <w:tcPr>
            <w:tcW w:w="576" w:type="dxa"/>
            <w:noWrap w:val="0"/>
            <w:vAlign w:val="center"/>
          </w:tcPr>
          <w:p w14:paraId="6301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3C27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0A0E76CF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6872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536717B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7C686C8E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16F6A24D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成本指标</w:t>
            </w:r>
          </w:p>
        </w:tc>
        <w:tc>
          <w:tcPr>
            <w:tcW w:w="13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83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学校年支出金额</w:t>
            </w:r>
          </w:p>
        </w:tc>
        <w:tc>
          <w:tcPr>
            <w:tcW w:w="1584" w:type="dxa"/>
            <w:tcBorders>
              <w:left w:val="single" w:color="auto" w:sz="4" w:space="0"/>
            </w:tcBorders>
            <w:noWrap w:val="0"/>
            <w:vAlign w:val="center"/>
          </w:tcPr>
          <w:p w14:paraId="66E0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≦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327.93万元</w:t>
            </w:r>
          </w:p>
        </w:tc>
        <w:tc>
          <w:tcPr>
            <w:tcW w:w="1164" w:type="dxa"/>
            <w:noWrap w:val="0"/>
            <w:vAlign w:val="center"/>
          </w:tcPr>
          <w:p w14:paraId="66EB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327.93万元</w:t>
            </w:r>
          </w:p>
        </w:tc>
        <w:tc>
          <w:tcPr>
            <w:tcW w:w="576" w:type="dxa"/>
            <w:noWrap w:val="0"/>
            <w:vAlign w:val="center"/>
          </w:tcPr>
          <w:p w14:paraId="508B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4FEE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1A8C6CA9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974D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C0C2966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32157FEF">
            <w:pPr>
              <w:pStyle w:val="11"/>
              <w:spacing w:line="256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CE565B3">
            <w:pPr>
              <w:pStyle w:val="11"/>
              <w:spacing w:line="256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A54530B">
            <w:pPr>
              <w:pStyle w:val="11"/>
              <w:spacing w:line="256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EF866B9">
            <w:pPr>
              <w:pStyle w:val="11"/>
              <w:spacing w:line="256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0568465">
            <w:pPr>
              <w:spacing w:before="62" w:line="480" w:lineRule="exact"/>
              <w:ind w:left="115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8"/>
                <w:szCs w:val="18"/>
              </w:rPr>
              <w:t>效益指标</w:t>
            </w:r>
          </w:p>
          <w:p w14:paraId="1078DF24">
            <w:pPr>
              <w:spacing w:line="227" w:lineRule="auto"/>
              <w:ind w:left="10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（30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分）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C7B7C48">
            <w:pPr>
              <w:spacing w:before="154" w:line="233" w:lineRule="auto"/>
              <w:ind w:firstLine="190" w:firstLineChars="1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经济效</w:t>
            </w:r>
          </w:p>
          <w:p w14:paraId="530E9385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益指标</w:t>
            </w:r>
          </w:p>
        </w:tc>
        <w:tc>
          <w:tcPr>
            <w:tcW w:w="13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26FE2A">
            <w:pPr>
              <w:pStyle w:val="11"/>
              <w:spacing w:line="235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1FD012B2">
            <w:pPr>
              <w:pStyle w:val="11"/>
              <w:spacing w:line="235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不适用</w:t>
            </w:r>
          </w:p>
        </w:tc>
        <w:tc>
          <w:tcPr>
            <w:tcW w:w="1584" w:type="dxa"/>
            <w:tcBorders>
              <w:left w:val="single" w:color="auto" w:sz="4" w:space="0"/>
            </w:tcBorders>
            <w:noWrap w:val="0"/>
            <w:vAlign w:val="top"/>
          </w:tcPr>
          <w:p w14:paraId="57813E81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59073583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不适用</w:t>
            </w:r>
          </w:p>
        </w:tc>
        <w:tc>
          <w:tcPr>
            <w:tcW w:w="1164" w:type="dxa"/>
            <w:noWrap w:val="0"/>
            <w:vAlign w:val="top"/>
          </w:tcPr>
          <w:p w14:paraId="1358A0F3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4ABFE83D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不适用</w:t>
            </w:r>
          </w:p>
        </w:tc>
        <w:tc>
          <w:tcPr>
            <w:tcW w:w="576" w:type="dxa"/>
            <w:noWrap w:val="0"/>
            <w:vAlign w:val="top"/>
          </w:tcPr>
          <w:p w14:paraId="43334516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412CBF6F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60" w:type="dxa"/>
            <w:noWrap w:val="0"/>
            <w:vAlign w:val="top"/>
          </w:tcPr>
          <w:p w14:paraId="26376D24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55813074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36" w:type="dxa"/>
            <w:noWrap w:val="0"/>
            <w:vAlign w:val="top"/>
          </w:tcPr>
          <w:p w14:paraId="122999EA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2446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077C985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6B848821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26DFFB13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</w:pPr>
          </w:p>
          <w:p w14:paraId="619C1264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社会效</w:t>
            </w:r>
          </w:p>
          <w:p w14:paraId="185BD49B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益指标</w:t>
            </w:r>
          </w:p>
        </w:tc>
        <w:tc>
          <w:tcPr>
            <w:tcW w:w="1332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42E1F182">
            <w:pPr>
              <w:pStyle w:val="11"/>
              <w:spacing w:line="235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改善城区教育教学水平</w:t>
            </w:r>
          </w:p>
        </w:tc>
        <w:tc>
          <w:tcPr>
            <w:tcW w:w="1584" w:type="dxa"/>
            <w:tcBorders>
              <w:left w:val="single" w:color="auto" w:sz="4" w:space="0"/>
            </w:tcBorders>
            <w:noWrap w:val="0"/>
            <w:vAlign w:val="top"/>
          </w:tcPr>
          <w:p w14:paraId="5ED89E58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1AE07839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有所提升</w:t>
            </w:r>
          </w:p>
        </w:tc>
        <w:tc>
          <w:tcPr>
            <w:tcW w:w="1164" w:type="dxa"/>
            <w:noWrap w:val="0"/>
            <w:vAlign w:val="top"/>
          </w:tcPr>
          <w:p w14:paraId="194F3DA3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00079AD9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有所提升</w:t>
            </w:r>
          </w:p>
        </w:tc>
        <w:tc>
          <w:tcPr>
            <w:tcW w:w="576" w:type="dxa"/>
            <w:noWrap w:val="0"/>
            <w:vAlign w:val="top"/>
          </w:tcPr>
          <w:p w14:paraId="2C47933E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6D2F745F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top"/>
          </w:tcPr>
          <w:p w14:paraId="2B23C24F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209C4576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5FA50A0B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F348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996496B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0C702A64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BD4B513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91C3CD">
            <w:pPr>
              <w:pStyle w:val="11"/>
              <w:spacing w:line="235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加强教师队伍建设，提高教师专业素养</w:t>
            </w:r>
          </w:p>
        </w:tc>
        <w:tc>
          <w:tcPr>
            <w:tcW w:w="1584" w:type="dxa"/>
            <w:tcBorders>
              <w:left w:val="single" w:color="auto" w:sz="4" w:space="0"/>
            </w:tcBorders>
            <w:noWrap w:val="0"/>
            <w:vAlign w:val="top"/>
          </w:tcPr>
          <w:p w14:paraId="2CF7A2B9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14E115CB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有所加强</w:t>
            </w:r>
          </w:p>
        </w:tc>
        <w:tc>
          <w:tcPr>
            <w:tcW w:w="1164" w:type="dxa"/>
            <w:noWrap w:val="0"/>
            <w:vAlign w:val="top"/>
          </w:tcPr>
          <w:p w14:paraId="665BFA2C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7B33A839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有所加强</w:t>
            </w:r>
          </w:p>
        </w:tc>
        <w:tc>
          <w:tcPr>
            <w:tcW w:w="576" w:type="dxa"/>
            <w:noWrap w:val="0"/>
            <w:vAlign w:val="top"/>
          </w:tcPr>
          <w:p w14:paraId="54ECD852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45E5C796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top"/>
          </w:tcPr>
          <w:p w14:paraId="51B34218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6859A9D1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4.5</w:t>
            </w:r>
          </w:p>
        </w:tc>
        <w:tc>
          <w:tcPr>
            <w:tcW w:w="1236" w:type="dxa"/>
            <w:noWrap w:val="0"/>
            <w:vAlign w:val="top"/>
          </w:tcPr>
          <w:p w14:paraId="06A761B2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3F42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285A161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506C5AAA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C4C5305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生态效</w:t>
            </w:r>
          </w:p>
          <w:p w14:paraId="62D88318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益指标</w:t>
            </w:r>
          </w:p>
        </w:tc>
        <w:tc>
          <w:tcPr>
            <w:tcW w:w="13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283A2">
            <w:pPr>
              <w:pStyle w:val="11"/>
              <w:spacing w:line="235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通过学校的宣传教育，提高全体教职人员及学生的生态保护意识</w:t>
            </w:r>
          </w:p>
        </w:tc>
        <w:tc>
          <w:tcPr>
            <w:tcW w:w="1584" w:type="dxa"/>
            <w:tcBorders>
              <w:left w:val="single" w:color="auto" w:sz="4" w:space="0"/>
            </w:tcBorders>
            <w:noWrap w:val="0"/>
            <w:vAlign w:val="top"/>
          </w:tcPr>
          <w:p w14:paraId="7D2E80A1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644F3A1A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效果明显</w:t>
            </w:r>
          </w:p>
        </w:tc>
        <w:tc>
          <w:tcPr>
            <w:tcW w:w="1164" w:type="dxa"/>
            <w:noWrap w:val="0"/>
            <w:vAlign w:val="top"/>
          </w:tcPr>
          <w:p w14:paraId="348B2178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0EB4E24A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效果明显</w:t>
            </w:r>
          </w:p>
        </w:tc>
        <w:tc>
          <w:tcPr>
            <w:tcW w:w="576" w:type="dxa"/>
            <w:noWrap w:val="0"/>
            <w:vAlign w:val="top"/>
          </w:tcPr>
          <w:p w14:paraId="7448B842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328C804E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top"/>
          </w:tcPr>
          <w:p w14:paraId="632A8EA0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7220AD7F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9.5</w:t>
            </w:r>
          </w:p>
        </w:tc>
        <w:tc>
          <w:tcPr>
            <w:tcW w:w="1236" w:type="dxa"/>
            <w:noWrap w:val="0"/>
            <w:vAlign w:val="top"/>
          </w:tcPr>
          <w:p w14:paraId="0CFFB1A8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3F28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DEB14FE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01E368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98336AA">
            <w:pPr>
              <w:spacing w:before="207" w:line="230" w:lineRule="auto"/>
              <w:ind w:right="116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</w:p>
          <w:p w14:paraId="2EC253D1">
            <w:pPr>
              <w:spacing w:before="207" w:line="230" w:lineRule="auto"/>
              <w:ind w:left="227" w:right="116" w:hanging="98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可持续影响指标</w:t>
            </w:r>
          </w:p>
        </w:tc>
        <w:tc>
          <w:tcPr>
            <w:tcW w:w="13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C7AE02">
            <w:pPr>
              <w:pStyle w:val="11"/>
              <w:spacing w:line="235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坚持政治理论学习和业务能力培养,坚持建立正确有效的学校价值体系和文化,创建浓厚的学习氛围</w:t>
            </w:r>
          </w:p>
        </w:tc>
        <w:tc>
          <w:tcPr>
            <w:tcW w:w="1584" w:type="dxa"/>
            <w:tcBorders>
              <w:left w:val="single" w:color="auto" w:sz="4" w:space="0"/>
            </w:tcBorders>
            <w:noWrap w:val="0"/>
            <w:vAlign w:val="center"/>
          </w:tcPr>
          <w:p w14:paraId="0D01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学习氛围愈加浓厚</w:t>
            </w:r>
          </w:p>
        </w:tc>
        <w:tc>
          <w:tcPr>
            <w:tcW w:w="1164" w:type="dxa"/>
            <w:noWrap w:val="0"/>
            <w:vAlign w:val="center"/>
          </w:tcPr>
          <w:p w14:paraId="3DD9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愈加浓厚</w:t>
            </w:r>
          </w:p>
        </w:tc>
        <w:tc>
          <w:tcPr>
            <w:tcW w:w="576" w:type="dxa"/>
            <w:noWrap w:val="0"/>
            <w:vAlign w:val="center"/>
          </w:tcPr>
          <w:p w14:paraId="0E90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5BF2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9.6</w:t>
            </w:r>
          </w:p>
        </w:tc>
        <w:tc>
          <w:tcPr>
            <w:tcW w:w="1236" w:type="dxa"/>
            <w:noWrap w:val="0"/>
            <w:vAlign w:val="top"/>
          </w:tcPr>
          <w:p w14:paraId="7E4B9B7D">
            <w:pPr>
              <w:pStyle w:val="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E9CF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4CC39EA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A12BAFE">
            <w:pPr>
              <w:spacing w:before="110" w:line="226" w:lineRule="auto"/>
              <w:ind w:left="251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满意度</w:t>
            </w:r>
          </w:p>
          <w:p w14:paraId="32BC0944">
            <w:pPr>
              <w:spacing w:before="7" w:line="226" w:lineRule="auto"/>
              <w:ind w:left="345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指标</w:t>
            </w:r>
          </w:p>
          <w:p w14:paraId="0282DCD4">
            <w:pPr>
              <w:spacing w:before="7" w:line="227" w:lineRule="auto"/>
              <w:ind w:left="114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（10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分）</w:t>
            </w:r>
          </w:p>
        </w:tc>
        <w:tc>
          <w:tcPr>
            <w:tcW w:w="98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5E35A2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服务对象</w:t>
            </w:r>
          </w:p>
          <w:p w14:paraId="31BB4C20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满意度指</w:t>
            </w:r>
          </w:p>
          <w:p w14:paraId="287B1F57">
            <w:pPr>
              <w:spacing w:before="7" w:line="226" w:lineRule="auto"/>
              <w:ind w:left="41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标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53E06374">
            <w:pPr>
              <w:pStyle w:val="11"/>
              <w:spacing w:line="235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学生满意度</w:t>
            </w:r>
          </w:p>
        </w:tc>
        <w:tc>
          <w:tcPr>
            <w:tcW w:w="1584" w:type="dxa"/>
            <w:noWrap w:val="0"/>
            <w:vAlign w:val="top"/>
          </w:tcPr>
          <w:p w14:paraId="14C2A648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≧95%</w:t>
            </w:r>
          </w:p>
        </w:tc>
        <w:tc>
          <w:tcPr>
            <w:tcW w:w="1164" w:type="dxa"/>
            <w:noWrap w:val="0"/>
            <w:vAlign w:val="top"/>
          </w:tcPr>
          <w:p w14:paraId="730A41A3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96%</w:t>
            </w:r>
          </w:p>
        </w:tc>
        <w:tc>
          <w:tcPr>
            <w:tcW w:w="576" w:type="dxa"/>
            <w:noWrap w:val="0"/>
            <w:vAlign w:val="top"/>
          </w:tcPr>
          <w:p w14:paraId="35744124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60" w:type="dxa"/>
            <w:noWrap w:val="0"/>
            <w:vAlign w:val="top"/>
          </w:tcPr>
          <w:p w14:paraId="3A97FA7D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36" w:type="dxa"/>
            <w:noWrap w:val="0"/>
            <w:vAlign w:val="top"/>
          </w:tcPr>
          <w:p w14:paraId="52FC0F08">
            <w:pPr>
              <w:pStyle w:val="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396A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A99E3A0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2BE4931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4E2A1C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2" w:type="dxa"/>
            <w:tcBorders>
              <w:left w:val="single" w:color="auto" w:sz="4" w:space="0"/>
            </w:tcBorders>
            <w:noWrap w:val="0"/>
            <w:vAlign w:val="top"/>
          </w:tcPr>
          <w:p w14:paraId="5D7AC8A5">
            <w:pPr>
              <w:pStyle w:val="11"/>
              <w:spacing w:line="235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家长满意度</w:t>
            </w:r>
          </w:p>
        </w:tc>
        <w:tc>
          <w:tcPr>
            <w:tcW w:w="1584" w:type="dxa"/>
            <w:noWrap w:val="0"/>
            <w:vAlign w:val="top"/>
          </w:tcPr>
          <w:p w14:paraId="22B70D27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≧95%</w:t>
            </w:r>
          </w:p>
        </w:tc>
        <w:tc>
          <w:tcPr>
            <w:tcW w:w="1164" w:type="dxa"/>
            <w:noWrap w:val="0"/>
            <w:vAlign w:val="top"/>
          </w:tcPr>
          <w:p w14:paraId="258E6F5D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96%</w:t>
            </w:r>
          </w:p>
        </w:tc>
        <w:tc>
          <w:tcPr>
            <w:tcW w:w="576" w:type="dxa"/>
            <w:noWrap w:val="0"/>
            <w:vAlign w:val="top"/>
          </w:tcPr>
          <w:p w14:paraId="586947B7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60" w:type="dxa"/>
            <w:noWrap w:val="0"/>
            <w:vAlign w:val="top"/>
          </w:tcPr>
          <w:p w14:paraId="3ACFC4B1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36" w:type="dxa"/>
            <w:noWrap w:val="0"/>
            <w:vAlign w:val="top"/>
          </w:tcPr>
          <w:p w14:paraId="79CD9A06">
            <w:pPr>
              <w:pStyle w:val="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9042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04" w:type="dxa"/>
            <w:vMerge w:val="continue"/>
            <w:tcBorders>
              <w:top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733BEEE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7D47FEC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02F8E0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2" w:type="dxa"/>
            <w:tcBorders>
              <w:left w:val="single" w:color="auto" w:sz="4" w:space="0"/>
            </w:tcBorders>
            <w:noWrap w:val="0"/>
            <w:vAlign w:val="top"/>
          </w:tcPr>
          <w:p w14:paraId="1B9B1B10">
            <w:pPr>
              <w:pStyle w:val="11"/>
              <w:spacing w:line="235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社会公众满意度</w:t>
            </w:r>
          </w:p>
        </w:tc>
        <w:tc>
          <w:tcPr>
            <w:tcW w:w="1584" w:type="dxa"/>
            <w:noWrap w:val="0"/>
            <w:vAlign w:val="center"/>
          </w:tcPr>
          <w:p w14:paraId="64009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≧95%</w:t>
            </w:r>
          </w:p>
        </w:tc>
        <w:tc>
          <w:tcPr>
            <w:tcW w:w="1164" w:type="dxa"/>
            <w:noWrap w:val="0"/>
            <w:vAlign w:val="center"/>
          </w:tcPr>
          <w:p w14:paraId="0DBB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96%</w:t>
            </w:r>
          </w:p>
        </w:tc>
        <w:tc>
          <w:tcPr>
            <w:tcW w:w="576" w:type="dxa"/>
            <w:noWrap w:val="0"/>
            <w:vAlign w:val="center"/>
          </w:tcPr>
          <w:p w14:paraId="7001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noWrap w:val="0"/>
            <w:vAlign w:val="center"/>
          </w:tcPr>
          <w:p w14:paraId="67CD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36" w:type="dxa"/>
            <w:noWrap w:val="0"/>
            <w:vAlign w:val="top"/>
          </w:tcPr>
          <w:p w14:paraId="715FDC97">
            <w:pPr>
              <w:pStyle w:val="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1202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272" w:type="dxa"/>
            <w:gridSpan w:val="6"/>
            <w:noWrap w:val="0"/>
            <w:vAlign w:val="top"/>
          </w:tcPr>
          <w:p w14:paraId="6D87050C"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总分</w:t>
            </w:r>
          </w:p>
        </w:tc>
        <w:tc>
          <w:tcPr>
            <w:tcW w:w="576" w:type="dxa"/>
            <w:noWrap w:val="0"/>
            <w:vAlign w:val="center"/>
          </w:tcPr>
          <w:p w14:paraId="5CCC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noWrap w:val="0"/>
            <w:vAlign w:val="center"/>
          </w:tcPr>
          <w:p w14:paraId="2280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97.98</w:t>
            </w:r>
          </w:p>
        </w:tc>
        <w:tc>
          <w:tcPr>
            <w:tcW w:w="1236" w:type="dxa"/>
            <w:noWrap w:val="0"/>
            <w:vAlign w:val="top"/>
          </w:tcPr>
          <w:p w14:paraId="26ECF59E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 w14:paraId="23FA9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75375870">
      <w:pPr>
        <w:tabs>
          <w:tab w:val="left" w:pos="2572"/>
        </w:tabs>
        <w:bidi w:val="0"/>
        <w:jc w:val="left"/>
        <w:rPr>
          <w:rFonts w:hint="eastAsia" w:eastAsiaTheme="minorEastAsia"/>
          <w:lang w:eastAsia="zh-CN"/>
        </w:rPr>
      </w:pPr>
    </w:p>
    <w:p w14:paraId="46283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default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  <w:lang w:val="en-US" w:eastAsia="zh-CN"/>
        </w:rPr>
        <w:t xml:space="preserve">卢四英       </w:t>
      </w:r>
      <w:r>
        <w:rPr>
          <w:rFonts w:hint="eastAsia" w:ascii="宋体" w:hAnsi="宋体" w:cs="宋体"/>
          <w:color w:val="000000"/>
          <w:spacing w:val="0"/>
          <w:position w:val="0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</w:rPr>
        <w:t xml:space="preserve"> 联系电话：13637303558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pacing w:val="0"/>
          <w:position w:val="0"/>
          <w:sz w:val="22"/>
          <w:szCs w:val="22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</w:rPr>
        <w:t>填报日期：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  <w:lang w:val="en-US" w:eastAsia="zh-CN"/>
        </w:rPr>
        <w:t>2025年7月11日</w:t>
      </w:r>
    </w:p>
    <w:p w14:paraId="54BBC1B0">
      <w:pPr>
        <w:tabs>
          <w:tab w:val="left" w:pos="2572"/>
        </w:tabs>
        <w:bidi w:val="0"/>
        <w:jc w:val="left"/>
        <w:rPr>
          <w:rFonts w:hint="eastAsia" w:eastAsiaTheme="minorEastAsia"/>
          <w:lang w:eastAsia="zh-CN"/>
        </w:rPr>
      </w:pPr>
    </w:p>
    <w:sectPr>
      <w:footerReference r:id="rId4" w:type="default"/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001E1">
    <w:pPr>
      <w:pStyle w:val="3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DFA2FC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DFA2FC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3A730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E05F8F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E05F8F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F80864"/>
    <w:multiLevelType w:val="singleLevel"/>
    <w:tmpl w:val="80F8086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F9525FE"/>
    <w:multiLevelType w:val="singleLevel"/>
    <w:tmpl w:val="8F9525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106682A"/>
    <w:multiLevelType w:val="singleLevel"/>
    <w:tmpl w:val="A106682A"/>
    <w:lvl w:ilvl="0" w:tentative="0">
      <w:start w:val="10"/>
      <w:numFmt w:val="chineseCounting"/>
      <w:suff w:val="space"/>
      <w:lvlText w:val="%1、"/>
      <w:lvlJc w:val="left"/>
      <w:rPr>
        <w:rFonts w:hint="eastAsia"/>
      </w:rPr>
    </w:lvl>
  </w:abstractNum>
  <w:abstractNum w:abstractNumId="3">
    <w:nsid w:val="C3452724"/>
    <w:multiLevelType w:val="singleLevel"/>
    <w:tmpl w:val="C3452724"/>
    <w:lvl w:ilvl="0" w:tentative="0">
      <w:start w:val="4"/>
      <w:numFmt w:val="decimal"/>
      <w:suff w:val="nothing"/>
      <w:lvlText w:val="%1、"/>
      <w:lvlJc w:val="left"/>
    </w:lvl>
  </w:abstractNum>
  <w:abstractNum w:abstractNumId="4">
    <w:nsid w:val="DFC0C5EF"/>
    <w:multiLevelType w:val="singleLevel"/>
    <w:tmpl w:val="DFC0C5E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3316DE5C"/>
    <w:multiLevelType w:val="singleLevel"/>
    <w:tmpl w:val="3316DE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TUxNTFiYjA3NzljMTZlMGQzMWI0NTdlODQ0ZjkifQ=="/>
  </w:docVars>
  <w:rsids>
    <w:rsidRoot w:val="76284CE1"/>
    <w:rsid w:val="000A3765"/>
    <w:rsid w:val="00134A95"/>
    <w:rsid w:val="001D7282"/>
    <w:rsid w:val="0039081D"/>
    <w:rsid w:val="0049022E"/>
    <w:rsid w:val="005E6ECB"/>
    <w:rsid w:val="00665E2F"/>
    <w:rsid w:val="006B5224"/>
    <w:rsid w:val="00744EA1"/>
    <w:rsid w:val="008D4246"/>
    <w:rsid w:val="009419CA"/>
    <w:rsid w:val="00955854"/>
    <w:rsid w:val="009C7330"/>
    <w:rsid w:val="00A00FBB"/>
    <w:rsid w:val="00A04D3F"/>
    <w:rsid w:val="00B2121C"/>
    <w:rsid w:val="00B63F8F"/>
    <w:rsid w:val="00BF0721"/>
    <w:rsid w:val="00C03795"/>
    <w:rsid w:val="00C21EAC"/>
    <w:rsid w:val="00C304AE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96691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1F3DF1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8D6C7E"/>
    <w:rsid w:val="03911277"/>
    <w:rsid w:val="039A540B"/>
    <w:rsid w:val="03A54408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0064E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8762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DD4BCD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3745A"/>
    <w:rsid w:val="06650E6A"/>
    <w:rsid w:val="066A7BFC"/>
    <w:rsid w:val="06755979"/>
    <w:rsid w:val="067740D2"/>
    <w:rsid w:val="06854A05"/>
    <w:rsid w:val="06885E2E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34780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AA7F0A"/>
    <w:rsid w:val="08B2314B"/>
    <w:rsid w:val="08B86E95"/>
    <w:rsid w:val="08C11C0B"/>
    <w:rsid w:val="08D059DD"/>
    <w:rsid w:val="08DC08E7"/>
    <w:rsid w:val="08DD4D63"/>
    <w:rsid w:val="08DE0995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C5A0B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278E8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C2574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905E3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DF93BBD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D7796"/>
    <w:rsid w:val="0E9F1954"/>
    <w:rsid w:val="0EA82097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AD356D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8F2D3B"/>
    <w:rsid w:val="11911A30"/>
    <w:rsid w:val="11913DD4"/>
    <w:rsid w:val="11961E43"/>
    <w:rsid w:val="11987ED2"/>
    <w:rsid w:val="119969A0"/>
    <w:rsid w:val="119E5A4B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75114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3A6CDD"/>
    <w:rsid w:val="1441725F"/>
    <w:rsid w:val="14430D66"/>
    <w:rsid w:val="14470936"/>
    <w:rsid w:val="14477E65"/>
    <w:rsid w:val="14710CBF"/>
    <w:rsid w:val="14791934"/>
    <w:rsid w:val="147D213D"/>
    <w:rsid w:val="149E726C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9266A5"/>
    <w:rsid w:val="15931764"/>
    <w:rsid w:val="15A42FA4"/>
    <w:rsid w:val="15A6418F"/>
    <w:rsid w:val="15AA091B"/>
    <w:rsid w:val="15BC6BD3"/>
    <w:rsid w:val="15C454F7"/>
    <w:rsid w:val="15C848D8"/>
    <w:rsid w:val="15CF095E"/>
    <w:rsid w:val="15DA784E"/>
    <w:rsid w:val="15DB017B"/>
    <w:rsid w:val="15E6370B"/>
    <w:rsid w:val="15E84717"/>
    <w:rsid w:val="15EE2D2E"/>
    <w:rsid w:val="160C3C6F"/>
    <w:rsid w:val="160F0091"/>
    <w:rsid w:val="16144614"/>
    <w:rsid w:val="162029BF"/>
    <w:rsid w:val="1623520D"/>
    <w:rsid w:val="163E3AB2"/>
    <w:rsid w:val="164719BE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453B1"/>
    <w:rsid w:val="17665207"/>
    <w:rsid w:val="17794395"/>
    <w:rsid w:val="177C00C2"/>
    <w:rsid w:val="178B1D59"/>
    <w:rsid w:val="178D50A9"/>
    <w:rsid w:val="178F0FE3"/>
    <w:rsid w:val="17AD14F4"/>
    <w:rsid w:val="17B85018"/>
    <w:rsid w:val="17E339CC"/>
    <w:rsid w:val="17F33C57"/>
    <w:rsid w:val="18021A7F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0E3A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EF185D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668F4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E17194"/>
    <w:rsid w:val="1CEA2B1D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17107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45D52"/>
    <w:rsid w:val="1DB73B41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AB1B9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815CD"/>
    <w:rsid w:val="1F8D1995"/>
    <w:rsid w:val="1F935BDD"/>
    <w:rsid w:val="1F963600"/>
    <w:rsid w:val="1F9730E6"/>
    <w:rsid w:val="1FA87477"/>
    <w:rsid w:val="1FDE0273"/>
    <w:rsid w:val="1FDE31D9"/>
    <w:rsid w:val="1FE90789"/>
    <w:rsid w:val="1FEF73C9"/>
    <w:rsid w:val="1FF26468"/>
    <w:rsid w:val="20020491"/>
    <w:rsid w:val="20255BE6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AE5207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E730A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B2C80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08343A"/>
    <w:rsid w:val="231527D7"/>
    <w:rsid w:val="23185AD8"/>
    <w:rsid w:val="23336451"/>
    <w:rsid w:val="23474320"/>
    <w:rsid w:val="23492735"/>
    <w:rsid w:val="235B5F37"/>
    <w:rsid w:val="235C3EA6"/>
    <w:rsid w:val="235F3317"/>
    <w:rsid w:val="23604810"/>
    <w:rsid w:val="23830488"/>
    <w:rsid w:val="23932D47"/>
    <w:rsid w:val="23BC0C9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8F4D4E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06D8A"/>
    <w:rsid w:val="24C13E9B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5C1A1B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745C84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722B9A"/>
    <w:rsid w:val="27742391"/>
    <w:rsid w:val="277602F5"/>
    <w:rsid w:val="278038CA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96244"/>
    <w:rsid w:val="28F010D9"/>
    <w:rsid w:val="28F05C88"/>
    <w:rsid w:val="29082E70"/>
    <w:rsid w:val="291343EF"/>
    <w:rsid w:val="291360B7"/>
    <w:rsid w:val="29166F16"/>
    <w:rsid w:val="292E77DA"/>
    <w:rsid w:val="29394AFC"/>
    <w:rsid w:val="294D5371"/>
    <w:rsid w:val="295867A0"/>
    <w:rsid w:val="295A0917"/>
    <w:rsid w:val="295A5964"/>
    <w:rsid w:val="29626133"/>
    <w:rsid w:val="296A2440"/>
    <w:rsid w:val="296B78BD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AF711EA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950F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1280B"/>
    <w:rsid w:val="2C67348C"/>
    <w:rsid w:val="2C686702"/>
    <w:rsid w:val="2C6E3526"/>
    <w:rsid w:val="2C6F1E54"/>
    <w:rsid w:val="2C763257"/>
    <w:rsid w:val="2C802F50"/>
    <w:rsid w:val="2C993631"/>
    <w:rsid w:val="2C9B7E11"/>
    <w:rsid w:val="2C9E0609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350CFE"/>
    <w:rsid w:val="2D4E073F"/>
    <w:rsid w:val="2D510DD6"/>
    <w:rsid w:val="2D5A7835"/>
    <w:rsid w:val="2D6578A0"/>
    <w:rsid w:val="2D6B21D3"/>
    <w:rsid w:val="2D6D2389"/>
    <w:rsid w:val="2D7343C9"/>
    <w:rsid w:val="2D937732"/>
    <w:rsid w:val="2DA20908"/>
    <w:rsid w:val="2DB45073"/>
    <w:rsid w:val="2DB713DE"/>
    <w:rsid w:val="2DC72B92"/>
    <w:rsid w:val="2DE44256"/>
    <w:rsid w:val="2DE557EB"/>
    <w:rsid w:val="2DEA595F"/>
    <w:rsid w:val="2E0449DE"/>
    <w:rsid w:val="2E0E6D42"/>
    <w:rsid w:val="2E0F4249"/>
    <w:rsid w:val="2E2F0A58"/>
    <w:rsid w:val="2E301D0F"/>
    <w:rsid w:val="2E4111DC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D30C70"/>
    <w:rsid w:val="2EF97788"/>
    <w:rsid w:val="2F004E69"/>
    <w:rsid w:val="2F09010D"/>
    <w:rsid w:val="2F0E1C14"/>
    <w:rsid w:val="2F0F3B5B"/>
    <w:rsid w:val="2F24787C"/>
    <w:rsid w:val="2F306D92"/>
    <w:rsid w:val="2F366FC1"/>
    <w:rsid w:val="2F3F152C"/>
    <w:rsid w:val="2F46135C"/>
    <w:rsid w:val="2F4A6DBB"/>
    <w:rsid w:val="2F4D295B"/>
    <w:rsid w:val="2F5034C7"/>
    <w:rsid w:val="2F583C3E"/>
    <w:rsid w:val="2F5E4FF7"/>
    <w:rsid w:val="2F625574"/>
    <w:rsid w:val="2F743362"/>
    <w:rsid w:val="2F783818"/>
    <w:rsid w:val="2F963610"/>
    <w:rsid w:val="2FA3249D"/>
    <w:rsid w:val="2FA44A0B"/>
    <w:rsid w:val="2FAF57D0"/>
    <w:rsid w:val="2FB8348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7E1E29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31F7B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037CA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A66F6B"/>
    <w:rsid w:val="32A7003F"/>
    <w:rsid w:val="32B141E0"/>
    <w:rsid w:val="32B27592"/>
    <w:rsid w:val="32B44D2D"/>
    <w:rsid w:val="32BC5879"/>
    <w:rsid w:val="32C90A49"/>
    <w:rsid w:val="32D61C1E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42298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3973DC"/>
    <w:rsid w:val="35493C91"/>
    <w:rsid w:val="355C0228"/>
    <w:rsid w:val="356A29C5"/>
    <w:rsid w:val="35770D21"/>
    <w:rsid w:val="357800DF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34233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3338B"/>
    <w:rsid w:val="39553940"/>
    <w:rsid w:val="396B7002"/>
    <w:rsid w:val="396C2A15"/>
    <w:rsid w:val="39707C30"/>
    <w:rsid w:val="39793DDC"/>
    <w:rsid w:val="397A3554"/>
    <w:rsid w:val="39841411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C06F1"/>
    <w:rsid w:val="3A3E52E7"/>
    <w:rsid w:val="3A4109A1"/>
    <w:rsid w:val="3A424466"/>
    <w:rsid w:val="3A604E19"/>
    <w:rsid w:val="3A742C8C"/>
    <w:rsid w:val="3A7B2702"/>
    <w:rsid w:val="3A8723CC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765A9"/>
    <w:rsid w:val="3CBA4326"/>
    <w:rsid w:val="3CBC0BE3"/>
    <w:rsid w:val="3CBD2C25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A60CA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E2791A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8C4833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1455B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05BE4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32A91"/>
    <w:rsid w:val="42442693"/>
    <w:rsid w:val="424A7DF2"/>
    <w:rsid w:val="42616794"/>
    <w:rsid w:val="427102D5"/>
    <w:rsid w:val="4276696F"/>
    <w:rsid w:val="427B064E"/>
    <w:rsid w:val="428606ED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91739F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390E25"/>
    <w:rsid w:val="443F6D81"/>
    <w:rsid w:val="44405E6B"/>
    <w:rsid w:val="44433468"/>
    <w:rsid w:val="44437F9F"/>
    <w:rsid w:val="44493A52"/>
    <w:rsid w:val="444F5C68"/>
    <w:rsid w:val="44613E6E"/>
    <w:rsid w:val="446A5324"/>
    <w:rsid w:val="446B0669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A213C2"/>
    <w:rsid w:val="49B415EE"/>
    <w:rsid w:val="49B63FD6"/>
    <w:rsid w:val="49BF4D00"/>
    <w:rsid w:val="49C80263"/>
    <w:rsid w:val="49CA22AA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733143"/>
    <w:rsid w:val="4A8C584B"/>
    <w:rsid w:val="4A906B51"/>
    <w:rsid w:val="4A9C47ED"/>
    <w:rsid w:val="4AA71D5E"/>
    <w:rsid w:val="4AAA6CA9"/>
    <w:rsid w:val="4AAC134C"/>
    <w:rsid w:val="4AC951F4"/>
    <w:rsid w:val="4ACD66AA"/>
    <w:rsid w:val="4AE008D2"/>
    <w:rsid w:val="4AE2639D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C18B5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E2FEC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92010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944C5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7D3A5D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05342"/>
    <w:rsid w:val="525852F2"/>
    <w:rsid w:val="525D267C"/>
    <w:rsid w:val="526921DD"/>
    <w:rsid w:val="527B1073"/>
    <w:rsid w:val="52915993"/>
    <w:rsid w:val="5297132B"/>
    <w:rsid w:val="529F28D8"/>
    <w:rsid w:val="529F6FBB"/>
    <w:rsid w:val="52B13290"/>
    <w:rsid w:val="52B90DC7"/>
    <w:rsid w:val="52BF1C0E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91438"/>
    <w:rsid w:val="542247A4"/>
    <w:rsid w:val="5427381E"/>
    <w:rsid w:val="543B788E"/>
    <w:rsid w:val="5442060B"/>
    <w:rsid w:val="54447CBB"/>
    <w:rsid w:val="545062A7"/>
    <w:rsid w:val="545C3555"/>
    <w:rsid w:val="5461132F"/>
    <w:rsid w:val="54617320"/>
    <w:rsid w:val="547A28DC"/>
    <w:rsid w:val="54827775"/>
    <w:rsid w:val="548C3C7E"/>
    <w:rsid w:val="54A63A44"/>
    <w:rsid w:val="54A656E0"/>
    <w:rsid w:val="54AC5134"/>
    <w:rsid w:val="54CB0351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C33131"/>
    <w:rsid w:val="55CA39AC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17AE8"/>
    <w:rsid w:val="56A8574D"/>
    <w:rsid w:val="56B1636C"/>
    <w:rsid w:val="56C62996"/>
    <w:rsid w:val="56C9634D"/>
    <w:rsid w:val="56D41BE8"/>
    <w:rsid w:val="56D54BC7"/>
    <w:rsid w:val="56E125D8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3E1C0D"/>
    <w:rsid w:val="574216FD"/>
    <w:rsid w:val="574511BD"/>
    <w:rsid w:val="57540996"/>
    <w:rsid w:val="57802A35"/>
    <w:rsid w:val="57815555"/>
    <w:rsid w:val="57882730"/>
    <w:rsid w:val="578C3658"/>
    <w:rsid w:val="57AD7E3A"/>
    <w:rsid w:val="57B66918"/>
    <w:rsid w:val="57B67E42"/>
    <w:rsid w:val="57BA5F2B"/>
    <w:rsid w:val="57BB3665"/>
    <w:rsid w:val="57BC796D"/>
    <w:rsid w:val="57BD6FCE"/>
    <w:rsid w:val="57C72EBF"/>
    <w:rsid w:val="57CE5E8C"/>
    <w:rsid w:val="57D214D2"/>
    <w:rsid w:val="57DA1A42"/>
    <w:rsid w:val="57DD425E"/>
    <w:rsid w:val="57E75092"/>
    <w:rsid w:val="57FD7EA9"/>
    <w:rsid w:val="58002D08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10B63"/>
    <w:rsid w:val="586759C7"/>
    <w:rsid w:val="586D4BE9"/>
    <w:rsid w:val="58905FCC"/>
    <w:rsid w:val="58AD7359"/>
    <w:rsid w:val="58C07CA9"/>
    <w:rsid w:val="58C5235F"/>
    <w:rsid w:val="58CB35D4"/>
    <w:rsid w:val="58CB4B97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226983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3E202C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AF4B2F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561D67"/>
    <w:rsid w:val="5B7416B3"/>
    <w:rsid w:val="5B741939"/>
    <w:rsid w:val="5B774FD6"/>
    <w:rsid w:val="5B814790"/>
    <w:rsid w:val="5B82237F"/>
    <w:rsid w:val="5B824855"/>
    <w:rsid w:val="5B856A19"/>
    <w:rsid w:val="5B8703A0"/>
    <w:rsid w:val="5B88245B"/>
    <w:rsid w:val="5B8A0D7A"/>
    <w:rsid w:val="5B8B0F7C"/>
    <w:rsid w:val="5B9E05AD"/>
    <w:rsid w:val="5BA337D9"/>
    <w:rsid w:val="5BBB1AC4"/>
    <w:rsid w:val="5BE11C63"/>
    <w:rsid w:val="5BE13ECB"/>
    <w:rsid w:val="5BE220CB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D9166"/>
    <w:rsid w:val="5D08403C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5F0DEB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43C22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C03540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3F4B95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CF4540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B0767"/>
    <w:rsid w:val="64EF2266"/>
    <w:rsid w:val="64F33559"/>
    <w:rsid w:val="64FD2EEA"/>
    <w:rsid w:val="64FF1ABC"/>
    <w:rsid w:val="650B22E3"/>
    <w:rsid w:val="650E3520"/>
    <w:rsid w:val="651D0967"/>
    <w:rsid w:val="652F7039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E6D13"/>
    <w:rsid w:val="65913850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594618"/>
    <w:rsid w:val="675B3954"/>
    <w:rsid w:val="675F4E37"/>
    <w:rsid w:val="676B6466"/>
    <w:rsid w:val="6776404D"/>
    <w:rsid w:val="679406A3"/>
    <w:rsid w:val="67954429"/>
    <w:rsid w:val="67A2383F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94FE8"/>
    <w:rsid w:val="691D6C1E"/>
    <w:rsid w:val="691F4315"/>
    <w:rsid w:val="692C2AEA"/>
    <w:rsid w:val="69383028"/>
    <w:rsid w:val="694D0C27"/>
    <w:rsid w:val="69544350"/>
    <w:rsid w:val="695D559D"/>
    <w:rsid w:val="696740B2"/>
    <w:rsid w:val="696C0671"/>
    <w:rsid w:val="69703FA0"/>
    <w:rsid w:val="697C0F25"/>
    <w:rsid w:val="698455B8"/>
    <w:rsid w:val="6991329C"/>
    <w:rsid w:val="69934924"/>
    <w:rsid w:val="69997B9C"/>
    <w:rsid w:val="69A53B11"/>
    <w:rsid w:val="69A84304"/>
    <w:rsid w:val="69AC5DA1"/>
    <w:rsid w:val="69B52A42"/>
    <w:rsid w:val="69B67148"/>
    <w:rsid w:val="69BE4DB3"/>
    <w:rsid w:val="69C23A30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242290"/>
    <w:rsid w:val="6A2622A1"/>
    <w:rsid w:val="6A29523C"/>
    <w:rsid w:val="6A3535CD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EE5E05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20DAE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00F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5E0586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91BE5"/>
    <w:rsid w:val="6DCD6500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226923"/>
    <w:rsid w:val="6F2302E3"/>
    <w:rsid w:val="6F314C13"/>
    <w:rsid w:val="6F382FA6"/>
    <w:rsid w:val="6F391F60"/>
    <w:rsid w:val="6F4E521A"/>
    <w:rsid w:val="6F694006"/>
    <w:rsid w:val="6F6C5490"/>
    <w:rsid w:val="6F6D23E0"/>
    <w:rsid w:val="6F6D4CE5"/>
    <w:rsid w:val="6F6D6A5C"/>
    <w:rsid w:val="6F75014C"/>
    <w:rsid w:val="6F761900"/>
    <w:rsid w:val="6FA71AD5"/>
    <w:rsid w:val="6FAF2607"/>
    <w:rsid w:val="6FB761F3"/>
    <w:rsid w:val="6FC126E3"/>
    <w:rsid w:val="6FC328B5"/>
    <w:rsid w:val="6FC36BFB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E31519"/>
    <w:rsid w:val="70F12A55"/>
    <w:rsid w:val="70F76E40"/>
    <w:rsid w:val="710C1219"/>
    <w:rsid w:val="711337D0"/>
    <w:rsid w:val="71145A61"/>
    <w:rsid w:val="711D7FAC"/>
    <w:rsid w:val="713173E8"/>
    <w:rsid w:val="71420658"/>
    <w:rsid w:val="7143472C"/>
    <w:rsid w:val="71440341"/>
    <w:rsid w:val="71525B0B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341FD3"/>
    <w:rsid w:val="72364FB6"/>
    <w:rsid w:val="72367553"/>
    <w:rsid w:val="723B04C8"/>
    <w:rsid w:val="724266AF"/>
    <w:rsid w:val="724B6F7F"/>
    <w:rsid w:val="724E6817"/>
    <w:rsid w:val="725F40EB"/>
    <w:rsid w:val="72600D68"/>
    <w:rsid w:val="72604620"/>
    <w:rsid w:val="726B02C1"/>
    <w:rsid w:val="726D2C67"/>
    <w:rsid w:val="7271394F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861499"/>
    <w:rsid w:val="738B5B50"/>
    <w:rsid w:val="73AA53A0"/>
    <w:rsid w:val="73B04F6B"/>
    <w:rsid w:val="73C179F6"/>
    <w:rsid w:val="73D20D1A"/>
    <w:rsid w:val="73E168D2"/>
    <w:rsid w:val="73E873C4"/>
    <w:rsid w:val="73EC193B"/>
    <w:rsid w:val="73F07AA4"/>
    <w:rsid w:val="74010DBC"/>
    <w:rsid w:val="74054701"/>
    <w:rsid w:val="740D2C3F"/>
    <w:rsid w:val="74135925"/>
    <w:rsid w:val="74146693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4E3008"/>
    <w:rsid w:val="766360C5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8702AA"/>
    <w:rsid w:val="77882D05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7B41A3"/>
    <w:rsid w:val="797F5F56"/>
    <w:rsid w:val="79967B57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A4943"/>
    <w:rsid w:val="7A6B3865"/>
    <w:rsid w:val="7A7041ED"/>
    <w:rsid w:val="7A832390"/>
    <w:rsid w:val="7A86225F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6E7115"/>
    <w:rsid w:val="7C8464A1"/>
    <w:rsid w:val="7C9D2D7B"/>
    <w:rsid w:val="7CA26867"/>
    <w:rsid w:val="7CB43A8E"/>
    <w:rsid w:val="7CC03363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37125E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CA783A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5341B1"/>
    <w:rsid w:val="7E613E8F"/>
    <w:rsid w:val="7E616C7B"/>
    <w:rsid w:val="7E733A70"/>
    <w:rsid w:val="7E7B6F02"/>
    <w:rsid w:val="7E7C322C"/>
    <w:rsid w:val="7E8A0780"/>
    <w:rsid w:val="7E941FD6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7FF939EE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4243</Words>
  <Characters>4694</Characters>
  <Lines>0</Lines>
  <Paragraphs>0</Paragraphs>
  <TotalTime>4</TotalTime>
  <ScaleCrop>false</ScaleCrop>
  <LinksUpToDate>false</LinksUpToDate>
  <CharactersWithSpaces>4754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si</cp:lastModifiedBy>
  <dcterms:modified xsi:type="dcterms:W3CDTF">2025-07-14T01:43:05Z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4B5FDDC259FB49A4A0EBEC5A4BB60567_11</vt:lpwstr>
  </property>
  <property fmtid="{D5CDD505-2E9C-101B-9397-08002B2CF9AE}" pid="4" name="KSOTemplateDocerSaveRecord">
    <vt:lpwstr>eyJoZGlkIjoiYjg2NTcxMjRiMTQ0MDZhYjcxNzE3MDBhM2ExOWExMjAiLCJ1c2VySWQiOiIyOTUzNjMwMDkifQ==</vt:lpwstr>
  </property>
</Properties>
</file>