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24CE">
      <w:pPr>
        <w:pStyle w:val="3"/>
        <w:spacing w:before="102" w:line="224" w:lineRule="auto"/>
      </w:pPr>
      <w:r>
        <w:drawing>
          <wp:inline distT="0" distB="0" distL="114300" distR="114300">
            <wp:extent cx="5497195" cy="8197215"/>
            <wp:effectExtent l="0" t="0" r="4445" b="1905"/>
            <wp:docPr id="1" name="图片 1" descr="东站中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东站中学"/>
                    <pic:cNvPicPr>
                      <a:picLocks noChangeAspect="1"/>
                    </pic:cNvPicPr>
                  </pic:nvPicPr>
                  <pic:blipFill>
                    <a:blip r:embed="rId5"/>
                    <a:srcRect l="1242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81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41E0"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  <w:bookmarkStart w:id="0" w:name="_GoBack"/>
      <w:bookmarkEnd w:id="0"/>
    </w:p>
    <w:p w14:paraId="3802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岳阳市岳阳楼区东站中学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5AD6A214">
      <w:pPr>
        <w:spacing w:line="283" w:lineRule="auto"/>
        <w:rPr>
          <w:rFonts w:ascii="Arial"/>
          <w:sz w:val="21"/>
        </w:rPr>
      </w:pPr>
    </w:p>
    <w:p w14:paraId="1413A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D9FB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5B56A728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1、贯彻执行国家教育方针政策，深化教育改革，发展素质教育，稳步提高教学质量，促进教育事业发展。</w:t>
      </w:r>
    </w:p>
    <w:p w14:paraId="32259521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2、保障人员经费，提高教师队伍幸福感。</w:t>
      </w:r>
    </w:p>
    <w:p w14:paraId="4C5CE6B3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3、管好用好预算内资金，改善和优化学校的办学条件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。</w:t>
      </w:r>
    </w:p>
    <w:p w14:paraId="6AEB8FE4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4、促进学生全面发展，把教育教学质量放在首位，办人民满意的教育。</w:t>
      </w:r>
    </w:p>
    <w:p w14:paraId="7B968352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137ED8DF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本部门内设机构包括：办公室、教务处、政教处、总务处。根据编办核定，我校共有教职工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人；离退休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2E36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75D7E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1：完成年初既定学生招生工作，引进优质教师，开展教师培训工作，建立优质的师资队伍；落实“双减”任务，减轻学生过重作业负担和校外培训负担。</w:t>
      </w:r>
    </w:p>
    <w:p w14:paraId="2B98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2：加强安全教育和健全心理健康教育，通过安全讲座、演练等活动，提高学生安全意识和自我保护能力，创建平安和谐校园。</w:t>
      </w:r>
    </w:p>
    <w:p w14:paraId="3229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3：开展各项教研活动，持续提高教学质量。积极开展课题为主的教研活动和教学竞赛，完成论文的撰写，提升教师整体素质。</w:t>
      </w:r>
    </w:p>
    <w:p w14:paraId="3F69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4：组织开展各类教学实践活动，如公开课、示范课、观摩课等，为教师提供交流学习的平台。通过教学实践活动，促进教师之间的相互学习和借鉴，不断提升教师的教学水平和教学能力。</w:t>
      </w:r>
    </w:p>
    <w:p w14:paraId="345B4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5：建立健全教学质量监测体系，定期组织单元测试、期中期末考试等，及时了解学生的学习情况和教学效果。通过对监测数据的分析和研究，找出教学中存在的问题和不足，为教学改进提供依据。</w:t>
      </w:r>
    </w:p>
    <w:p w14:paraId="6067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4EC0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7D4DC5C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636.71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33D8AC1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529.70万元：包括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142.40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22.79万元；奖金117.46万元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绩效工资103.45万元；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44.99万元；职工基本医疗保险缴费18.08万元；其他社会保障缴费1.54万元；住房公积金36.95万元；其他工资福利支出21.45万元；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医疗费补助1.00万元；奖励金18.40万元；代缴社会保险费1.19万元。</w:t>
      </w:r>
    </w:p>
    <w:p w14:paraId="5743E148">
      <w:pPr>
        <w:spacing w:line="240" w:lineRule="auto"/>
        <w:ind w:firstLine="600" w:firstLineChars="200"/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107.01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16.09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9.58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0.94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物业管理费6.09万元；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1.87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租赁费0.24万元；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1.39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36.19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万元；专用燃料费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0.14万元；劳务费7.18</w:t>
      </w:r>
      <w:r>
        <w:rPr>
          <w:rFonts w:hint="eastAsia" w:ascii="仿宋" w:hAnsi="仿宋" w:eastAsia="仿宋" w:cs="仿宋"/>
          <w:bCs/>
          <w:sz w:val="30"/>
          <w:szCs w:val="30"/>
        </w:rPr>
        <w:t>万元；委托业务费10.22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万元；工会经费4.55万元；福利费4.93万元；</w:t>
      </w:r>
      <w:r>
        <w:rPr>
          <w:rFonts w:hint="eastAsia" w:ascii="仿宋" w:hAnsi="仿宋" w:eastAsia="仿宋" w:cs="仿宋"/>
          <w:bCs/>
          <w:sz w:val="30"/>
          <w:szCs w:val="30"/>
        </w:rPr>
        <w:t>其他交通费用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0.30万元；办公设备购置4.68万元；专用设备购置2.62万元。</w:t>
      </w:r>
    </w:p>
    <w:p w14:paraId="1FABB0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E498AB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271.16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3EA431F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基本工资20.92万元；津贴补贴6.80万元；奖金23.94万元；伙食补助费13.00万元；绩效工资28.84万元；职工基本医疗保险缴费6.47万元；其他社会保障缴费4.50万元；住房公积金12.91万元；其他工资福利支出34.42万元；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22.96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6.26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水费3.14万元；</w:t>
      </w:r>
      <w:r>
        <w:rPr>
          <w:rFonts w:hint="eastAsia" w:ascii="仿宋" w:hAnsi="仿宋" w:eastAsia="仿宋" w:cs="仿宋"/>
          <w:bCs/>
          <w:sz w:val="30"/>
          <w:szCs w:val="30"/>
        </w:rPr>
        <w:t>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10.86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差旅费0.12万元；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18.04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会议费6.12万元；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1.22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6.13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劳务费16.18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工会经费11.76万元；其他交通费用0.26万元；其他商品和服务支出12.07万元；办公设备购置4.24万元。</w:t>
      </w:r>
    </w:p>
    <w:p w14:paraId="1CE1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22E553FA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601227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17587925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25D83B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23791F7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4F605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08ED0A1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为深入贯彻落实全面实施预算绩效管理的要求，建立科学、合理的预算支出绩效评价体系，提升财政资源配置效率与使用效益，特对东站中学单位整体支出绩效情况进行全面剖析。旨在清晰呈现学校资金使用的全过程及效果，为后续优化管理提供有力依据。</w:t>
      </w:r>
    </w:p>
    <w:p w14:paraId="78875C16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3D60345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0CB978AC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新校建设全面竣工并投入使用，学校占地面积达到56亩，建筑面积44859.963平方米。校园布局合理，功能分区明确，教学设施设备先进，为师生提供了良好的学习和工作环境。</w:t>
      </w:r>
    </w:p>
    <w:p w14:paraId="1A9133ED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11C39E93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构建德育课程体系，将思政教育融入课堂教学、升旗仪式、主题班会等活动中。通过一日常规歌、阳光大课间、“1530”工程等，培养学生良好行为习惯和思想道德品质。</w:t>
      </w:r>
    </w:p>
    <w:p w14:paraId="2A61C2F4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严格落实“五项管理”和“双减”政策，举办运动季、读书月、艺术周和科技节等活动，丰富学生课余生活。在2024年岳阳楼区中小学篮球比赛(初中女子乙组)中取得了第一名的好成绩，展现了东站中学博雅学子积极向上的精神风貌。</w:t>
      </w:r>
    </w:p>
    <w:p w14:paraId="4BEDC15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加强安全教育和健全心理健康教育，通过安全讲座、演练等活动，提高学生安全意识和自我保护能力，创建平安和谐校园。聘请心理工作人员，创造条件建设心理健康咨询室，开展全面排查工作，心理辅导工作常态化，促进学生心理健康发展。</w:t>
      </w:r>
    </w:p>
    <w:p w14:paraId="2D6F549D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每学期定期召开家长会，组织家长培训和亲子活动，增进家长与学校、教师之间的沟通与理解。本学期家长会参与率达到100%，家长对学校教育教学工作满意度显著提升。</w:t>
      </w:r>
    </w:p>
    <w:p w14:paraId="5353698A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423FBA8F">
      <w:pPr>
        <w:numPr>
          <w:ilvl w:val="0"/>
          <w:numId w:val="0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及时完成春、秋两季的教学计划。</w:t>
      </w:r>
    </w:p>
    <w:p w14:paraId="569210CD">
      <w:pPr>
        <w:pStyle w:val="2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386DD3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全年教育投入经费控制在907.87万元。</w:t>
      </w:r>
    </w:p>
    <w:p w14:paraId="7669E23F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18AD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65B9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2B6D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0F449DC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扎实推进“三会一课”和“一月一课一片一实践”活动，组织党员教师深入学习党的二十大精神、习近平新时代中国特色社会主义思想，学习《习近平谈治国理政》第五卷等重要文献。党员教师通过集中学习与个人自学相结合，认真撰写心得体会，每月进行学习交流，季度接受学习笔记检查，确保学习成效。</w:t>
      </w:r>
    </w:p>
    <w:p w14:paraId="6AB4CA6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充分发挥党员先锋模范作用，开展党员与教师结对帮扶活动，在政治思想和教育教学上共同进步。党员教师积极参与教学研讨、班级管理等工作，引领全校教师提升思想政治素质和业务能力。</w:t>
      </w:r>
    </w:p>
    <w:p w14:paraId="57A7678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550DB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通过学校的宣传教育，提高全体教职人员及学生的生态保护意识。</w:t>
      </w:r>
    </w:p>
    <w:p w14:paraId="323C9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72B14B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2FF53524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35EF2B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学生满意度96%，家长满意度97%，教职工满意度96%。</w:t>
      </w:r>
    </w:p>
    <w:p w14:paraId="5C916C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985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1.预算编制准确性有待提高：虽然学校在预算编制过程中，充分考虑了各项工作的实际需求，但由于教育教学工作的复杂性和不确定性，部分预算项目的编制仍存在一定偏差。</w:t>
      </w:r>
    </w:p>
    <w:p w14:paraId="79D9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2.预算项目细化程度不够：部分预算项目在编制时，没有进行充分的细化和分解，导致在预算执行过程中，难以对具体支出进行有效的控制和管理。</w:t>
      </w:r>
    </w:p>
    <w:p w14:paraId="7BE8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23C2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加强预算编制的准确性：在预算编制前，组织相关部门对教育教学工作进行深入调研和分析，充分考虑各项工作的实际需求和可能出现的变化因素，提高预算编制的科学性和准确性。同时，加强与财政部门的沟通协调，及时了解财政政策和资金安排情况，确保预算编制与财政政策相衔接。</w:t>
      </w:r>
    </w:p>
    <w:p w14:paraId="4D1E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细化预算项目编制：对所有预算项目进行充分的细化和分解，明确各项支出的具体内容、标准和金额，为预算执行和控制提供详细的依据。在编制教学业务费预算时，要根据教学活动的实际情况，制定详细的费用标准和支出明细，严格控制各项教学活动的费用支出。</w:t>
      </w:r>
    </w:p>
    <w:p w14:paraId="55E7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22FB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部门整体支出绩效评价指标体系，在2024年度取得了较好的评价结果。体现在资金使用、项目管理、教育教学成果等多个方面的出色表现。在资金使用上，学校严格按照预算安排进行支出，确保资金使用的合理性和合规性。资产管理制度健全性、资产配置合理性、资产使用效率等指标表现良好。教学任务完成情况、师资队伍建设成果、校园建设与管理成效等方面均取得了显著成绩。同时将部门整体支出绩效自评报告在单位门户网站上进行公开，广泛接受社会监督。</w:t>
      </w:r>
    </w:p>
    <w:p w14:paraId="39B116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494E0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99FC4E6">
      <w:pPr>
        <w:pStyle w:val="2"/>
        <w:rPr>
          <w:rFonts w:ascii="Arial"/>
          <w:sz w:val="21"/>
        </w:rPr>
      </w:pPr>
    </w:p>
    <w:p w14:paraId="66CCC475">
      <w:pPr>
        <w:pStyle w:val="2"/>
        <w:rPr>
          <w:rFonts w:ascii="Arial"/>
          <w:sz w:val="21"/>
        </w:rPr>
      </w:pPr>
    </w:p>
    <w:p w14:paraId="23150FE2">
      <w:pPr>
        <w:pStyle w:val="2"/>
        <w:rPr>
          <w:rFonts w:ascii="Arial"/>
          <w:sz w:val="21"/>
        </w:rPr>
      </w:pPr>
    </w:p>
    <w:p w14:paraId="6CF861D2">
      <w:pPr>
        <w:pStyle w:val="2"/>
        <w:rPr>
          <w:rFonts w:ascii="Arial"/>
          <w:sz w:val="21"/>
        </w:rPr>
      </w:pPr>
    </w:p>
    <w:p w14:paraId="04C620A8">
      <w:pPr>
        <w:pStyle w:val="2"/>
        <w:rPr>
          <w:rFonts w:ascii="Arial"/>
          <w:sz w:val="21"/>
        </w:rPr>
      </w:pPr>
    </w:p>
    <w:p w14:paraId="78850892">
      <w:pPr>
        <w:pStyle w:val="2"/>
        <w:rPr>
          <w:rFonts w:ascii="Arial"/>
          <w:sz w:val="21"/>
        </w:rPr>
      </w:pPr>
    </w:p>
    <w:p w14:paraId="01FFB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49B9E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C8FBD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67C3EA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3C4C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7D2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4C4E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514D10B8">
      <w:pPr>
        <w:spacing w:line="115" w:lineRule="exact"/>
        <w:rPr>
          <w:color w:val="000000"/>
        </w:rPr>
      </w:pPr>
    </w:p>
    <w:tbl>
      <w:tblPr>
        <w:tblStyle w:val="9"/>
        <w:tblW w:w="9900" w:type="dxa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8"/>
        <w:gridCol w:w="1116"/>
        <w:gridCol w:w="996"/>
        <w:gridCol w:w="912"/>
        <w:gridCol w:w="1188"/>
        <w:gridCol w:w="960"/>
        <w:gridCol w:w="1020"/>
      </w:tblGrid>
      <w:tr w14:paraId="3DC9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08" w:type="dxa"/>
            <w:tcBorders>
              <w:bottom w:val="nil"/>
            </w:tcBorders>
            <w:noWrap w:val="0"/>
            <w:vAlign w:val="center"/>
          </w:tcPr>
          <w:p w14:paraId="29ED3E1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名称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295C3AB0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岳阳市岳阳楼区东站中学</w:t>
            </w:r>
          </w:p>
        </w:tc>
      </w:tr>
      <w:tr w14:paraId="30B3C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top"/>
          </w:tcPr>
          <w:p w14:paraId="1BD3454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财政供养人员情况(人)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15CF70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</w:rPr>
              <w:t>编制数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64AEE1D2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年实际在职人数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DE9F87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控制率</w:t>
            </w:r>
          </w:p>
        </w:tc>
      </w:tr>
      <w:tr w14:paraId="3FC5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2011533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22C28A4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2296DEA6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AA2E50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165.22%</w:t>
            </w:r>
          </w:p>
        </w:tc>
      </w:tr>
      <w:tr w14:paraId="1ECB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708" w:type="dxa"/>
            <w:noWrap w:val="0"/>
            <w:vAlign w:val="top"/>
          </w:tcPr>
          <w:p w14:paraId="7341AD2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0"/>
                <w:szCs w:val="20"/>
              </w:rPr>
              <w:t>经费控制情况(万元)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6C1477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年决算数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CE7FC4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年预算数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9E80EEA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</w:rPr>
              <w:t>年决算数</w:t>
            </w:r>
          </w:p>
        </w:tc>
      </w:tr>
      <w:tr w14:paraId="4C54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173442F4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三公经费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26A61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58672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1A7EA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221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708" w:type="dxa"/>
            <w:noWrap w:val="0"/>
            <w:vAlign w:val="top"/>
          </w:tcPr>
          <w:p w14:paraId="289E0DCA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1、公务用车购置和维护经费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0E65E7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153C3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EF889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F4F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26FA013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其中：公车购置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53E9A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8A22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D5E627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62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2F6D6F8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公车运行维护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B90E8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04D60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E308A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9BA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708" w:type="dxa"/>
            <w:noWrap w:val="0"/>
            <w:vAlign w:val="top"/>
          </w:tcPr>
          <w:p w14:paraId="4D3AB6C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2、出国经费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95F0B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7BA746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A9585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0E7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263BD60B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3、公务接待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9BD4AB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48825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8551C3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91A6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D3963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0"/>
                <w:szCs w:val="20"/>
              </w:rPr>
              <w:t>项目支出：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C5FED1E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7231B93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5074C00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271.16</w:t>
            </w:r>
          </w:p>
        </w:tc>
      </w:tr>
      <w:tr w14:paraId="3D84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0D561EC9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1、业务工作经费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9CEB2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575732F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E4DDA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271.16</w:t>
            </w:r>
          </w:p>
        </w:tc>
      </w:tr>
      <w:tr w14:paraId="6DDC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7C76D171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2、运行维护经费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73196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A70A0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D85D5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CA5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53168A9A">
            <w:pPr>
              <w:spacing w:before="93" w:line="219" w:lineRule="auto"/>
              <w:ind w:firstLine="408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级专项资金(一个专项一行)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6A7D6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3400BB3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5ADD2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19D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7DD8D9F5">
            <w:pPr>
              <w:spacing w:before="85" w:line="220" w:lineRule="auto"/>
              <w:ind w:firstLine="41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635FC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B876F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7181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6A40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12C821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公用经费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88849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92B71D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107.01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80A3B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107.01</w:t>
            </w:r>
          </w:p>
        </w:tc>
      </w:tr>
      <w:tr w14:paraId="323D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4A3CCF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其中：办公经费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015075A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A90FF56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16.09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CF57AAD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16.09</w:t>
            </w:r>
          </w:p>
        </w:tc>
      </w:tr>
      <w:tr w14:paraId="3615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53ECD10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水费、电费、差旅费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864091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85873B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0.94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FC84441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0.94</w:t>
            </w:r>
          </w:p>
        </w:tc>
      </w:tr>
      <w:tr w14:paraId="43FB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0C80F6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会议费、培训费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30ACF8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EDB7C54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1.39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B33783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1.39</w:t>
            </w:r>
          </w:p>
        </w:tc>
      </w:tr>
      <w:tr w14:paraId="486B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187AF4E3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政府采购金额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1C540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865052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145.05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209AB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145.05</w:t>
            </w:r>
          </w:p>
        </w:tc>
      </w:tr>
      <w:tr w14:paraId="1775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708" w:type="dxa"/>
            <w:noWrap w:val="0"/>
            <w:vAlign w:val="top"/>
          </w:tcPr>
          <w:p w14:paraId="01252032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部门基本支出预算调整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483BD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CE124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51494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48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center"/>
          </w:tcPr>
          <w:p w14:paraId="4D9CB2BC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0"/>
                <w:szCs w:val="20"/>
              </w:rPr>
              <w:t>楼堂馆所控制情况</w:t>
            </w:r>
          </w:p>
          <w:p w14:paraId="05D2AB41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年完工项目)</w:t>
            </w:r>
          </w:p>
        </w:tc>
        <w:tc>
          <w:tcPr>
            <w:tcW w:w="1116" w:type="dxa"/>
            <w:noWrap w:val="0"/>
            <w:vAlign w:val="center"/>
          </w:tcPr>
          <w:p w14:paraId="3656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B27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6" w:type="dxa"/>
            <w:noWrap w:val="0"/>
            <w:vAlign w:val="center"/>
          </w:tcPr>
          <w:p w14:paraId="3F5B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2A75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912" w:type="dxa"/>
            <w:noWrap w:val="0"/>
            <w:vAlign w:val="center"/>
          </w:tcPr>
          <w:p w14:paraId="3084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8" w:type="dxa"/>
            <w:noWrap w:val="0"/>
            <w:vAlign w:val="center"/>
          </w:tcPr>
          <w:p w14:paraId="2F50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4208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960" w:type="dxa"/>
            <w:noWrap w:val="0"/>
            <w:vAlign w:val="center"/>
          </w:tcPr>
          <w:p w14:paraId="55AC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实际投资</w:t>
            </w:r>
          </w:p>
          <w:p w14:paraId="0A8E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1020" w:type="dxa"/>
            <w:noWrap w:val="0"/>
            <w:vAlign w:val="center"/>
          </w:tcPr>
          <w:p w14:paraId="6622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1005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算控制率</w:t>
            </w:r>
          </w:p>
        </w:tc>
      </w:tr>
      <w:tr w14:paraId="516A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31C51AB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3F0A70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noWrap w:val="0"/>
            <w:vAlign w:val="top"/>
          </w:tcPr>
          <w:p w14:paraId="7B71EA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top"/>
          </w:tcPr>
          <w:p w14:paraId="3646FB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42E64B7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top"/>
          </w:tcPr>
          <w:p w14:paraId="7CB11C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noWrap w:val="0"/>
            <w:vAlign w:val="top"/>
          </w:tcPr>
          <w:p w14:paraId="6FB5DC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A0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4081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厉行节约保障措施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0FEE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坚持开展宣传教育、建全工作机制、建章立制、监督检查、加强管理</w:t>
            </w:r>
          </w:p>
        </w:tc>
      </w:tr>
    </w:tbl>
    <w:p w14:paraId="75EF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说明：“项目支出”需要填报基本支出以外的所有项目支出情况，“公用经费”填报基本支出中的一般商品和服务支出。</w:t>
      </w:r>
    </w:p>
    <w:p w14:paraId="72C3D8A3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</w:t>
      </w:r>
    </w:p>
    <w:p w14:paraId="2840624A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李琦          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13975093714 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2025年7月9日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664D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年度预算单位整体支出绩效自评表</w:t>
      </w:r>
    </w:p>
    <w:p w14:paraId="66014BE5">
      <w:pPr>
        <w:spacing w:line="132" w:lineRule="exact"/>
      </w:pPr>
    </w:p>
    <w:tbl>
      <w:tblPr>
        <w:tblStyle w:val="9"/>
        <w:tblW w:w="9948" w:type="dxa"/>
        <w:tblInd w:w="-7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04"/>
        <w:gridCol w:w="1020"/>
        <w:gridCol w:w="1212"/>
        <w:gridCol w:w="1332"/>
        <w:gridCol w:w="1200"/>
        <w:gridCol w:w="636"/>
        <w:gridCol w:w="948"/>
        <w:gridCol w:w="1536"/>
      </w:tblGrid>
      <w:tr w14:paraId="1305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84" w:type="dxa"/>
            <w:gridSpan w:val="3"/>
            <w:noWrap w:val="0"/>
            <w:vAlign w:val="top"/>
          </w:tcPr>
          <w:p w14:paraId="5C7AD8C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64" w:type="dxa"/>
            <w:gridSpan w:val="6"/>
            <w:noWrap w:val="0"/>
            <w:vAlign w:val="top"/>
          </w:tcPr>
          <w:p w14:paraId="11524593">
            <w:pPr>
              <w:pStyle w:val="10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岳阳市岳阳楼区东站中学</w:t>
            </w:r>
          </w:p>
        </w:tc>
      </w:tr>
      <w:tr w14:paraId="2F7A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0EC1474A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3DDAACF5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74B1466A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5464F741">
            <w:pPr>
              <w:spacing w:before="62" w:line="232" w:lineRule="auto"/>
              <w:ind w:right="144" w:firstLine="194" w:firstLineChars="1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ED5E35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5D414DE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32" w:type="dxa"/>
            <w:noWrap w:val="0"/>
            <w:vAlign w:val="top"/>
          </w:tcPr>
          <w:p w14:paraId="7C9B64D4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00" w:type="dxa"/>
            <w:noWrap w:val="0"/>
            <w:vAlign w:val="top"/>
          </w:tcPr>
          <w:p w14:paraId="6C400F7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36" w:type="dxa"/>
            <w:noWrap w:val="0"/>
            <w:vAlign w:val="top"/>
          </w:tcPr>
          <w:p w14:paraId="425A8A78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2437F102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536" w:type="dxa"/>
            <w:noWrap w:val="0"/>
            <w:vAlign w:val="top"/>
          </w:tcPr>
          <w:p w14:paraId="6BBF08D4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264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7C18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64D61441">
            <w:pPr>
              <w:spacing w:before="20" w:line="208" w:lineRule="auto"/>
              <w:ind w:left="46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12" w:type="dxa"/>
            <w:noWrap w:val="0"/>
            <w:vAlign w:val="top"/>
          </w:tcPr>
          <w:p w14:paraId="6B8D900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614.26</w:t>
            </w:r>
          </w:p>
        </w:tc>
        <w:tc>
          <w:tcPr>
            <w:tcW w:w="1332" w:type="dxa"/>
            <w:noWrap w:val="0"/>
            <w:vAlign w:val="top"/>
          </w:tcPr>
          <w:p w14:paraId="5E98804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979.53</w:t>
            </w:r>
          </w:p>
        </w:tc>
        <w:tc>
          <w:tcPr>
            <w:tcW w:w="1200" w:type="dxa"/>
            <w:noWrap w:val="0"/>
            <w:vAlign w:val="top"/>
          </w:tcPr>
          <w:p w14:paraId="0C2A1C8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907.87</w:t>
            </w:r>
          </w:p>
        </w:tc>
        <w:tc>
          <w:tcPr>
            <w:tcW w:w="636" w:type="dxa"/>
            <w:noWrap w:val="0"/>
            <w:vAlign w:val="top"/>
          </w:tcPr>
          <w:p w14:paraId="66F9AC7B">
            <w:pPr>
              <w:pStyle w:val="10"/>
              <w:spacing w:before="54" w:line="194" w:lineRule="auto"/>
              <w:ind w:left="270"/>
              <w:jc w:val="both"/>
              <w:rPr>
                <w:rFonts w:hint="default" w:ascii="宋体" w:hAnsi="宋体" w:eastAsia="宋体" w:cs="宋体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53CE796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92.68%</w:t>
            </w:r>
          </w:p>
        </w:tc>
        <w:tc>
          <w:tcPr>
            <w:tcW w:w="1536" w:type="dxa"/>
            <w:noWrap w:val="0"/>
            <w:vAlign w:val="top"/>
          </w:tcPr>
          <w:p w14:paraId="3C10AB0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9.27</w:t>
            </w:r>
          </w:p>
        </w:tc>
      </w:tr>
      <w:tr w14:paraId="4728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B656A1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18987E00">
            <w:pPr>
              <w:spacing w:before="22" w:line="206" w:lineRule="auto"/>
              <w:ind w:left="111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26213A82">
            <w:pPr>
              <w:spacing w:before="22" w:line="206" w:lineRule="auto"/>
              <w:ind w:left="116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B8E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3378E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29941CCF">
            <w:pPr>
              <w:spacing w:before="21" w:line="207" w:lineRule="auto"/>
              <w:ind w:left="312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一般公共预算：708.37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3E6AF96B">
            <w:pPr>
              <w:spacing w:before="21" w:line="207" w:lineRule="auto"/>
              <w:ind w:left="115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其中：基本支出：636.71</w:t>
            </w:r>
          </w:p>
        </w:tc>
      </w:tr>
      <w:tr w14:paraId="622EE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880885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1F84E992">
            <w:pPr>
              <w:spacing w:before="21" w:line="207" w:lineRule="auto"/>
              <w:ind w:left="916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6C7146AA">
            <w:pPr>
              <w:spacing w:before="21" w:line="207" w:lineRule="auto"/>
              <w:ind w:left="717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项目支出：271.16</w:t>
            </w:r>
          </w:p>
        </w:tc>
      </w:tr>
      <w:tr w14:paraId="5621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149A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4FF684AC">
            <w:pPr>
              <w:spacing w:before="20" w:line="208" w:lineRule="auto"/>
              <w:ind w:left="115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7D031E8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F6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12F798F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5E121BA7">
            <w:pPr>
              <w:spacing w:before="20" w:line="208" w:lineRule="auto"/>
              <w:ind w:left="1512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其他资金：271.16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04102E4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BC2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34FBD2E2">
            <w:pPr>
              <w:pStyle w:val="10"/>
              <w:spacing w:line="24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8D83DC4">
            <w:pPr>
              <w:pStyle w:val="10"/>
              <w:spacing w:line="24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1BBB678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5CD6955C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01392327">
            <w:pPr>
              <w:spacing w:before="62" w:line="230" w:lineRule="auto"/>
              <w:ind w:right="13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68" w:type="dxa"/>
            <w:gridSpan w:val="4"/>
            <w:noWrap w:val="0"/>
            <w:vAlign w:val="top"/>
          </w:tcPr>
          <w:p w14:paraId="35040126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300246A0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6ED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0E8ED82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68" w:type="dxa"/>
            <w:gridSpan w:val="4"/>
            <w:noWrap w:val="0"/>
            <w:vAlign w:val="top"/>
          </w:tcPr>
          <w:p w14:paraId="7FC5737E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17B92FE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4E25007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D31CE14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AFB8B8D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目标1：购置相关仪器设备，保证教学质量。</w:t>
            </w:r>
          </w:p>
          <w:p w14:paraId="1BBD6E24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目标2：做好后勤保障管理工作，解决师生后顾之忧，为师生提供良好的教学环境。</w:t>
            </w:r>
          </w:p>
          <w:p w14:paraId="03CD51E5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目标3：引进优质教师，开展教师培训工作，建立优质的师资队伍。</w:t>
            </w:r>
          </w:p>
          <w:p w14:paraId="0C2E4481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目标4：丰富学生课外活动，拓展学生课外知识，调整学生学习心态，秉持以人为本的教育方式。</w:t>
            </w:r>
          </w:p>
          <w:p w14:paraId="73A5A230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目标5：落实“双减”任务，减轻学生过重作业负担和校外培训负担。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581ACDBC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目标1：高标准配置了图书馆、实验室、多媒体教室、体育馆等教学场地，配备了智能化教学设备，实现了教学手段现代化。</w:t>
            </w:r>
          </w:p>
          <w:p w14:paraId="5D0ADE84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目标2：我校后勤工作得到进一步的规范，严格落实收费规定，无违规收费现象。做好学校经费收支管理，量入为出，收支平衡，保障重点。</w:t>
            </w:r>
          </w:p>
          <w:p w14:paraId="4DB916E9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目标3：加大教师培训力度，拓宽培训渠道，丰富培训内容，采取“走出去、请进来”相结合的方式，邀请专家学者来校讲学，选派教师参加高端培训和学术交流活动，促进教师专业成长。</w:t>
            </w:r>
          </w:p>
          <w:p w14:paraId="3C3FD43F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4：严格落实“五项管理”政策，举办运动季、读书月、艺术周和科技节等活动，丰富学生课余生活。在2024年岳阳楼区中小学篮球比赛(初中女子乙组)中取得了第一名的好成绩，展现了东站中学博雅学子积极向上的精神风貌。</w:t>
            </w:r>
          </w:p>
          <w:p w14:paraId="39332E57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目标5：深入推进“双减”政策，优化课程设置，加强课程整合，开发具有特色的校本课程，满足学生多样化发展需求。</w:t>
            </w:r>
          </w:p>
        </w:tc>
      </w:tr>
      <w:tr w14:paraId="7FD1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FD7276A">
            <w:pPr>
              <w:pStyle w:val="10"/>
              <w:spacing w:line="364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C00D9DE">
            <w:pPr>
              <w:spacing w:before="64" w:line="216" w:lineRule="auto"/>
              <w:ind w:left="316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7A4002ED">
            <w:pPr>
              <w:spacing w:before="141" w:line="226" w:lineRule="auto"/>
              <w:ind w:left="15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20" w:type="dxa"/>
            <w:noWrap w:val="0"/>
            <w:vAlign w:val="top"/>
          </w:tcPr>
          <w:p w14:paraId="4E7B83BD">
            <w:pPr>
              <w:spacing w:before="141" w:line="226" w:lineRule="auto"/>
              <w:ind w:left="1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12" w:type="dxa"/>
            <w:noWrap w:val="0"/>
            <w:vAlign w:val="top"/>
          </w:tcPr>
          <w:p w14:paraId="232E72AF">
            <w:pPr>
              <w:spacing w:before="141" w:line="226" w:lineRule="auto"/>
              <w:ind w:left="2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32" w:type="dxa"/>
            <w:noWrap w:val="0"/>
            <w:vAlign w:val="top"/>
          </w:tcPr>
          <w:p w14:paraId="27F09F8B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00" w:type="dxa"/>
            <w:noWrap w:val="0"/>
            <w:vAlign w:val="top"/>
          </w:tcPr>
          <w:p w14:paraId="6D4E1CA8">
            <w:pPr>
              <w:spacing w:before="141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636" w:type="dxa"/>
            <w:noWrap w:val="0"/>
            <w:vAlign w:val="top"/>
          </w:tcPr>
          <w:p w14:paraId="7C59B40D">
            <w:pPr>
              <w:spacing w:before="141" w:line="227" w:lineRule="auto"/>
              <w:ind w:left="1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433EE910">
            <w:pPr>
              <w:spacing w:before="174" w:line="218" w:lineRule="auto"/>
              <w:ind w:left="15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自评得分</w:t>
            </w:r>
          </w:p>
        </w:tc>
        <w:tc>
          <w:tcPr>
            <w:tcW w:w="1536" w:type="dxa"/>
            <w:noWrap w:val="0"/>
            <w:vAlign w:val="top"/>
          </w:tcPr>
          <w:p w14:paraId="435C8AAE">
            <w:pPr>
              <w:spacing w:before="21" w:line="220" w:lineRule="auto"/>
              <w:ind w:left="111" w:right="109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2426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DC14AF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0F1A448F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485D1A1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F7F6CB7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41C609C">
            <w:pPr>
              <w:pStyle w:val="10"/>
              <w:spacing w:line="27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E4AF7D1"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C8617A4"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6269C1BB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6BC47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12" w:type="dxa"/>
            <w:noWrap w:val="0"/>
            <w:vAlign w:val="top"/>
          </w:tcPr>
          <w:p w14:paraId="598C13A8">
            <w:pPr>
              <w:spacing w:before="273" w:line="226" w:lineRule="auto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学生招生数量</w:t>
            </w:r>
          </w:p>
        </w:tc>
        <w:tc>
          <w:tcPr>
            <w:tcW w:w="1332" w:type="dxa"/>
            <w:noWrap w:val="0"/>
            <w:vAlign w:val="top"/>
          </w:tcPr>
          <w:p w14:paraId="3544A454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1330人</w:t>
            </w:r>
          </w:p>
        </w:tc>
        <w:tc>
          <w:tcPr>
            <w:tcW w:w="1200" w:type="dxa"/>
            <w:noWrap w:val="0"/>
            <w:vAlign w:val="top"/>
          </w:tcPr>
          <w:p w14:paraId="45AC86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1330人</w:t>
            </w:r>
          </w:p>
        </w:tc>
        <w:tc>
          <w:tcPr>
            <w:tcW w:w="636" w:type="dxa"/>
            <w:noWrap w:val="0"/>
            <w:vAlign w:val="top"/>
          </w:tcPr>
          <w:p w14:paraId="2CDF9C4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145ED2F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38215BE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31A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71800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B6A56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609E9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18297F0B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建筑面积</w:t>
            </w:r>
          </w:p>
        </w:tc>
        <w:tc>
          <w:tcPr>
            <w:tcW w:w="1332" w:type="dxa"/>
            <w:noWrap w:val="0"/>
            <w:vAlign w:val="top"/>
          </w:tcPr>
          <w:p w14:paraId="290092C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44859.96㎡</w:t>
            </w:r>
          </w:p>
        </w:tc>
        <w:tc>
          <w:tcPr>
            <w:tcW w:w="1200" w:type="dxa"/>
            <w:noWrap w:val="0"/>
            <w:vAlign w:val="top"/>
          </w:tcPr>
          <w:p w14:paraId="378B7353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44859.96㎡</w:t>
            </w:r>
          </w:p>
        </w:tc>
        <w:tc>
          <w:tcPr>
            <w:tcW w:w="636" w:type="dxa"/>
            <w:noWrap w:val="0"/>
            <w:vAlign w:val="top"/>
          </w:tcPr>
          <w:p w14:paraId="792871C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7374934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62C85B5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9DC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EDB6B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6611D0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23ED046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7927D13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质量指标</w:t>
            </w:r>
          </w:p>
        </w:tc>
        <w:tc>
          <w:tcPr>
            <w:tcW w:w="1212" w:type="dxa"/>
            <w:noWrap w:val="0"/>
            <w:vAlign w:val="top"/>
          </w:tcPr>
          <w:p w14:paraId="54DDCD6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双减政策落实率</w:t>
            </w:r>
          </w:p>
        </w:tc>
        <w:tc>
          <w:tcPr>
            <w:tcW w:w="1332" w:type="dxa"/>
            <w:noWrap w:val="0"/>
            <w:vAlign w:val="top"/>
          </w:tcPr>
          <w:p w14:paraId="457F3CE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≧100%</w:t>
            </w:r>
          </w:p>
        </w:tc>
        <w:tc>
          <w:tcPr>
            <w:tcW w:w="1200" w:type="dxa"/>
            <w:noWrap w:val="0"/>
            <w:vAlign w:val="top"/>
          </w:tcPr>
          <w:p w14:paraId="0C99666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36" w:type="dxa"/>
            <w:noWrap w:val="0"/>
            <w:vAlign w:val="top"/>
          </w:tcPr>
          <w:p w14:paraId="45FE559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948" w:type="dxa"/>
            <w:noWrap w:val="0"/>
            <w:vAlign w:val="top"/>
          </w:tcPr>
          <w:p w14:paraId="0E9857F3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536" w:type="dxa"/>
            <w:noWrap w:val="0"/>
            <w:vAlign w:val="top"/>
          </w:tcPr>
          <w:p w14:paraId="484BF83E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7EF1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A1C613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44BB64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CD09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37BDFDB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安全教育宣传覆盖率</w:t>
            </w:r>
          </w:p>
        </w:tc>
        <w:tc>
          <w:tcPr>
            <w:tcW w:w="1332" w:type="dxa"/>
            <w:noWrap w:val="0"/>
            <w:vAlign w:val="top"/>
          </w:tcPr>
          <w:p w14:paraId="22C406EF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≧100%</w:t>
            </w:r>
          </w:p>
        </w:tc>
        <w:tc>
          <w:tcPr>
            <w:tcW w:w="1200" w:type="dxa"/>
            <w:noWrap w:val="0"/>
            <w:vAlign w:val="top"/>
          </w:tcPr>
          <w:p w14:paraId="3129CFE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36" w:type="dxa"/>
            <w:noWrap w:val="0"/>
            <w:vAlign w:val="top"/>
          </w:tcPr>
          <w:p w14:paraId="0E3594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5FF9E5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255EA37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DDC6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E584B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DB8B6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6A786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212" w:type="dxa"/>
            <w:noWrap w:val="0"/>
            <w:vAlign w:val="top"/>
          </w:tcPr>
          <w:p w14:paraId="1F793481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及时完成在校学生的春、秋两季教学计划</w:t>
            </w:r>
          </w:p>
        </w:tc>
        <w:tc>
          <w:tcPr>
            <w:tcW w:w="1332" w:type="dxa"/>
            <w:noWrap w:val="0"/>
            <w:vAlign w:val="top"/>
          </w:tcPr>
          <w:p w14:paraId="17BB5D2D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0B62165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及时</w:t>
            </w:r>
          </w:p>
        </w:tc>
        <w:tc>
          <w:tcPr>
            <w:tcW w:w="1200" w:type="dxa"/>
            <w:noWrap w:val="0"/>
            <w:vAlign w:val="top"/>
          </w:tcPr>
          <w:p w14:paraId="31A0476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739422B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及时</w:t>
            </w:r>
          </w:p>
        </w:tc>
        <w:tc>
          <w:tcPr>
            <w:tcW w:w="636" w:type="dxa"/>
            <w:noWrap w:val="0"/>
            <w:vAlign w:val="top"/>
          </w:tcPr>
          <w:p w14:paraId="7F5AB00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37042BE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13967E42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489D5A5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4F7469B9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2C13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ED4108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E3DE6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19D01E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12" w:type="dxa"/>
            <w:noWrap w:val="0"/>
            <w:vAlign w:val="top"/>
          </w:tcPr>
          <w:p w14:paraId="26DBE27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全年教育投入经费</w:t>
            </w:r>
          </w:p>
        </w:tc>
        <w:tc>
          <w:tcPr>
            <w:tcW w:w="1332" w:type="dxa"/>
            <w:noWrap w:val="0"/>
            <w:vAlign w:val="top"/>
          </w:tcPr>
          <w:p w14:paraId="5F69A950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≤907.87万元</w:t>
            </w:r>
          </w:p>
        </w:tc>
        <w:tc>
          <w:tcPr>
            <w:tcW w:w="1200" w:type="dxa"/>
            <w:noWrap w:val="0"/>
            <w:vAlign w:val="top"/>
          </w:tcPr>
          <w:p w14:paraId="390BB3C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907.87万元</w:t>
            </w:r>
          </w:p>
        </w:tc>
        <w:tc>
          <w:tcPr>
            <w:tcW w:w="636" w:type="dxa"/>
            <w:noWrap w:val="0"/>
            <w:vAlign w:val="top"/>
          </w:tcPr>
          <w:p w14:paraId="059905B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6472550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14EB059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5B2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0A48C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5DCEC46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3E5D2DC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4A8B7D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DDCE00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68BAE4A"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EABF5A3"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D7DD8E9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经济效益指标</w:t>
            </w:r>
          </w:p>
        </w:tc>
        <w:tc>
          <w:tcPr>
            <w:tcW w:w="1212" w:type="dxa"/>
            <w:noWrap w:val="0"/>
            <w:vAlign w:val="top"/>
          </w:tcPr>
          <w:p w14:paraId="57E785D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332" w:type="dxa"/>
            <w:noWrap w:val="0"/>
            <w:vAlign w:val="top"/>
          </w:tcPr>
          <w:p w14:paraId="6FFDF22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200" w:type="dxa"/>
            <w:noWrap w:val="0"/>
            <w:vAlign w:val="top"/>
          </w:tcPr>
          <w:p w14:paraId="4DC2894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636" w:type="dxa"/>
            <w:noWrap w:val="0"/>
            <w:vAlign w:val="top"/>
          </w:tcPr>
          <w:p w14:paraId="6E892A1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top"/>
          </w:tcPr>
          <w:p w14:paraId="391FE6F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536" w:type="dxa"/>
            <w:noWrap w:val="0"/>
            <w:vAlign w:val="top"/>
          </w:tcPr>
          <w:p w14:paraId="513BFE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248D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03D45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8CD0A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65B1B8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社会效益指标</w:t>
            </w:r>
          </w:p>
        </w:tc>
        <w:tc>
          <w:tcPr>
            <w:tcW w:w="1212" w:type="dxa"/>
            <w:noWrap w:val="0"/>
            <w:vAlign w:val="top"/>
          </w:tcPr>
          <w:p w14:paraId="6539E9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改善城区教育教学水平</w:t>
            </w:r>
          </w:p>
        </w:tc>
        <w:tc>
          <w:tcPr>
            <w:tcW w:w="1332" w:type="dxa"/>
            <w:noWrap w:val="0"/>
            <w:vAlign w:val="top"/>
          </w:tcPr>
          <w:p w14:paraId="3338AC9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有所提升</w:t>
            </w:r>
          </w:p>
        </w:tc>
        <w:tc>
          <w:tcPr>
            <w:tcW w:w="1200" w:type="dxa"/>
            <w:noWrap w:val="0"/>
            <w:vAlign w:val="top"/>
          </w:tcPr>
          <w:p w14:paraId="586DF25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有所提升</w:t>
            </w:r>
          </w:p>
        </w:tc>
        <w:tc>
          <w:tcPr>
            <w:tcW w:w="636" w:type="dxa"/>
            <w:noWrap w:val="0"/>
            <w:vAlign w:val="top"/>
          </w:tcPr>
          <w:p w14:paraId="67D046D0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02799E8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9.6</w:t>
            </w:r>
          </w:p>
        </w:tc>
        <w:tc>
          <w:tcPr>
            <w:tcW w:w="1536" w:type="dxa"/>
            <w:noWrap w:val="0"/>
            <w:vAlign w:val="top"/>
          </w:tcPr>
          <w:p w14:paraId="62C0A36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2C5E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7AFE4D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0609D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7EC43EA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5C11577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生态效益指标</w:t>
            </w:r>
          </w:p>
        </w:tc>
        <w:tc>
          <w:tcPr>
            <w:tcW w:w="1212" w:type="dxa"/>
            <w:noWrap w:val="0"/>
            <w:vAlign w:val="top"/>
          </w:tcPr>
          <w:p w14:paraId="2E909DBF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通过学校的宣传教育，提高全体教职人员及学生的生态保护意识</w:t>
            </w:r>
          </w:p>
        </w:tc>
        <w:tc>
          <w:tcPr>
            <w:tcW w:w="1332" w:type="dxa"/>
            <w:noWrap w:val="0"/>
            <w:vAlign w:val="top"/>
          </w:tcPr>
          <w:p w14:paraId="32158CD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1E980DA8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有所提高</w:t>
            </w:r>
          </w:p>
        </w:tc>
        <w:tc>
          <w:tcPr>
            <w:tcW w:w="1200" w:type="dxa"/>
            <w:noWrap w:val="0"/>
            <w:vAlign w:val="top"/>
          </w:tcPr>
          <w:p w14:paraId="3400539D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52DBF52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有所提高</w:t>
            </w:r>
          </w:p>
        </w:tc>
        <w:tc>
          <w:tcPr>
            <w:tcW w:w="636" w:type="dxa"/>
            <w:noWrap w:val="0"/>
            <w:vAlign w:val="top"/>
          </w:tcPr>
          <w:p w14:paraId="0337BE4A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7029037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2A7B2ED4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45F6830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9.7</w:t>
            </w:r>
          </w:p>
        </w:tc>
        <w:tc>
          <w:tcPr>
            <w:tcW w:w="1536" w:type="dxa"/>
            <w:noWrap w:val="0"/>
            <w:vAlign w:val="top"/>
          </w:tcPr>
          <w:p w14:paraId="019CCD4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397E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705C0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F29A9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078675BD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可持续影响指标</w:t>
            </w:r>
          </w:p>
        </w:tc>
        <w:tc>
          <w:tcPr>
            <w:tcW w:w="1212" w:type="dxa"/>
            <w:noWrap w:val="0"/>
            <w:vAlign w:val="top"/>
          </w:tcPr>
          <w:p w14:paraId="48FEC9A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教育事业持续发展</w:t>
            </w:r>
          </w:p>
        </w:tc>
        <w:tc>
          <w:tcPr>
            <w:tcW w:w="1332" w:type="dxa"/>
            <w:noWrap w:val="0"/>
            <w:vAlign w:val="top"/>
          </w:tcPr>
          <w:p w14:paraId="2785A2B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持续发展</w:t>
            </w:r>
          </w:p>
        </w:tc>
        <w:tc>
          <w:tcPr>
            <w:tcW w:w="1200" w:type="dxa"/>
            <w:noWrap w:val="0"/>
            <w:vAlign w:val="top"/>
          </w:tcPr>
          <w:p w14:paraId="35547E3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持续发展</w:t>
            </w:r>
          </w:p>
        </w:tc>
        <w:tc>
          <w:tcPr>
            <w:tcW w:w="636" w:type="dxa"/>
            <w:noWrap w:val="0"/>
            <w:vAlign w:val="top"/>
          </w:tcPr>
          <w:p w14:paraId="6F3E4647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53BADB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9.8</w:t>
            </w:r>
          </w:p>
        </w:tc>
        <w:tc>
          <w:tcPr>
            <w:tcW w:w="1536" w:type="dxa"/>
            <w:noWrap w:val="0"/>
            <w:vAlign w:val="top"/>
          </w:tcPr>
          <w:p w14:paraId="1F1EAC4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602C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BF7E0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5F3F8102">
            <w:pPr>
              <w:spacing w:before="110" w:line="226" w:lineRule="auto"/>
              <w:ind w:left="2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4BED2B9">
            <w:pPr>
              <w:spacing w:before="7" w:line="226" w:lineRule="auto"/>
              <w:ind w:left="34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A878D5A"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3155F76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35C881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服务对象</w:t>
            </w:r>
          </w:p>
          <w:p w14:paraId="67BC0CEF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满意度指标</w:t>
            </w:r>
          </w:p>
        </w:tc>
        <w:tc>
          <w:tcPr>
            <w:tcW w:w="1212" w:type="dxa"/>
            <w:noWrap w:val="0"/>
            <w:vAlign w:val="top"/>
          </w:tcPr>
          <w:p w14:paraId="2200BB3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学生满意度</w:t>
            </w:r>
          </w:p>
        </w:tc>
        <w:tc>
          <w:tcPr>
            <w:tcW w:w="1332" w:type="dxa"/>
            <w:noWrap w:val="0"/>
            <w:vAlign w:val="top"/>
          </w:tcPr>
          <w:p w14:paraId="56C985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6C31883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17DC1D1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6FD0F8E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0BEA06D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443A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D5F10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0416D1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423C5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6F400FA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家长满意度</w:t>
            </w:r>
          </w:p>
        </w:tc>
        <w:tc>
          <w:tcPr>
            <w:tcW w:w="1332" w:type="dxa"/>
            <w:noWrap w:val="0"/>
            <w:vAlign w:val="top"/>
          </w:tcPr>
          <w:p w14:paraId="399925F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34F9FD5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53120AD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948" w:type="dxa"/>
            <w:noWrap w:val="0"/>
            <w:vAlign w:val="top"/>
          </w:tcPr>
          <w:p w14:paraId="7360B27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536" w:type="dxa"/>
            <w:noWrap w:val="0"/>
            <w:vAlign w:val="top"/>
          </w:tcPr>
          <w:p w14:paraId="6E33314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77A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EA95BD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57F3B4BB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noWrap w:val="0"/>
            <w:vAlign w:val="top"/>
          </w:tcPr>
          <w:p w14:paraId="5CF416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2BE6CDF2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教职工满意度</w:t>
            </w:r>
          </w:p>
        </w:tc>
        <w:tc>
          <w:tcPr>
            <w:tcW w:w="1332" w:type="dxa"/>
            <w:noWrap w:val="0"/>
            <w:vAlign w:val="top"/>
          </w:tcPr>
          <w:p w14:paraId="55C2FB08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00" w:type="dxa"/>
            <w:noWrap w:val="0"/>
            <w:vAlign w:val="top"/>
          </w:tcPr>
          <w:p w14:paraId="763DBC9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2318D6F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0AC7AC6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6D5AEE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7E14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28" w:type="dxa"/>
            <w:gridSpan w:val="6"/>
            <w:noWrap w:val="0"/>
            <w:vAlign w:val="top"/>
          </w:tcPr>
          <w:p w14:paraId="3A7A847C">
            <w:pPr>
              <w:spacing w:before="41" w:line="221" w:lineRule="auto"/>
              <w:ind w:left="334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36" w:type="dxa"/>
            <w:noWrap w:val="0"/>
            <w:vAlign w:val="top"/>
          </w:tcPr>
          <w:p w14:paraId="6DD598DA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948" w:type="dxa"/>
            <w:noWrap w:val="0"/>
            <w:vAlign w:val="top"/>
          </w:tcPr>
          <w:p w14:paraId="7A0695B9">
            <w:pPr>
              <w:spacing w:before="75" w:line="195" w:lineRule="auto"/>
              <w:ind w:left="23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98.37</w:t>
            </w:r>
          </w:p>
        </w:tc>
        <w:tc>
          <w:tcPr>
            <w:tcW w:w="1536" w:type="dxa"/>
            <w:noWrap w:val="0"/>
            <w:vAlign w:val="top"/>
          </w:tcPr>
          <w:p w14:paraId="16D98A12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16B79C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</w:p>
    <w:p w14:paraId="43E6CDF7">
      <w:pPr>
        <w:tabs>
          <w:tab w:val="left" w:pos="2572"/>
        </w:tabs>
        <w:bidi w:val="0"/>
        <w:jc w:val="left"/>
        <w:rPr>
          <w:rFonts w:hint="eastAsia"/>
          <w:spacing w:val="8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李琦          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13975093714 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2025年7月9日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D19D4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17304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1B11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87DCC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9B7776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40CDA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A94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92D1C9E"/>
    <w:rsid w:val="09377E5E"/>
    <w:rsid w:val="09383E9F"/>
    <w:rsid w:val="0939426E"/>
    <w:rsid w:val="093F4975"/>
    <w:rsid w:val="09504F8C"/>
    <w:rsid w:val="095C52F4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733B6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17312"/>
    <w:rsid w:val="0E4822EE"/>
    <w:rsid w:val="0E4E185D"/>
    <w:rsid w:val="0E522FBE"/>
    <w:rsid w:val="0E5D141B"/>
    <w:rsid w:val="0E6110B0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C4BEA"/>
    <w:rsid w:val="0EBE40CB"/>
    <w:rsid w:val="0EC36A56"/>
    <w:rsid w:val="0EC62499"/>
    <w:rsid w:val="0ECE4E6F"/>
    <w:rsid w:val="0ED86777"/>
    <w:rsid w:val="0EDA5C56"/>
    <w:rsid w:val="0EE57112"/>
    <w:rsid w:val="0EFE4287"/>
    <w:rsid w:val="0F096081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5177D9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11B36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576DF0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C7A3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34E43"/>
    <w:rsid w:val="14E83CF0"/>
    <w:rsid w:val="14F4219E"/>
    <w:rsid w:val="150135C1"/>
    <w:rsid w:val="151C632A"/>
    <w:rsid w:val="152E4EB1"/>
    <w:rsid w:val="153016AC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AC2C4A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54792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33E26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50189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7125D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A403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D6CF2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6C71A5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236E9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7B22D6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06C63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10CD1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3F08C8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B5012B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06343"/>
    <w:rsid w:val="2CF24D2C"/>
    <w:rsid w:val="2CF756B7"/>
    <w:rsid w:val="2CF9252D"/>
    <w:rsid w:val="2CF97782"/>
    <w:rsid w:val="2CFE30EF"/>
    <w:rsid w:val="2CFE33A0"/>
    <w:rsid w:val="2D020858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6E58FD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132621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61509"/>
    <w:rsid w:val="2EC92184"/>
    <w:rsid w:val="2ECD27F6"/>
    <w:rsid w:val="2EE91FB3"/>
    <w:rsid w:val="2EF97788"/>
    <w:rsid w:val="2F004E69"/>
    <w:rsid w:val="2F09010D"/>
    <w:rsid w:val="2F0E1C14"/>
    <w:rsid w:val="2F0F3B5B"/>
    <w:rsid w:val="2F111DD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44D13"/>
    <w:rsid w:val="30492212"/>
    <w:rsid w:val="304C3A2B"/>
    <w:rsid w:val="30575BD1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C17EC"/>
    <w:rsid w:val="312107CD"/>
    <w:rsid w:val="31210CA8"/>
    <w:rsid w:val="31215285"/>
    <w:rsid w:val="312C251E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201E9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7C3728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22142B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1A46AF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321C9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6355B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03A3D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52F4D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2427F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E5581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92BA4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55086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35BE4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55616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127CB1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6B0507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3D7A97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454DCE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904AA1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06FAB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43E81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5872CD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F43E59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7E04AC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602DE"/>
    <w:rsid w:val="635D4427"/>
    <w:rsid w:val="635F082F"/>
    <w:rsid w:val="63710CD7"/>
    <w:rsid w:val="637D427E"/>
    <w:rsid w:val="639114B0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31504"/>
    <w:rsid w:val="64B83FE9"/>
    <w:rsid w:val="64C76164"/>
    <w:rsid w:val="64D3186F"/>
    <w:rsid w:val="64EA5182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44326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95630D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8FD373A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85053D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DE182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818FA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380DE9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8224D"/>
    <w:rsid w:val="6CDF0F3A"/>
    <w:rsid w:val="6CE47854"/>
    <w:rsid w:val="6CE72999"/>
    <w:rsid w:val="6CF879E8"/>
    <w:rsid w:val="6D011AA2"/>
    <w:rsid w:val="6D0D25B8"/>
    <w:rsid w:val="6D181856"/>
    <w:rsid w:val="6D1A2893"/>
    <w:rsid w:val="6D2A2544"/>
    <w:rsid w:val="6D490A6B"/>
    <w:rsid w:val="6D4E3368"/>
    <w:rsid w:val="6D560CEB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C5358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0D6F7C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1C1033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14065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033F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60E8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106AB"/>
    <w:rsid w:val="7CDF4250"/>
    <w:rsid w:val="7CFB4344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4372</Words>
  <Characters>4877</Characters>
  <Lines>0</Lines>
  <Paragraphs>0</Paragraphs>
  <TotalTime>5</TotalTime>
  <ScaleCrop>false</ScaleCrop>
  <LinksUpToDate>false</LinksUpToDate>
  <CharactersWithSpaces>4943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