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3725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drawing>
          <wp:inline distT="0" distB="0" distL="114300" distR="114300">
            <wp:extent cx="5419725" cy="7074535"/>
            <wp:effectExtent l="0" t="0" r="5715" b="12065"/>
            <wp:docPr id="1" name="图片 1" descr="东站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东站小学"/>
                    <pic:cNvPicPr>
                      <a:picLocks noChangeAspect="1"/>
                    </pic:cNvPicPr>
                  </pic:nvPicPr>
                  <pic:blipFill>
                    <a:blip r:embed="rId5"/>
                    <a:stretch>
                      <a:fillRect/>
                    </a:stretch>
                  </pic:blipFill>
                  <pic:spPr>
                    <a:xfrm>
                      <a:off x="0" y="0"/>
                      <a:ext cx="5419725" cy="7074535"/>
                    </a:xfrm>
                    <a:prstGeom prst="rect">
                      <a:avLst/>
                    </a:prstGeom>
                  </pic:spPr>
                </pic:pic>
              </a:graphicData>
            </a:graphic>
          </wp:inline>
        </w:drawing>
      </w:r>
    </w:p>
    <w:p w14:paraId="0BD1C745">
      <w:pPr>
        <w:pStyle w:val="2"/>
        <w:ind w:left="0" w:leftChars="0" w:firstLine="0" w:firstLineChars="0"/>
        <w:rPr>
          <w:rFonts w:hint="eastAsia" w:ascii="方正小标宋简体" w:hAnsi="方正小标宋简体" w:eastAsia="方正小标宋简体" w:cs="方正小标宋简体"/>
          <w:spacing w:val="6"/>
          <w:sz w:val="44"/>
          <w:szCs w:val="44"/>
        </w:rPr>
      </w:pPr>
    </w:p>
    <w:p w14:paraId="35C1591A">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eastAsia" w:ascii="方正小标宋简体" w:hAnsi="方正小标宋简体" w:eastAsia="方正小标宋简体" w:cs="方正小标宋简体"/>
          <w:spacing w:val="6"/>
          <w:sz w:val="44"/>
          <w:szCs w:val="44"/>
        </w:rPr>
      </w:pPr>
    </w:p>
    <w:p w14:paraId="6CFD07C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岳阳市岳阳楼区东站小学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45F1A151">
      <w:pPr>
        <w:spacing w:line="283" w:lineRule="auto"/>
        <w:rPr>
          <w:rFonts w:ascii="Arial"/>
          <w:sz w:val="21"/>
        </w:rPr>
      </w:pPr>
    </w:p>
    <w:p w14:paraId="76D7C49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4C50DA0">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职能职责</w:t>
      </w:r>
    </w:p>
    <w:p w14:paraId="6AE3CE11">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宣传贯彻执行党和国家的教育方针、政策、法律法规等，坚持依法治教、依法治学，贯彻执行岳阳楼区教育局的行政规章制度。2、维护学校的教学秩序，为学生创造良好的学习环境。</w:t>
      </w:r>
    </w:p>
    <w:p w14:paraId="0DAC65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3、</w:t>
      </w:r>
      <w:r>
        <w:rPr>
          <w:rFonts w:hint="eastAsia" w:ascii="仿宋" w:hAnsi="仿宋" w:eastAsia="仿宋" w:cs="仿宋"/>
          <w:color w:val="333333"/>
          <w:sz w:val="30"/>
          <w:szCs w:val="30"/>
        </w:rPr>
        <w:t>积极稳妥地推进教育改革，按教育规律办事，不断提高教育质量。</w:t>
      </w:r>
    </w:p>
    <w:p w14:paraId="568228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115733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228B69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166A0F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4F6183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2E7BFC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本部门内设机构包括：校长室、学校办公室、教导处、</w:t>
      </w:r>
      <w:r>
        <w:rPr>
          <w:rFonts w:hint="eastAsia" w:ascii="仿宋" w:hAnsi="仿宋" w:eastAsia="仿宋" w:cs="仿宋"/>
          <w:color w:val="333333"/>
          <w:sz w:val="30"/>
          <w:szCs w:val="30"/>
          <w:lang w:val="en-US" w:eastAsia="zh-CN"/>
        </w:rPr>
        <w:t>德育处、安全办</w:t>
      </w:r>
      <w:r>
        <w:rPr>
          <w:rFonts w:hint="eastAsia" w:ascii="仿宋" w:hAnsi="仿宋" w:eastAsia="仿宋" w:cs="仿宋"/>
          <w:color w:val="333333"/>
          <w:sz w:val="30"/>
          <w:szCs w:val="30"/>
        </w:rPr>
        <w:t>、后勤处。根据编办核定，我校共有教职工</w:t>
      </w:r>
      <w:r>
        <w:rPr>
          <w:rFonts w:hint="eastAsia" w:ascii="仿宋" w:hAnsi="仿宋" w:eastAsia="仿宋" w:cs="仿宋"/>
          <w:color w:val="333333"/>
          <w:sz w:val="30"/>
          <w:szCs w:val="30"/>
          <w:lang w:val="en-US" w:eastAsia="zh-CN"/>
        </w:rPr>
        <w:t>64</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55</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9</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55</w:t>
      </w:r>
      <w:r>
        <w:rPr>
          <w:rFonts w:hint="eastAsia" w:ascii="仿宋" w:hAnsi="仿宋" w:eastAsia="仿宋" w:cs="仿宋"/>
          <w:color w:val="333333"/>
          <w:sz w:val="30"/>
          <w:szCs w:val="30"/>
        </w:rPr>
        <w:t>人。</w:t>
      </w:r>
    </w:p>
    <w:p w14:paraId="2C73CE3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73DFBC5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1：坚决落实五项管理要求，设立每周二为“无作业日”，真正把减负和五育并举育人目标落到实处。</w:t>
      </w:r>
    </w:p>
    <w:p w14:paraId="33D2464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2：深入贯彻上级教育部门安全工作部署，与公安部门合作，通过宣传教育、安全培训、交通管理和应急演练等形式，筑牢校园安全防线，创建 “平安校园，和谐校园”。</w:t>
      </w:r>
    </w:p>
    <w:p w14:paraId="289E44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52C291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4：学校精心打造了“東课程”体系，涵盖根、叶、花、冠四大课程群，着重强调学生六年实现六个“一”的目标。</w:t>
      </w:r>
    </w:p>
    <w:p w14:paraId="2293FE7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5：设立足球、游泳、啦啦操等品类丰富的艺体社团，开展多样化的体育活动，全面落实学生每天户外活动不低于2小时的育人目标。</w:t>
      </w:r>
    </w:p>
    <w:p w14:paraId="66EB6462">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C0DB69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02AE058E">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649.46</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64E33C3">
      <w:pPr>
        <w:spacing w:line="240" w:lineRule="auto"/>
        <w:ind w:firstLine="600" w:firstLineChars="200"/>
        <w:rPr>
          <w:rFonts w:hint="default" w:ascii="仿宋" w:hAnsi="仿宋" w:eastAsia="仿宋" w:cs="仿宋"/>
          <w:bCs/>
          <w:color w:val="auto"/>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515.76万元：包括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103.14</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29.81万元；奖金125.33万元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伙食补助费1.74万元；绩效工资66.34万元；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65.05万元；职业年金缴费10.84万元；职工基本医疗保险缴费22.09万元；其他社会保障缴费1.49万元；住房公积金70.26万元；其他工资福利17.72万元；</w:t>
      </w:r>
      <w:r>
        <w:rPr>
          <w:rFonts w:hint="eastAsia" w:ascii="仿宋" w:hAnsi="仿宋" w:eastAsia="仿宋" w:cs="仿宋"/>
          <w:bCs/>
          <w:color w:val="auto"/>
          <w:sz w:val="30"/>
          <w:szCs w:val="30"/>
          <w:lang w:val="en-US" w:eastAsia="zh-CN"/>
        </w:rPr>
        <w:t>生活补助0.50万元；奖励金1.25万元；助学金0.20万元。</w:t>
      </w:r>
    </w:p>
    <w:p w14:paraId="2E4B09CC">
      <w:pPr>
        <w:spacing w:line="240" w:lineRule="auto"/>
        <w:ind w:firstLine="600" w:firstLineChars="200"/>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133.70</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21.20</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20.59</w:t>
      </w:r>
      <w:r>
        <w:rPr>
          <w:rFonts w:hint="eastAsia" w:ascii="仿宋" w:hAnsi="仿宋" w:eastAsia="仿宋" w:cs="仿宋"/>
          <w:bCs/>
          <w:sz w:val="30"/>
          <w:szCs w:val="30"/>
        </w:rPr>
        <w:t>万元；咨询费</w:t>
      </w:r>
      <w:r>
        <w:rPr>
          <w:rFonts w:hint="eastAsia" w:ascii="仿宋" w:hAnsi="仿宋" w:eastAsia="仿宋" w:cs="仿宋"/>
          <w:bCs/>
          <w:sz w:val="30"/>
          <w:szCs w:val="30"/>
          <w:lang w:val="en-US" w:eastAsia="zh-CN"/>
        </w:rPr>
        <w:t>8.00万元；</w:t>
      </w:r>
      <w:r>
        <w:rPr>
          <w:rFonts w:hint="eastAsia" w:ascii="仿宋" w:hAnsi="仿宋" w:eastAsia="仿宋" w:cs="仿宋"/>
          <w:bCs/>
          <w:sz w:val="30"/>
          <w:szCs w:val="30"/>
        </w:rPr>
        <w:t>水费</w:t>
      </w:r>
      <w:r>
        <w:rPr>
          <w:rFonts w:hint="eastAsia" w:ascii="仿宋" w:hAnsi="仿宋" w:eastAsia="仿宋" w:cs="仿宋"/>
          <w:bCs/>
          <w:sz w:val="30"/>
          <w:szCs w:val="30"/>
          <w:lang w:val="en-US" w:eastAsia="zh-CN"/>
        </w:rPr>
        <w:t>3.16</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14.21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差旅费0.62万元；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5.39</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3.68</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0.02</w:t>
      </w:r>
      <w:r>
        <w:rPr>
          <w:rFonts w:hint="eastAsia" w:ascii="仿宋" w:hAnsi="仿宋" w:eastAsia="仿宋" w:cs="仿宋"/>
          <w:bCs/>
          <w:sz w:val="30"/>
          <w:szCs w:val="30"/>
        </w:rPr>
        <w:t>万元；专用燃料费</w:t>
      </w:r>
      <w:r>
        <w:rPr>
          <w:rFonts w:hint="eastAsia" w:ascii="仿宋" w:hAnsi="仿宋" w:eastAsia="仿宋" w:cs="仿宋"/>
          <w:bCs/>
          <w:sz w:val="30"/>
          <w:szCs w:val="30"/>
          <w:lang w:val="en-US" w:eastAsia="zh-CN"/>
        </w:rPr>
        <w:t>0.14万元；劳务费0.36万元；委托业务费</w:t>
      </w:r>
      <w:r>
        <w:rPr>
          <w:rFonts w:hint="eastAsia" w:ascii="仿宋" w:hAnsi="仿宋" w:eastAsia="仿宋" w:cs="仿宋"/>
          <w:bCs/>
          <w:sz w:val="30"/>
          <w:szCs w:val="30"/>
        </w:rPr>
        <w:t>2.99</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15.09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福利费2.17万元；其他交通费用0.88万元；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16.54万元；办公设备购置18.20万元；专用设备购置0.46万元。</w:t>
      </w:r>
    </w:p>
    <w:p w14:paraId="432B511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5013F74A">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435.23</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55D6891B">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48.70万元；津贴补贴9.46万元；奖金19.38万元；绩效工资16.48万元；机关事业单位基本养老保险缴费15.05万元；职工基本医疗保险缴费6.77万元；其他社会保障缴费2.04万元；住房公积金9.46万元；其他工资福利4.21万元；办公费6.08万元；印刷费22.93万元；水费6.61万元；电费25.69万元；物业管理费36.40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15.68</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1.40万元；培训费1.57万元；专用材料费87.63万元；劳务费0.20万元；委托业务费2.34万元；工会经费3.30万元；其他商品和服务支出83.37万元；退休费4.22万元；其他对个人和家庭的补助1.30万元；基础设施建设4.96万元。</w:t>
      </w:r>
    </w:p>
    <w:p w14:paraId="193B0EE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156DE9C">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50124D6C">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1B09BB58">
      <w:pPr>
        <w:pStyle w:val="2"/>
      </w:pPr>
      <w:r>
        <w:rPr>
          <w:rFonts w:hint="eastAsia" w:ascii="仿宋" w:hAnsi="仿宋" w:eastAsia="仿宋" w:cs="仿宋"/>
          <w:bCs/>
          <w:sz w:val="30"/>
          <w:szCs w:val="30"/>
          <w:lang w:val="en-US" w:eastAsia="zh-CN"/>
        </w:rPr>
        <w:t>本单位2024年年度国有资本经营预算支出0万元。</w:t>
      </w:r>
    </w:p>
    <w:p w14:paraId="02A402D0">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21816A99">
      <w:pPr>
        <w:pStyle w:val="2"/>
      </w:pPr>
      <w:r>
        <w:rPr>
          <w:rFonts w:hint="eastAsia" w:ascii="仿宋" w:hAnsi="仿宋" w:eastAsia="仿宋" w:cs="仿宋"/>
          <w:bCs/>
          <w:sz w:val="30"/>
          <w:szCs w:val="30"/>
          <w:lang w:val="en-US" w:eastAsia="zh-CN"/>
        </w:rPr>
        <w:t>本单位2024年年度社会保险基金预算支出0万元。</w:t>
      </w:r>
    </w:p>
    <w:p w14:paraId="2F33E8CB">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31C48688">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东站小学单位整体支出绩效情况进行全面剖析。旨在清晰呈现学校资金使用的全过程及效果，为后续优化管理提供有力依据。</w:t>
      </w:r>
    </w:p>
    <w:p w14:paraId="5073ABEC">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1255FFAA">
      <w:pPr>
        <w:numPr>
          <w:ilvl w:val="0"/>
          <w:numId w:val="6"/>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6DCCB487">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东站小学2023年正式建成使用。现有36个班级，学生1809人，现有在编教师69人，平均年龄30岁。其中副高级教师6人，一级教师25人，二级教师36人。现有省级名师1人，市级名师2人。拥有全日制研究生学历2人，双一流大学毕业生7人。学校秉行“为了每一个孩子的远方”的办学理念，秉持“一训三风”，各项工作取得了重大进展。</w:t>
      </w:r>
    </w:p>
    <w:p w14:paraId="69DC8155">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53D25B7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①深耕课堂。落实推门听评课，关注常态课质量。落实常规月查并及时反馈，做到“以检查促规范，以规范促提升”。将“项目化学习”引入学科教育，促进学生的深度学习和核心素养的养成。</w:t>
      </w:r>
    </w:p>
    <w:p w14:paraId="79E94CD5">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师资培养。一是搞好青蓝结对，充分发挥传帮带作用，积极组织青年教师加入名师工作室。二是做实校本培训。开展系列培训，让全体教师对学校办学理念、校园文化和课程体系内化于心。三是拓宽培训通道。鼓励教师充分利用网络资源和外出学习，今年我校共投入培训经费10余万元。</w:t>
      </w:r>
    </w:p>
    <w:p w14:paraId="403E02E4">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③聚焦阅读。</w:t>
      </w:r>
    </w:p>
    <w:p w14:paraId="61E8D790">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是通过开创“旭光阅读”，引导孩子们博览群书。每周一次的“阅读点灯人”（亲子阅读）活动，开展得有声有色，学校每周通过公众号进行发布。9月14日的“图书馆奇妙夜”活动，孩子们与老师一起搭帐篷、做手工、听故事、看电影，孩子们在书香诗韵中阅览中秋，尽享阅读的幸福感，被今日头条、岳阳日报等媒体争相报道。</w:t>
      </w:r>
    </w:p>
    <w:p w14:paraId="1AFF765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是扎实做好阅读教育“四个一”常规工作。即每天一节午读课、每周一节阅读课、每月一次阅读报告、每年一次大型阅读活动，获得了上级高度认可。11月，“岳阳楼区阅读教育名师工作室”在我校正式挂牌。12月6日，在全区阅读教育培训会议上，龚杏娥副校长代表我校做了典型经验介绍。</w:t>
      </w:r>
    </w:p>
    <w:p w14:paraId="769B98F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科研提升。以学科组为单位，每周开展专题教研活动及集体备课活动，组织全体新进教师汇报课、骨干教师示范课等活动，鼓励、支持骨干教师参加教育科研活动。目前，我校课题《基于“语文、文本、情感”目标的小学语文部编教材小练笔设计实践研究》已获湖南省基础教育教学改革研究课题立项。</w:t>
      </w:r>
    </w:p>
    <w:p w14:paraId="7AC3CB47">
      <w:pPr>
        <w:pStyle w:val="2"/>
        <w:ind w:left="0" w:leftChars="0"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办学成果（部分）</w:t>
      </w:r>
    </w:p>
    <w:p w14:paraId="2BA3DFC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国家中小学智慧教育平台实验校</w:t>
      </w:r>
    </w:p>
    <w:p w14:paraId="75CD39F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全国校园足球特色学校</w:t>
      </w:r>
    </w:p>
    <w:p w14:paraId="3D1384A7">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湖南省数字化教学示范校</w:t>
      </w:r>
    </w:p>
    <w:p w14:paraId="4E93EFB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湖南省劳动实验校</w:t>
      </w:r>
    </w:p>
    <w:p w14:paraId="1A098609">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湖南省幼小衔接实验校</w:t>
      </w:r>
    </w:p>
    <w:p w14:paraId="532ADC0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教育部教育考试院书画等级考试湖南考区书画特色示范基地</w:t>
      </w:r>
    </w:p>
    <w:p w14:paraId="6EB964F9">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教育部教育考试院书画等级考试湖南考区指定考点</w:t>
      </w:r>
    </w:p>
    <w:p w14:paraId="39505FF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岳阳市毒品预防教育示范校</w:t>
      </w:r>
    </w:p>
    <w:p w14:paraId="0AFCC3AF">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岳阳市中心城区文明食堂</w:t>
      </w:r>
    </w:p>
    <w:p w14:paraId="3B4DCC8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岳阳楼区书香校园</w:t>
      </w:r>
    </w:p>
    <w:p w14:paraId="1564025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2023年度经开区阅读教育工作先进单位</w:t>
      </w:r>
    </w:p>
    <w:p w14:paraId="33E1F6A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2023年度经开区城乡教育一体化建设工作先进单位2024年岳阳市中小学生运动会游泳项目小学甲组第一名；</w:t>
      </w:r>
    </w:p>
    <w:p w14:paraId="6B4637B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2024年岳阳市中小学生运动会游泳项目小学乙组第一名；</w:t>
      </w:r>
    </w:p>
    <w:p w14:paraId="240BFDC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学生成果（部分）</w:t>
      </w:r>
    </w:p>
    <w:p w14:paraId="323CED19">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2023年张跃获湖南省第十四届少儿才艺大赛书法组金奖；</w:t>
      </w:r>
    </w:p>
    <w:p w14:paraId="76905304">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2025年张一祎、戴子桐获湖南省“一手好字”书法大赛二等奖；</w:t>
      </w:r>
    </w:p>
    <w:p w14:paraId="15C8C5E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2025年青少年图形化编程大赛一等奖（吴欣瑶、卢煜晗、曾子昊）、二等奖（许俊杰）、三等奖（周梓萱）</w:t>
      </w:r>
    </w:p>
    <w:p w14:paraId="4B0B0BF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教师成果（部分）</w:t>
      </w:r>
    </w:p>
    <w:p w14:paraId="795104C5">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坚持采取“请进来”和“走出去”的发展理念，一方面多次邀请教育专家、一线骨干教师到学校举行讲座，组织老师开展多项专项培训。另一方面，大量组织教师外出学习培训，交流，学习先进教学理念和方法，学成返校后进行学习成果的分享、汇报，促进教师共同成长。</w:t>
      </w:r>
    </w:p>
    <w:p w14:paraId="24CC4A30">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湖南省微课评审大赛四个二等奖和五个三等奖；</w:t>
      </w:r>
    </w:p>
    <w:p w14:paraId="3433D84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湖南省2024年教师备课大赛三等奖；</w:t>
      </w:r>
    </w:p>
    <w:p w14:paraId="48A7CD9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湖南省第十四届少儿才艺大赛书法组优秀指导教师奖（李猜）</w:t>
      </w:r>
    </w:p>
    <w:p w14:paraId="6E014FE8">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湖南省教育厅举办的“‘1+1’直播课小学语文组用好精品课”二等奖（李丽、李佳苗）</w:t>
      </w:r>
    </w:p>
    <w:p w14:paraId="77CEEB1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岳阳市经典诵读比赛中荣获二等奖（龚思源）</w:t>
      </w:r>
    </w:p>
    <w:p w14:paraId="5686F91D">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课题论文</w:t>
      </w:r>
    </w:p>
    <w:p w14:paraId="7BBA685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课题：2023年10月，我校课题《智慧教育平台支持下小学教师备课方式转型与发展研究》被定为湖南省基础教育重点课题，现正在进行结题。2024年9月，经我校申报、省厅组织专家评审，我校“基于‘语用、文本、 情感’目标的小学语文部编教材小练笔设计实践研究”的湖南省基础教育改革项目立项成功，现正稳步推进中。</w:t>
      </w:r>
    </w:p>
    <w:p w14:paraId="688C796A">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2022年我校申请成为“国家中小学智慧教育平台创新应用实验校”，借助这一契机，学校积极推进智慧教育深入课堂实践，促进教学研一体化发展。2023年12月，学校根据湖南省教育厅开展的教育数字化优秀典型应用场景要求申报的“依托国家智慧教育平台，打造“1+N”教研共同体”项目，被评为“湖南省教育数字化优秀典型应用场景”，获省二等奖。</w:t>
      </w:r>
    </w:p>
    <w:p w14:paraId="012C26B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项目“依托国家智慧教育平台构建资源互联融通的教学研支持服务系统”荣获“2023年岳阳市教育数字化试点项目单位”</w:t>
      </w:r>
    </w:p>
    <w:p w14:paraId="6F0F1E2B">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论文：我校教师教研热情高、能力强。学校创办2年来，教师撰写论文50多篇，参与岳阳市教育科学研究院、湖南省教育学会、湖南省教育科学研究者协会等单位评选，多篇获省市级一、二等奖。勤于教研、深耕课堂的老师们感受到了研有所获、一路花开。</w:t>
      </w:r>
    </w:p>
    <w:p w14:paraId="53A147D4">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54CCD349">
      <w:pPr>
        <w:pStyle w:val="2"/>
        <w:rPr>
          <w:rFonts w:hint="eastAsia" w:ascii="仿宋" w:hAnsi="仿宋" w:eastAsia="仿宋" w:cs="仿宋"/>
          <w:sz w:val="30"/>
          <w:szCs w:val="30"/>
          <w:lang w:val="en-US" w:eastAsia="zh-CN"/>
        </w:rPr>
      </w:pPr>
      <w:r>
        <w:rPr>
          <w:rFonts w:hint="eastAsia" w:ascii="仿宋" w:hAnsi="仿宋" w:eastAsia="仿宋" w:cs="仿宋"/>
          <w:bCs/>
          <w:color w:val="auto"/>
          <w:sz w:val="30"/>
          <w:szCs w:val="30"/>
          <w:highlight w:val="none"/>
          <w:lang w:val="en-US" w:eastAsia="zh-CN"/>
        </w:rPr>
        <w:t>春、秋两季教育教学计划按时完成</w:t>
      </w:r>
      <w:r>
        <w:rPr>
          <w:rFonts w:hint="eastAsia" w:ascii="仿宋" w:hAnsi="仿宋" w:eastAsia="仿宋" w:cs="仿宋"/>
          <w:sz w:val="30"/>
          <w:szCs w:val="30"/>
          <w:lang w:val="en-US" w:eastAsia="zh-CN"/>
        </w:rPr>
        <w:t>。</w:t>
      </w:r>
    </w:p>
    <w:p w14:paraId="20343B75">
      <w:pPr>
        <w:pStyle w:val="2"/>
        <w:numPr>
          <w:ilvl w:val="0"/>
          <w:numId w:val="7"/>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0ED692AB">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Cs/>
          <w:color w:val="auto"/>
          <w:sz w:val="30"/>
          <w:szCs w:val="30"/>
          <w:highlight w:val="none"/>
          <w:lang w:val="en-US" w:eastAsia="zh-CN"/>
        </w:rPr>
        <w:t>严格控制“三公”经费列支，做到“三公”经费支出0万元</w:t>
      </w:r>
      <w:r>
        <w:rPr>
          <w:rFonts w:hint="eastAsia" w:ascii="仿宋" w:hAnsi="仿宋" w:eastAsia="仿宋" w:cs="仿宋"/>
          <w:sz w:val="30"/>
          <w:szCs w:val="30"/>
          <w:lang w:val="en-US" w:eastAsia="zh-CN"/>
        </w:rPr>
        <w:t>。</w:t>
      </w:r>
    </w:p>
    <w:p w14:paraId="5E0A3A42">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3F71F093">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778E40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19AC952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0BED85A3">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学校制定了3.5.10的发展规划（3年市级一流，5年省内知名，10年全国展露头角）。结合自身地域特点，创立了教育品牌——“旭教育”，明确了育人目标——培养“根植中华，行至世界”的东站学子。</w:t>
      </w:r>
    </w:p>
    <w:p w14:paraId="0DB16117">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学校秉行“为了每一个孩子的远方”的办学理念，以“自然教育”品牌为抓手，整合了涵盖根、叶、花、冠四大课程群的课程体系，让每个孩子在六年的校园生活中学会一项运动、体验一种乐器、掌握一门劳动技能、保持一直阅读、习得一手好字、涵养一生美育，努力实现“培养根植中华，行至世界的东站学子”育人目标。</w:t>
      </w:r>
    </w:p>
    <w:p w14:paraId="716C8C67">
      <w:pPr>
        <w:pStyle w:val="1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5E0E41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无污染。</w:t>
      </w:r>
    </w:p>
    <w:p w14:paraId="2A68F5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08F9B8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全面落实“双减”政策，积极推进“五项管理”工作，尊重学生个性多元化发展，我校结合学生成长需求与办学特色，深度融合校园各类资源，开设“机器人、编程、科学手工制作、篮球、足球、啦啦操、花式跳绳、创意美术、书法、播音主持、葫芦丝、舞蹈”等多彩社团，以兴趣为导向，助力孩子们挖掘内在潜质，促进个性化发展，演绎东站少年的别样风采。</w:t>
      </w:r>
    </w:p>
    <w:p w14:paraId="5A459147">
      <w:pPr>
        <w:pStyle w:val="2"/>
        <w:keepNext w:val="0"/>
        <w:keepLines w:val="0"/>
        <w:pageBreakBefore w:val="0"/>
        <w:widowControl w:val="0"/>
        <w:numPr>
          <w:ilvl w:val="0"/>
          <w:numId w:val="7"/>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3C00A7D">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学生满意度97%，家长满意度98%，教职工满意度99%。</w:t>
      </w:r>
    </w:p>
    <w:p w14:paraId="6718315D">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3DBF1908">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1.党支部核心灵魂引领作用有待增强。党员带头示范作用不够突出，思政教育缺乏直击灵魂的效果。</w:t>
      </w:r>
    </w:p>
    <w:p w14:paraId="4AAB19AA">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教师队伍建设还有很远的路要走。一是结构亟待优化，名师和骨干教师严重缺乏，顶岗教师占比过高；二是班子队伍建设有待加强，内部分工和考评机制不够完善。三是对教师的评价体系、评价标准还不够科学。</w:t>
      </w:r>
    </w:p>
    <w:p w14:paraId="71D3503E">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3.特色工作效果还不够突出。我校的部分优势教育项目虽然取得了初步成效，但整体上还处在起步阶段，特色还不明显，离创建一流名校的目标尚有一定差距。</w:t>
      </w:r>
    </w:p>
    <w:p w14:paraId="61C082C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7F4E061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1.紧紧围绕岳阳楼区教育高质量发展工作和局党委各项决策部署，并在日常工作中不断细化和践行。</w:t>
      </w:r>
    </w:p>
    <w:p w14:paraId="5E9E2B4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2.加强党支部核心引领作用。坚决发挥党支部的政治导向和价值导向作用，不断凝聚干部和教师队伍干事创业的雄心。</w:t>
      </w:r>
    </w:p>
    <w:p w14:paraId="0E4BB1C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3.加强队伍建设，通过交流、招聘、培训、轮岗等各种手段，打造一支思想进步、专业突出、作风扎实的教师和行政团队。</w:t>
      </w:r>
    </w:p>
    <w:p w14:paraId="5037D35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时刻铭记“培养根植中华，行至世界的东站学子”办学宗旨和“六个一”育人目标，以教育数字化、劳动教育、阅读教育、游泳等优势教育项目为依托，以全面提升学生核心素养，学生快乐健康成长为方向，办一所令人尊敬的学校。</w:t>
      </w:r>
    </w:p>
    <w:p w14:paraId="37BA5DA5">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A69619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东站小学在2024年度取得了较好的评价结果。体现在资金使用、项目管理、教育教学成果等多个方面的出色表现。在资金使用上，学校严格按照预算安排进行支出，确保资金使用的合理性和合规性。资产管理制度健全性、资产配置合理性、资产使用效率等指标表现良好。教学任务完成情况、师资队伍建设成果、校园建设与管理成效等方面均取得了显著成绩。同时将部门整体支出绩效自评报告在单位门户网站上进行公开，广泛接受社会监督。</w:t>
      </w:r>
    </w:p>
    <w:p w14:paraId="7F1F5A79">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3DC072F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53DC0B63">
      <w:pPr>
        <w:pStyle w:val="2"/>
        <w:rPr>
          <w:rFonts w:ascii="Arial"/>
          <w:sz w:val="21"/>
        </w:rPr>
      </w:pPr>
    </w:p>
    <w:p w14:paraId="5555531C">
      <w:pPr>
        <w:pStyle w:val="2"/>
        <w:rPr>
          <w:rFonts w:ascii="Arial"/>
          <w:sz w:val="21"/>
        </w:rPr>
      </w:pPr>
    </w:p>
    <w:p w14:paraId="59137F35">
      <w:pPr>
        <w:pStyle w:val="2"/>
        <w:rPr>
          <w:rFonts w:ascii="Arial"/>
          <w:sz w:val="21"/>
        </w:rPr>
      </w:pPr>
    </w:p>
    <w:p w14:paraId="3FB89C9E">
      <w:pPr>
        <w:pStyle w:val="2"/>
        <w:rPr>
          <w:rFonts w:ascii="Arial"/>
          <w:sz w:val="21"/>
        </w:rPr>
      </w:pPr>
    </w:p>
    <w:p w14:paraId="15886375">
      <w:pPr>
        <w:pStyle w:val="2"/>
        <w:rPr>
          <w:rFonts w:ascii="Arial"/>
          <w:sz w:val="21"/>
        </w:rPr>
      </w:pPr>
    </w:p>
    <w:p w14:paraId="2D59BFA8">
      <w:pPr>
        <w:pStyle w:val="2"/>
        <w:rPr>
          <w:rFonts w:ascii="Arial"/>
          <w:sz w:val="21"/>
        </w:rPr>
      </w:pPr>
    </w:p>
    <w:p w14:paraId="671E8F91">
      <w:pPr>
        <w:pStyle w:val="4"/>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00ABE79">
      <w:pPr>
        <w:pStyle w:val="4"/>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200F69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70B0D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8C3E753">
      <w:pPr>
        <w:pStyle w:val="2"/>
        <w:rPr>
          <w:rFonts w:hint="eastAsia" w:ascii="黑体" w:hAnsi="黑体" w:eastAsia="黑体" w:cs="黑体"/>
          <w:b w:val="0"/>
          <w:bCs w:val="0"/>
          <w:color w:val="000000"/>
          <w:spacing w:val="10"/>
          <w:sz w:val="32"/>
          <w:szCs w:val="32"/>
          <w:lang w:eastAsia="zh-CN"/>
        </w:rPr>
      </w:pPr>
    </w:p>
    <w:p w14:paraId="7DB66A4F">
      <w:pPr>
        <w:pStyle w:val="2"/>
        <w:rPr>
          <w:rFonts w:hint="eastAsia" w:ascii="黑体" w:hAnsi="黑体" w:eastAsia="黑体" w:cs="黑体"/>
          <w:b w:val="0"/>
          <w:bCs w:val="0"/>
          <w:color w:val="000000"/>
          <w:spacing w:val="10"/>
          <w:sz w:val="32"/>
          <w:szCs w:val="32"/>
          <w:lang w:eastAsia="zh-CN"/>
        </w:rPr>
      </w:pPr>
    </w:p>
    <w:p w14:paraId="019F72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5BC6A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7578ABE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bookmarkStart w:id="0" w:name="_GoBack"/>
      <w:bookmarkEnd w:id="0"/>
    </w:p>
    <w:p w14:paraId="053407C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54DB8DF8">
      <w:pPr>
        <w:spacing w:line="115" w:lineRule="exact"/>
        <w:rPr>
          <w:color w:val="000000"/>
        </w:rPr>
      </w:pPr>
    </w:p>
    <w:tbl>
      <w:tblPr>
        <w:tblStyle w:val="11"/>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7079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03C93CC8">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2852425D">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w:t>
            </w:r>
            <w:r>
              <w:rPr>
                <w:rFonts w:hint="eastAsia" w:ascii="宋体" w:hAnsi="宋体" w:eastAsia="宋体" w:cs="宋体"/>
                <w:color w:val="000000"/>
                <w:spacing w:val="-2"/>
                <w:sz w:val="22"/>
                <w:szCs w:val="22"/>
                <w:lang w:val="en-US" w:eastAsia="zh-CN"/>
              </w:rPr>
              <w:t>东站小学</w:t>
            </w:r>
          </w:p>
        </w:tc>
      </w:tr>
      <w:tr w14:paraId="222F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75564939">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136A516D">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428F8835">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154043D0">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16E6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288A1B32">
            <w:pPr>
              <w:jc w:val="left"/>
              <w:rPr>
                <w:rFonts w:hint="eastAsia" w:ascii="宋体" w:hAnsi="宋体" w:eastAsia="宋体" w:cs="宋体"/>
                <w:color w:val="000000"/>
                <w:sz w:val="22"/>
                <w:szCs w:val="22"/>
              </w:rPr>
            </w:pPr>
          </w:p>
        </w:tc>
        <w:tc>
          <w:tcPr>
            <w:tcW w:w="2124" w:type="dxa"/>
            <w:gridSpan w:val="2"/>
            <w:noWrap w:val="0"/>
            <w:vAlign w:val="top"/>
          </w:tcPr>
          <w:p w14:paraId="68EC7EEC">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55</w:t>
            </w:r>
          </w:p>
        </w:tc>
        <w:tc>
          <w:tcPr>
            <w:tcW w:w="2232" w:type="dxa"/>
            <w:gridSpan w:val="2"/>
            <w:noWrap w:val="0"/>
            <w:vAlign w:val="top"/>
          </w:tcPr>
          <w:p w14:paraId="55AB1BB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88</w:t>
            </w:r>
          </w:p>
        </w:tc>
        <w:tc>
          <w:tcPr>
            <w:tcW w:w="2208" w:type="dxa"/>
            <w:gridSpan w:val="2"/>
            <w:noWrap w:val="0"/>
            <w:vAlign w:val="top"/>
          </w:tcPr>
          <w:p w14:paraId="350798F4">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160.00%</w:t>
            </w:r>
          </w:p>
        </w:tc>
      </w:tr>
      <w:tr w14:paraId="1AA4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7F765122">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1A764073">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211CB7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02D61191">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7DA5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CBF22BF">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04E2049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F4B2F6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00D41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754E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15C6B94A">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3770832E">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E8587D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0A5E76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FC38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5B67B9A6">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4D726AE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F078E19">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918AEB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65F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1CE3D1B">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69375B7F">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AFC668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69CCACF">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635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4BA76064">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4233C4A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06798A05">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9DD335F">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C7B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10F94AA">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CAEB4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222D6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3A110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1C1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0C35759">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12CBC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1E810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19E57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435.23</w:t>
            </w:r>
          </w:p>
        </w:tc>
      </w:tr>
      <w:tr w14:paraId="623C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78601382">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2F4F89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57CCF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3D879E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435.23</w:t>
            </w:r>
          </w:p>
        </w:tc>
      </w:tr>
      <w:tr w14:paraId="6320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779A445B">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1AA439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78233E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71C1E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B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3FCE8D34">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073801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7164AB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2D6E6B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83E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5C036585">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03B64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3940DE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F2A7C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3E0AF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7280CA0D">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409854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center"/>
          </w:tcPr>
          <w:p w14:paraId="23DDF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133.7</w:t>
            </w:r>
            <w:r>
              <w:rPr>
                <w:rFonts w:hint="eastAsia" w:ascii="宋体" w:hAnsi="宋体" w:eastAsia="宋体" w:cs="宋体"/>
                <w:color w:val="000000"/>
                <w:sz w:val="22"/>
                <w:szCs w:val="22"/>
                <w:lang w:val="en-US" w:eastAsia="zh-CN"/>
              </w:rPr>
              <w:t>0</w:t>
            </w:r>
          </w:p>
        </w:tc>
        <w:tc>
          <w:tcPr>
            <w:tcW w:w="2208" w:type="dxa"/>
            <w:gridSpan w:val="2"/>
            <w:shd w:val="clear" w:color="auto" w:fill="auto"/>
            <w:noWrap w:val="0"/>
            <w:vAlign w:val="center"/>
          </w:tcPr>
          <w:p w14:paraId="46987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133.7</w:t>
            </w:r>
            <w:r>
              <w:rPr>
                <w:rFonts w:hint="eastAsia" w:ascii="宋体" w:hAnsi="宋体" w:eastAsia="宋体" w:cs="宋体"/>
                <w:color w:val="000000"/>
                <w:sz w:val="22"/>
                <w:szCs w:val="22"/>
                <w:lang w:val="en-US" w:eastAsia="zh-CN"/>
              </w:rPr>
              <w:t>0</w:t>
            </w:r>
          </w:p>
        </w:tc>
      </w:tr>
      <w:tr w14:paraId="2FB9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55D902A">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6E9F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36480C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21.2</w:t>
            </w:r>
            <w:r>
              <w:rPr>
                <w:rFonts w:hint="eastAsia" w:ascii="宋体" w:hAnsi="宋体" w:eastAsia="宋体" w:cs="宋体"/>
                <w:color w:val="000000"/>
                <w:sz w:val="22"/>
                <w:szCs w:val="22"/>
                <w:lang w:val="en-US" w:eastAsia="zh-CN"/>
              </w:rPr>
              <w:t>0</w:t>
            </w:r>
          </w:p>
        </w:tc>
        <w:tc>
          <w:tcPr>
            <w:tcW w:w="2208" w:type="dxa"/>
            <w:gridSpan w:val="2"/>
            <w:shd w:val="clear" w:color="auto" w:fill="auto"/>
            <w:noWrap w:val="0"/>
            <w:vAlign w:val="top"/>
          </w:tcPr>
          <w:p w14:paraId="3B9E9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21.2</w:t>
            </w:r>
            <w:r>
              <w:rPr>
                <w:rFonts w:hint="eastAsia" w:ascii="宋体" w:hAnsi="宋体" w:eastAsia="宋体" w:cs="宋体"/>
                <w:color w:val="000000"/>
                <w:sz w:val="22"/>
                <w:szCs w:val="22"/>
                <w:lang w:val="en-US" w:eastAsia="zh-CN"/>
              </w:rPr>
              <w:t>0</w:t>
            </w:r>
          </w:p>
        </w:tc>
      </w:tr>
      <w:tr w14:paraId="609A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441D204">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4096D8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645D8C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17.99</w:t>
            </w:r>
          </w:p>
        </w:tc>
        <w:tc>
          <w:tcPr>
            <w:tcW w:w="2208" w:type="dxa"/>
            <w:gridSpan w:val="2"/>
            <w:shd w:val="clear" w:color="auto" w:fill="auto"/>
            <w:noWrap w:val="0"/>
            <w:vAlign w:val="top"/>
          </w:tcPr>
          <w:p w14:paraId="1B2237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17.99</w:t>
            </w:r>
          </w:p>
        </w:tc>
      </w:tr>
      <w:tr w14:paraId="34C5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525EAE5B">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63E3EC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136743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3.68</w:t>
            </w:r>
          </w:p>
        </w:tc>
        <w:tc>
          <w:tcPr>
            <w:tcW w:w="2208" w:type="dxa"/>
            <w:gridSpan w:val="2"/>
            <w:shd w:val="clear" w:color="auto" w:fill="auto"/>
            <w:noWrap w:val="0"/>
            <w:vAlign w:val="top"/>
          </w:tcPr>
          <w:p w14:paraId="194F6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3.68</w:t>
            </w:r>
          </w:p>
        </w:tc>
      </w:tr>
      <w:tr w14:paraId="328C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7CA56296">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240456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center"/>
          </w:tcPr>
          <w:p w14:paraId="3337C3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209.00</w:t>
            </w:r>
          </w:p>
        </w:tc>
        <w:tc>
          <w:tcPr>
            <w:tcW w:w="2208" w:type="dxa"/>
            <w:gridSpan w:val="2"/>
            <w:shd w:val="clear" w:color="auto" w:fill="auto"/>
            <w:noWrap w:val="0"/>
            <w:vAlign w:val="center"/>
          </w:tcPr>
          <w:p w14:paraId="1EAAF9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209.00</w:t>
            </w:r>
          </w:p>
        </w:tc>
      </w:tr>
      <w:tr w14:paraId="282F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E1561D6">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15F81F20">
            <w:pPr>
              <w:jc w:val="center"/>
              <w:rPr>
                <w:rFonts w:hint="eastAsia" w:ascii="宋体" w:hAnsi="宋体" w:eastAsia="宋体" w:cs="宋体"/>
                <w:color w:val="000000"/>
                <w:sz w:val="22"/>
                <w:szCs w:val="22"/>
              </w:rPr>
            </w:pPr>
          </w:p>
        </w:tc>
        <w:tc>
          <w:tcPr>
            <w:tcW w:w="2232" w:type="dxa"/>
            <w:gridSpan w:val="2"/>
            <w:noWrap w:val="0"/>
            <w:vAlign w:val="top"/>
          </w:tcPr>
          <w:p w14:paraId="2F3EE908">
            <w:pPr>
              <w:jc w:val="center"/>
              <w:rPr>
                <w:rFonts w:hint="eastAsia" w:ascii="宋体" w:hAnsi="宋体" w:eastAsia="宋体" w:cs="宋体"/>
                <w:color w:val="000000"/>
                <w:sz w:val="22"/>
                <w:szCs w:val="22"/>
              </w:rPr>
            </w:pPr>
          </w:p>
        </w:tc>
        <w:tc>
          <w:tcPr>
            <w:tcW w:w="2208" w:type="dxa"/>
            <w:gridSpan w:val="2"/>
            <w:noWrap w:val="0"/>
            <w:vAlign w:val="top"/>
          </w:tcPr>
          <w:p w14:paraId="07F16754">
            <w:pPr>
              <w:jc w:val="center"/>
              <w:rPr>
                <w:rFonts w:hint="eastAsia" w:ascii="宋体" w:hAnsi="宋体" w:eastAsia="宋体" w:cs="宋体"/>
                <w:color w:val="000000"/>
                <w:sz w:val="22"/>
                <w:szCs w:val="22"/>
              </w:rPr>
            </w:pPr>
          </w:p>
        </w:tc>
      </w:tr>
      <w:tr w14:paraId="40D1A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0F071544">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1FF5AEFD">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1FB49D5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F264F6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62E98E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46728AA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0B69A2D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103894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571541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1A10325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2C5FF5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1C135D0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2B48F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3B32F041">
            <w:pPr>
              <w:jc w:val="left"/>
              <w:rPr>
                <w:rFonts w:hint="eastAsia" w:ascii="宋体" w:hAnsi="宋体" w:eastAsia="宋体" w:cs="宋体"/>
                <w:color w:val="000000"/>
                <w:sz w:val="22"/>
                <w:szCs w:val="22"/>
              </w:rPr>
            </w:pPr>
          </w:p>
        </w:tc>
        <w:tc>
          <w:tcPr>
            <w:tcW w:w="1176" w:type="dxa"/>
            <w:noWrap w:val="0"/>
            <w:vAlign w:val="top"/>
          </w:tcPr>
          <w:p w14:paraId="31A4A326">
            <w:pPr>
              <w:rPr>
                <w:rFonts w:hint="eastAsia" w:ascii="宋体" w:hAnsi="宋体" w:eastAsia="宋体" w:cs="宋体"/>
                <w:color w:val="000000"/>
                <w:sz w:val="22"/>
                <w:szCs w:val="22"/>
              </w:rPr>
            </w:pPr>
          </w:p>
        </w:tc>
        <w:tc>
          <w:tcPr>
            <w:tcW w:w="948" w:type="dxa"/>
            <w:noWrap w:val="0"/>
            <w:vAlign w:val="top"/>
          </w:tcPr>
          <w:p w14:paraId="33EDDF1C">
            <w:pPr>
              <w:rPr>
                <w:rFonts w:hint="eastAsia" w:ascii="宋体" w:hAnsi="宋体" w:eastAsia="宋体" w:cs="宋体"/>
                <w:color w:val="000000"/>
                <w:sz w:val="22"/>
                <w:szCs w:val="22"/>
              </w:rPr>
            </w:pPr>
          </w:p>
        </w:tc>
        <w:tc>
          <w:tcPr>
            <w:tcW w:w="1176" w:type="dxa"/>
            <w:noWrap w:val="0"/>
            <w:vAlign w:val="top"/>
          </w:tcPr>
          <w:p w14:paraId="24E3E343">
            <w:pPr>
              <w:rPr>
                <w:rFonts w:hint="eastAsia" w:ascii="宋体" w:hAnsi="宋体" w:eastAsia="宋体" w:cs="宋体"/>
                <w:color w:val="000000"/>
                <w:sz w:val="22"/>
                <w:szCs w:val="22"/>
              </w:rPr>
            </w:pPr>
          </w:p>
        </w:tc>
        <w:tc>
          <w:tcPr>
            <w:tcW w:w="1056" w:type="dxa"/>
            <w:noWrap w:val="0"/>
            <w:vAlign w:val="top"/>
          </w:tcPr>
          <w:p w14:paraId="1076F5EA">
            <w:pPr>
              <w:rPr>
                <w:rFonts w:hint="eastAsia" w:ascii="宋体" w:hAnsi="宋体" w:eastAsia="宋体" w:cs="宋体"/>
                <w:color w:val="000000"/>
                <w:sz w:val="22"/>
                <w:szCs w:val="22"/>
              </w:rPr>
            </w:pPr>
          </w:p>
        </w:tc>
        <w:tc>
          <w:tcPr>
            <w:tcW w:w="1056" w:type="dxa"/>
            <w:noWrap w:val="0"/>
            <w:vAlign w:val="top"/>
          </w:tcPr>
          <w:p w14:paraId="3A941D80">
            <w:pPr>
              <w:rPr>
                <w:rFonts w:hint="eastAsia" w:ascii="宋体" w:hAnsi="宋体" w:eastAsia="宋体" w:cs="宋体"/>
                <w:color w:val="000000"/>
                <w:sz w:val="22"/>
                <w:szCs w:val="22"/>
              </w:rPr>
            </w:pPr>
          </w:p>
        </w:tc>
        <w:tc>
          <w:tcPr>
            <w:tcW w:w="1152" w:type="dxa"/>
            <w:noWrap w:val="0"/>
            <w:vAlign w:val="top"/>
          </w:tcPr>
          <w:p w14:paraId="15F6D5E4">
            <w:pPr>
              <w:rPr>
                <w:rFonts w:hint="eastAsia" w:ascii="宋体" w:hAnsi="宋体" w:eastAsia="宋体" w:cs="宋体"/>
                <w:color w:val="000000"/>
                <w:sz w:val="22"/>
                <w:szCs w:val="22"/>
              </w:rPr>
            </w:pPr>
          </w:p>
        </w:tc>
      </w:tr>
      <w:tr w14:paraId="2F86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2424555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pacing w:val="1"/>
                <w:sz w:val="22"/>
                <w:szCs w:val="22"/>
              </w:rPr>
            </w:pPr>
          </w:p>
          <w:p w14:paraId="6F4A549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32D895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精简会议支出，严格执行会议开支标准；严控资产购置，提高资产使用效率</w:t>
            </w:r>
            <w:r>
              <w:rPr>
                <w:rFonts w:hint="eastAsia" w:ascii="宋体" w:hAnsi="宋体" w:eastAsia="宋体" w:cs="宋体"/>
                <w:color w:val="000000"/>
                <w:sz w:val="22"/>
                <w:szCs w:val="22"/>
                <w:lang w:eastAsia="zh-CN"/>
              </w:rPr>
              <w:t>。</w:t>
            </w:r>
          </w:p>
        </w:tc>
      </w:tr>
    </w:tbl>
    <w:p w14:paraId="6B801695">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2248CB7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郭琪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联系电话：15700809611</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2025年7月10日</w:t>
      </w:r>
    </w:p>
    <w:p w14:paraId="46AB35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4A2888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2BABD126">
      <w:pPr>
        <w:spacing w:line="132" w:lineRule="exact"/>
      </w:pPr>
    </w:p>
    <w:tbl>
      <w:tblPr>
        <w:tblStyle w:val="11"/>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5DDE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42B62F79">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0DF8529C">
            <w:pPr>
              <w:pStyle w:val="12"/>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岳阳市岳阳楼区东站小学</w:t>
            </w:r>
          </w:p>
        </w:tc>
      </w:tr>
      <w:tr w14:paraId="614F4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2A47546E">
            <w:pPr>
              <w:pStyle w:val="12"/>
              <w:spacing w:line="467" w:lineRule="auto"/>
              <w:rPr>
                <w:rFonts w:hint="eastAsia" w:ascii="宋体" w:hAnsi="宋体" w:eastAsia="宋体" w:cs="宋体"/>
                <w:spacing w:val="2"/>
                <w:kern w:val="2"/>
                <w:sz w:val="18"/>
                <w:szCs w:val="18"/>
                <w:lang w:val="en-US" w:eastAsia="zh-CN" w:bidi="ar-SA"/>
              </w:rPr>
            </w:pPr>
          </w:p>
          <w:p w14:paraId="440A2339">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74D04740">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35265DF7">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26A520E4">
            <w:pPr>
              <w:pStyle w:val="12"/>
              <w:spacing w:line="235" w:lineRule="exact"/>
              <w:rPr>
                <w:rFonts w:hint="eastAsia" w:ascii="宋体" w:hAnsi="宋体" w:eastAsia="宋体" w:cs="宋体"/>
                <w:sz w:val="18"/>
                <w:szCs w:val="18"/>
              </w:rPr>
            </w:pPr>
          </w:p>
        </w:tc>
        <w:tc>
          <w:tcPr>
            <w:tcW w:w="1332" w:type="dxa"/>
            <w:noWrap w:val="0"/>
            <w:vAlign w:val="top"/>
          </w:tcPr>
          <w:p w14:paraId="1951CB3D">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1766A5A8">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1CEE53CD">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6F5DDFB0">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04CD2AC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395E1CC0">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99ED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166E8A2">
            <w:pPr>
              <w:pStyle w:val="12"/>
              <w:rPr>
                <w:rFonts w:hint="eastAsia" w:ascii="宋体" w:hAnsi="宋体" w:eastAsia="宋体" w:cs="宋体"/>
                <w:sz w:val="18"/>
                <w:szCs w:val="18"/>
              </w:rPr>
            </w:pPr>
          </w:p>
        </w:tc>
        <w:tc>
          <w:tcPr>
            <w:tcW w:w="2088" w:type="dxa"/>
            <w:gridSpan w:val="2"/>
            <w:noWrap w:val="0"/>
            <w:vAlign w:val="top"/>
          </w:tcPr>
          <w:p w14:paraId="74E2EF48">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0B0D4C16">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589.76</w:t>
            </w:r>
          </w:p>
        </w:tc>
        <w:tc>
          <w:tcPr>
            <w:tcW w:w="1584" w:type="dxa"/>
            <w:noWrap w:val="0"/>
            <w:vAlign w:val="center"/>
          </w:tcPr>
          <w:p w14:paraId="0D1E38CF">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1094.69</w:t>
            </w:r>
          </w:p>
        </w:tc>
        <w:tc>
          <w:tcPr>
            <w:tcW w:w="1164" w:type="dxa"/>
            <w:noWrap w:val="0"/>
            <w:vAlign w:val="center"/>
          </w:tcPr>
          <w:p w14:paraId="5ECDC6B0">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1084.69</w:t>
            </w:r>
          </w:p>
        </w:tc>
        <w:tc>
          <w:tcPr>
            <w:tcW w:w="576" w:type="dxa"/>
            <w:noWrap w:val="0"/>
            <w:vAlign w:val="top"/>
          </w:tcPr>
          <w:p w14:paraId="2154D25A">
            <w:pPr>
              <w:pStyle w:val="12"/>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1C2F6A90">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99.09%</w:t>
            </w:r>
          </w:p>
        </w:tc>
        <w:tc>
          <w:tcPr>
            <w:tcW w:w="1236" w:type="dxa"/>
            <w:noWrap w:val="0"/>
            <w:vAlign w:val="top"/>
          </w:tcPr>
          <w:p w14:paraId="1A110CAB">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9.91</w:t>
            </w:r>
          </w:p>
        </w:tc>
      </w:tr>
      <w:tr w14:paraId="705F1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776C4CD">
            <w:pPr>
              <w:pStyle w:val="12"/>
              <w:rPr>
                <w:rFonts w:hint="eastAsia" w:ascii="宋体" w:hAnsi="宋体" w:eastAsia="宋体" w:cs="宋体"/>
                <w:sz w:val="18"/>
                <w:szCs w:val="18"/>
              </w:rPr>
            </w:pPr>
          </w:p>
        </w:tc>
        <w:tc>
          <w:tcPr>
            <w:tcW w:w="5004" w:type="dxa"/>
            <w:gridSpan w:val="4"/>
            <w:noWrap w:val="0"/>
            <w:vAlign w:val="center"/>
          </w:tcPr>
          <w:p w14:paraId="4FCE2B6F">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C3CA210">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0B39F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1B816C02">
            <w:pPr>
              <w:pStyle w:val="12"/>
              <w:rPr>
                <w:rFonts w:hint="eastAsia" w:ascii="宋体" w:hAnsi="宋体" w:eastAsia="宋体" w:cs="宋体"/>
                <w:sz w:val="18"/>
                <w:szCs w:val="18"/>
              </w:rPr>
            </w:pPr>
          </w:p>
        </w:tc>
        <w:tc>
          <w:tcPr>
            <w:tcW w:w="5004" w:type="dxa"/>
            <w:gridSpan w:val="4"/>
            <w:noWrap w:val="0"/>
            <w:vAlign w:val="center"/>
          </w:tcPr>
          <w:p w14:paraId="57BDDD64">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744.09</w:t>
            </w:r>
          </w:p>
        </w:tc>
        <w:tc>
          <w:tcPr>
            <w:tcW w:w="3936" w:type="dxa"/>
            <w:gridSpan w:val="4"/>
            <w:noWrap w:val="0"/>
            <w:vAlign w:val="center"/>
          </w:tcPr>
          <w:p w14:paraId="7D26C24E">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649.46</w:t>
            </w:r>
          </w:p>
        </w:tc>
      </w:tr>
      <w:tr w14:paraId="74755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762919A">
            <w:pPr>
              <w:pStyle w:val="12"/>
              <w:rPr>
                <w:rFonts w:hint="eastAsia" w:ascii="宋体" w:hAnsi="宋体" w:eastAsia="宋体" w:cs="宋体"/>
                <w:sz w:val="18"/>
                <w:szCs w:val="18"/>
              </w:rPr>
            </w:pPr>
          </w:p>
        </w:tc>
        <w:tc>
          <w:tcPr>
            <w:tcW w:w="5004" w:type="dxa"/>
            <w:gridSpan w:val="4"/>
            <w:noWrap w:val="0"/>
            <w:vAlign w:val="center"/>
          </w:tcPr>
          <w:p w14:paraId="6F58DA29">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6D7E8B49">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435.23</w:t>
            </w:r>
          </w:p>
        </w:tc>
      </w:tr>
      <w:tr w14:paraId="34EC5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606D401">
            <w:pPr>
              <w:pStyle w:val="12"/>
              <w:rPr>
                <w:rFonts w:hint="eastAsia" w:ascii="宋体" w:hAnsi="宋体" w:eastAsia="宋体" w:cs="宋体"/>
                <w:sz w:val="18"/>
                <w:szCs w:val="18"/>
              </w:rPr>
            </w:pPr>
          </w:p>
        </w:tc>
        <w:tc>
          <w:tcPr>
            <w:tcW w:w="5004" w:type="dxa"/>
            <w:gridSpan w:val="4"/>
            <w:noWrap w:val="0"/>
            <w:vAlign w:val="center"/>
          </w:tcPr>
          <w:p w14:paraId="4C2F2D47">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2FE25192">
            <w:pPr>
              <w:spacing w:line="239" w:lineRule="exact"/>
              <w:jc w:val="left"/>
              <w:rPr>
                <w:rFonts w:hint="eastAsia" w:ascii="宋体" w:hAnsi="宋体" w:eastAsia="宋体" w:cs="宋体"/>
                <w:spacing w:val="8"/>
                <w:sz w:val="18"/>
                <w:szCs w:val="18"/>
              </w:rPr>
            </w:pPr>
          </w:p>
        </w:tc>
      </w:tr>
      <w:tr w14:paraId="52E50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732C38E3">
            <w:pPr>
              <w:pStyle w:val="12"/>
              <w:rPr>
                <w:rFonts w:hint="eastAsia" w:ascii="宋体" w:hAnsi="宋体" w:eastAsia="宋体" w:cs="宋体"/>
                <w:sz w:val="18"/>
                <w:szCs w:val="18"/>
              </w:rPr>
            </w:pPr>
          </w:p>
        </w:tc>
        <w:tc>
          <w:tcPr>
            <w:tcW w:w="5004" w:type="dxa"/>
            <w:gridSpan w:val="4"/>
            <w:noWrap w:val="0"/>
            <w:vAlign w:val="center"/>
          </w:tcPr>
          <w:p w14:paraId="0F2B3A0B">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340.60</w:t>
            </w:r>
          </w:p>
        </w:tc>
        <w:tc>
          <w:tcPr>
            <w:tcW w:w="3936" w:type="dxa"/>
            <w:gridSpan w:val="4"/>
            <w:noWrap w:val="0"/>
            <w:vAlign w:val="center"/>
          </w:tcPr>
          <w:p w14:paraId="1CD60C5F">
            <w:pPr>
              <w:spacing w:line="240" w:lineRule="exact"/>
              <w:jc w:val="left"/>
              <w:rPr>
                <w:rFonts w:hint="eastAsia" w:ascii="宋体" w:hAnsi="宋体" w:eastAsia="宋体" w:cs="宋体"/>
                <w:spacing w:val="8"/>
                <w:sz w:val="18"/>
                <w:szCs w:val="18"/>
              </w:rPr>
            </w:pPr>
          </w:p>
        </w:tc>
      </w:tr>
      <w:tr w14:paraId="2FFC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5FBFFCA">
            <w:pPr>
              <w:pStyle w:val="12"/>
              <w:spacing w:line="242" w:lineRule="auto"/>
              <w:rPr>
                <w:rFonts w:hint="eastAsia" w:ascii="宋体" w:hAnsi="宋体" w:eastAsia="宋体" w:cs="宋体"/>
                <w:sz w:val="18"/>
                <w:szCs w:val="18"/>
              </w:rPr>
            </w:pPr>
          </w:p>
          <w:p w14:paraId="755CE0D1">
            <w:pPr>
              <w:spacing w:before="62" w:line="230" w:lineRule="auto"/>
              <w:ind w:left="382" w:right="139" w:hanging="232"/>
              <w:rPr>
                <w:rFonts w:hint="eastAsia" w:ascii="宋体" w:hAnsi="宋体" w:eastAsia="宋体" w:cs="宋体"/>
                <w:kern w:val="2"/>
                <w:sz w:val="18"/>
                <w:szCs w:val="18"/>
                <w:lang w:val="en-US" w:eastAsia="en-US" w:bidi="ar-SA"/>
              </w:rPr>
            </w:pPr>
          </w:p>
          <w:p w14:paraId="7C9ED556">
            <w:pPr>
              <w:spacing w:before="62" w:line="230" w:lineRule="auto"/>
              <w:ind w:left="382" w:right="139" w:hanging="232"/>
              <w:rPr>
                <w:rFonts w:hint="eastAsia" w:ascii="宋体" w:hAnsi="宋体" w:eastAsia="宋体" w:cs="宋体"/>
                <w:kern w:val="2"/>
                <w:sz w:val="18"/>
                <w:szCs w:val="18"/>
                <w:lang w:val="en-US" w:eastAsia="en-US" w:bidi="ar-SA"/>
              </w:rPr>
            </w:pPr>
          </w:p>
          <w:p w14:paraId="15BAD3CF">
            <w:pPr>
              <w:spacing w:before="62" w:line="230" w:lineRule="auto"/>
              <w:ind w:left="358" w:leftChars="85" w:right="139" w:hanging="180" w:hangingChars="100"/>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3924673C">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3DCB8822">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15E74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45ABDF6">
            <w:pPr>
              <w:pStyle w:val="12"/>
              <w:rPr>
                <w:rFonts w:hint="eastAsia" w:ascii="宋体" w:hAnsi="宋体" w:eastAsia="宋体" w:cs="宋体"/>
                <w:sz w:val="18"/>
                <w:szCs w:val="18"/>
              </w:rPr>
            </w:pPr>
          </w:p>
        </w:tc>
        <w:tc>
          <w:tcPr>
            <w:tcW w:w="5004" w:type="dxa"/>
            <w:gridSpan w:val="4"/>
            <w:noWrap w:val="0"/>
            <w:vAlign w:val="center"/>
          </w:tcPr>
          <w:p w14:paraId="328CED66">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目标1：德育质量得到新提升；</w:t>
            </w:r>
          </w:p>
          <w:p w14:paraId="2FEC92A5">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目标2：教学工作展现新气象；</w:t>
            </w:r>
          </w:p>
          <w:p w14:paraId="14C0AA9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目标3：队伍建设实现新进步；</w:t>
            </w:r>
          </w:p>
          <w:p w14:paraId="43B9849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目标4：校园硬件设施上台阶。</w:t>
            </w:r>
          </w:p>
        </w:tc>
        <w:tc>
          <w:tcPr>
            <w:tcW w:w="3936" w:type="dxa"/>
            <w:gridSpan w:val="4"/>
            <w:noWrap w:val="0"/>
            <w:vAlign w:val="center"/>
          </w:tcPr>
          <w:p w14:paraId="2244FBA0">
            <w:pPr>
              <w:pStyle w:val="7"/>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目标1：德育质量得到新提升，促进多彩活动、多维课程发展；</w:t>
            </w:r>
          </w:p>
          <w:p w14:paraId="41022C08">
            <w:pPr>
              <w:pStyle w:val="7"/>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目标2：教学工作展现新气象，抓关键——关注课堂提升质量，抓实质——优化作业减负向上；</w:t>
            </w:r>
          </w:p>
          <w:p w14:paraId="305BC155">
            <w:pPr>
              <w:pStyle w:val="7"/>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目标3：队伍建设实现新进步，恪守师德师风，实施民主管理；</w:t>
            </w:r>
          </w:p>
          <w:p w14:paraId="1C080855">
            <w:pPr>
              <w:pStyle w:val="7"/>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目标4：校园硬件设施上台阶，完善美化校园环境。</w:t>
            </w:r>
          </w:p>
        </w:tc>
      </w:tr>
      <w:tr w14:paraId="225B9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4D50080">
            <w:pPr>
              <w:pStyle w:val="12"/>
              <w:spacing w:line="364" w:lineRule="auto"/>
              <w:rPr>
                <w:rFonts w:hint="eastAsia" w:ascii="宋体" w:hAnsi="宋体" w:eastAsia="宋体" w:cs="宋体"/>
                <w:sz w:val="18"/>
                <w:szCs w:val="18"/>
              </w:rPr>
            </w:pPr>
          </w:p>
          <w:p w14:paraId="2C27292E">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3C088447">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0CE525BE">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69CED6FB">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3870EED5">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062683F5">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59789489">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5C976B02">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2E4AE815">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0D7E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7008656B">
            <w:pPr>
              <w:pStyle w:val="12"/>
              <w:rPr>
                <w:rFonts w:hint="eastAsia" w:ascii="宋体" w:hAnsi="宋体" w:eastAsia="宋体" w:cs="宋体"/>
                <w:sz w:val="18"/>
                <w:szCs w:val="18"/>
              </w:rPr>
            </w:pPr>
          </w:p>
        </w:tc>
        <w:tc>
          <w:tcPr>
            <w:tcW w:w="1104" w:type="dxa"/>
            <w:vMerge w:val="restart"/>
            <w:tcBorders>
              <w:bottom w:val="nil"/>
            </w:tcBorders>
            <w:noWrap w:val="0"/>
            <w:vAlign w:val="top"/>
          </w:tcPr>
          <w:p w14:paraId="576508C8">
            <w:pPr>
              <w:pStyle w:val="12"/>
              <w:spacing w:line="272" w:lineRule="auto"/>
              <w:rPr>
                <w:rFonts w:hint="eastAsia" w:ascii="宋体" w:hAnsi="宋体" w:eastAsia="宋体" w:cs="宋体"/>
                <w:sz w:val="18"/>
                <w:szCs w:val="18"/>
              </w:rPr>
            </w:pPr>
          </w:p>
          <w:p w14:paraId="31465C33">
            <w:pPr>
              <w:pStyle w:val="12"/>
              <w:spacing w:line="272" w:lineRule="auto"/>
              <w:rPr>
                <w:rFonts w:hint="eastAsia" w:ascii="宋体" w:hAnsi="宋体" w:eastAsia="宋体" w:cs="宋体"/>
                <w:sz w:val="18"/>
                <w:szCs w:val="18"/>
              </w:rPr>
            </w:pPr>
          </w:p>
          <w:p w14:paraId="6B9EDEA3">
            <w:pPr>
              <w:pStyle w:val="12"/>
              <w:spacing w:line="272" w:lineRule="auto"/>
              <w:rPr>
                <w:rFonts w:hint="eastAsia" w:ascii="宋体" w:hAnsi="宋体" w:eastAsia="宋体" w:cs="宋体"/>
                <w:sz w:val="18"/>
                <w:szCs w:val="18"/>
              </w:rPr>
            </w:pPr>
          </w:p>
          <w:p w14:paraId="1B458874">
            <w:pPr>
              <w:pStyle w:val="12"/>
              <w:spacing w:line="273" w:lineRule="auto"/>
              <w:rPr>
                <w:rFonts w:hint="eastAsia" w:ascii="宋体" w:hAnsi="宋体" w:eastAsia="宋体" w:cs="宋体"/>
                <w:sz w:val="18"/>
                <w:szCs w:val="18"/>
              </w:rPr>
            </w:pPr>
          </w:p>
          <w:p w14:paraId="4875BA1F">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17F7BF07">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1D188739">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168A0674">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足额发放教职工工资及福利待遇</w:t>
            </w:r>
          </w:p>
        </w:tc>
        <w:tc>
          <w:tcPr>
            <w:tcW w:w="1584" w:type="dxa"/>
            <w:noWrap w:val="0"/>
            <w:vAlign w:val="center"/>
          </w:tcPr>
          <w:p w14:paraId="45C5942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743CA5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519D17A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41184121">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72D2858F">
            <w:pPr>
              <w:pStyle w:val="12"/>
              <w:spacing w:line="235" w:lineRule="exact"/>
              <w:jc w:val="center"/>
              <w:rPr>
                <w:rFonts w:hint="eastAsia" w:ascii="宋体" w:hAnsi="宋体" w:eastAsia="宋体" w:cs="宋体"/>
                <w:sz w:val="18"/>
                <w:szCs w:val="18"/>
              </w:rPr>
            </w:pPr>
          </w:p>
        </w:tc>
      </w:tr>
      <w:tr w14:paraId="59369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104" w:type="dxa"/>
            <w:vMerge w:val="continue"/>
            <w:tcBorders>
              <w:top w:val="nil"/>
              <w:bottom w:val="nil"/>
            </w:tcBorders>
            <w:noWrap w:val="0"/>
            <w:textDirection w:val="tbRlV"/>
            <w:vAlign w:val="top"/>
          </w:tcPr>
          <w:p w14:paraId="0F0ADC25">
            <w:pPr>
              <w:pStyle w:val="12"/>
              <w:rPr>
                <w:rFonts w:hint="eastAsia" w:ascii="宋体" w:hAnsi="宋体" w:eastAsia="宋体" w:cs="宋体"/>
                <w:sz w:val="18"/>
                <w:szCs w:val="18"/>
              </w:rPr>
            </w:pPr>
          </w:p>
        </w:tc>
        <w:tc>
          <w:tcPr>
            <w:tcW w:w="1104" w:type="dxa"/>
            <w:vMerge w:val="continue"/>
            <w:tcBorders>
              <w:top w:val="nil"/>
              <w:bottom w:val="nil"/>
            </w:tcBorders>
            <w:noWrap w:val="0"/>
            <w:vAlign w:val="top"/>
          </w:tcPr>
          <w:p w14:paraId="3BE9433E">
            <w:pPr>
              <w:pStyle w:val="12"/>
              <w:rPr>
                <w:rFonts w:hint="eastAsia" w:ascii="宋体" w:hAnsi="宋体" w:eastAsia="宋体" w:cs="宋体"/>
                <w:sz w:val="18"/>
                <w:szCs w:val="18"/>
              </w:rPr>
            </w:pPr>
          </w:p>
        </w:tc>
        <w:tc>
          <w:tcPr>
            <w:tcW w:w="984" w:type="dxa"/>
            <w:vMerge w:val="continue"/>
            <w:tcBorders>
              <w:top w:val="nil"/>
              <w:bottom w:val="nil"/>
            </w:tcBorders>
            <w:noWrap w:val="0"/>
            <w:vAlign w:val="top"/>
          </w:tcPr>
          <w:p w14:paraId="0458DC83">
            <w:pPr>
              <w:pStyle w:val="12"/>
              <w:rPr>
                <w:rFonts w:hint="eastAsia" w:ascii="宋体" w:hAnsi="宋体" w:eastAsia="宋体" w:cs="宋体"/>
                <w:sz w:val="18"/>
                <w:szCs w:val="18"/>
              </w:rPr>
            </w:pPr>
          </w:p>
        </w:tc>
        <w:tc>
          <w:tcPr>
            <w:tcW w:w="1332" w:type="dxa"/>
            <w:noWrap w:val="0"/>
            <w:vAlign w:val="top"/>
          </w:tcPr>
          <w:p w14:paraId="036551E3">
            <w:pPr>
              <w:pStyle w:val="12"/>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学生招生人数</w:t>
            </w:r>
          </w:p>
        </w:tc>
        <w:tc>
          <w:tcPr>
            <w:tcW w:w="1584" w:type="dxa"/>
            <w:noWrap w:val="0"/>
            <w:vAlign w:val="center"/>
          </w:tcPr>
          <w:p w14:paraId="2E0E7543">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1809人</w:t>
            </w:r>
          </w:p>
        </w:tc>
        <w:tc>
          <w:tcPr>
            <w:tcW w:w="1164" w:type="dxa"/>
            <w:noWrap w:val="0"/>
            <w:vAlign w:val="center"/>
          </w:tcPr>
          <w:p w14:paraId="5BD0DAE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1809人</w:t>
            </w:r>
          </w:p>
        </w:tc>
        <w:tc>
          <w:tcPr>
            <w:tcW w:w="576" w:type="dxa"/>
            <w:noWrap w:val="0"/>
            <w:vAlign w:val="center"/>
          </w:tcPr>
          <w:p w14:paraId="16AF703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228B30CB">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67636C19">
            <w:pPr>
              <w:pStyle w:val="12"/>
              <w:spacing w:line="235" w:lineRule="exact"/>
              <w:jc w:val="center"/>
              <w:rPr>
                <w:rFonts w:hint="eastAsia" w:ascii="宋体" w:hAnsi="宋体" w:eastAsia="宋体" w:cs="宋体"/>
                <w:sz w:val="18"/>
                <w:szCs w:val="18"/>
              </w:rPr>
            </w:pPr>
          </w:p>
        </w:tc>
      </w:tr>
      <w:tr w14:paraId="4369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25B3CF09">
            <w:pPr>
              <w:pStyle w:val="12"/>
              <w:rPr>
                <w:rFonts w:hint="eastAsia" w:ascii="宋体" w:hAnsi="宋体" w:eastAsia="宋体" w:cs="宋体"/>
                <w:sz w:val="18"/>
                <w:szCs w:val="18"/>
              </w:rPr>
            </w:pPr>
          </w:p>
        </w:tc>
        <w:tc>
          <w:tcPr>
            <w:tcW w:w="1104" w:type="dxa"/>
            <w:vMerge w:val="continue"/>
            <w:tcBorders>
              <w:top w:val="nil"/>
              <w:bottom w:val="nil"/>
            </w:tcBorders>
            <w:noWrap w:val="0"/>
            <w:vAlign w:val="top"/>
          </w:tcPr>
          <w:p w14:paraId="45EB025E">
            <w:pPr>
              <w:pStyle w:val="12"/>
              <w:rPr>
                <w:rFonts w:hint="eastAsia" w:ascii="宋体" w:hAnsi="宋体" w:eastAsia="宋体" w:cs="宋体"/>
                <w:sz w:val="18"/>
                <w:szCs w:val="18"/>
              </w:rPr>
            </w:pPr>
          </w:p>
        </w:tc>
        <w:tc>
          <w:tcPr>
            <w:tcW w:w="984" w:type="dxa"/>
            <w:vMerge w:val="restart"/>
            <w:tcBorders>
              <w:bottom w:val="nil"/>
            </w:tcBorders>
            <w:noWrap w:val="0"/>
            <w:vAlign w:val="top"/>
          </w:tcPr>
          <w:p w14:paraId="4AC18644">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5DBB5DC8">
            <w:pPr>
              <w:pStyle w:val="12"/>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校园安全事故发生率</w:t>
            </w:r>
          </w:p>
        </w:tc>
        <w:tc>
          <w:tcPr>
            <w:tcW w:w="1584" w:type="dxa"/>
            <w:noWrap w:val="0"/>
            <w:vAlign w:val="center"/>
          </w:tcPr>
          <w:p w14:paraId="18EC807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1164" w:type="dxa"/>
            <w:noWrap w:val="0"/>
            <w:vAlign w:val="center"/>
          </w:tcPr>
          <w:p w14:paraId="430B34D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76" w:type="dxa"/>
            <w:noWrap w:val="0"/>
            <w:vAlign w:val="center"/>
          </w:tcPr>
          <w:p w14:paraId="73EFF0E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150770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695D1DB3">
            <w:pPr>
              <w:pStyle w:val="12"/>
              <w:spacing w:line="235" w:lineRule="exact"/>
              <w:jc w:val="center"/>
              <w:rPr>
                <w:rFonts w:hint="eastAsia" w:ascii="宋体" w:hAnsi="宋体" w:eastAsia="宋体" w:cs="宋体"/>
                <w:sz w:val="18"/>
                <w:szCs w:val="18"/>
              </w:rPr>
            </w:pPr>
          </w:p>
        </w:tc>
      </w:tr>
      <w:tr w14:paraId="24BFB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04505997">
            <w:pPr>
              <w:pStyle w:val="12"/>
              <w:rPr>
                <w:rFonts w:hint="eastAsia" w:ascii="宋体" w:hAnsi="宋体" w:eastAsia="宋体" w:cs="宋体"/>
                <w:sz w:val="18"/>
                <w:szCs w:val="18"/>
              </w:rPr>
            </w:pPr>
          </w:p>
        </w:tc>
        <w:tc>
          <w:tcPr>
            <w:tcW w:w="1104" w:type="dxa"/>
            <w:vMerge w:val="continue"/>
            <w:tcBorders>
              <w:top w:val="nil"/>
              <w:bottom w:val="nil"/>
            </w:tcBorders>
            <w:noWrap w:val="0"/>
            <w:vAlign w:val="top"/>
          </w:tcPr>
          <w:p w14:paraId="1FC89C70">
            <w:pPr>
              <w:pStyle w:val="12"/>
              <w:rPr>
                <w:rFonts w:hint="eastAsia" w:ascii="宋体" w:hAnsi="宋体" w:eastAsia="宋体" w:cs="宋体"/>
                <w:sz w:val="18"/>
                <w:szCs w:val="18"/>
              </w:rPr>
            </w:pPr>
          </w:p>
        </w:tc>
        <w:tc>
          <w:tcPr>
            <w:tcW w:w="984" w:type="dxa"/>
            <w:vMerge w:val="continue"/>
            <w:tcBorders>
              <w:top w:val="nil"/>
              <w:bottom w:val="nil"/>
            </w:tcBorders>
            <w:noWrap w:val="0"/>
            <w:vAlign w:val="top"/>
          </w:tcPr>
          <w:p w14:paraId="225BA67D">
            <w:pPr>
              <w:pStyle w:val="12"/>
              <w:rPr>
                <w:rFonts w:hint="eastAsia" w:ascii="宋体" w:hAnsi="宋体" w:eastAsia="宋体" w:cs="宋体"/>
                <w:sz w:val="18"/>
                <w:szCs w:val="18"/>
              </w:rPr>
            </w:pPr>
          </w:p>
        </w:tc>
        <w:tc>
          <w:tcPr>
            <w:tcW w:w="1332" w:type="dxa"/>
            <w:noWrap w:val="0"/>
            <w:vAlign w:val="top"/>
          </w:tcPr>
          <w:p w14:paraId="52C69C74">
            <w:pPr>
              <w:pStyle w:val="12"/>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心理健康教育覆盖率</w:t>
            </w:r>
          </w:p>
        </w:tc>
        <w:tc>
          <w:tcPr>
            <w:tcW w:w="1584" w:type="dxa"/>
            <w:noWrap w:val="0"/>
            <w:vAlign w:val="center"/>
          </w:tcPr>
          <w:p w14:paraId="326636A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1827DFCB">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09C4138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573A43E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78C51A8D">
            <w:pPr>
              <w:pStyle w:val="12"/>
              <w:spacing w:line="235" w:lineRule="exact"/>
              <w:jc w:val="center"/>
              <w:rPr>
                <w:rFonts w:hint="eastAsia" w:ascii="宋体" w:hAnsi="宋体" w:eastAsia="宋体" w:cs="宋体"/>
                <w:sz w:val="18"/>
                <w:szCs w:val="18"/>
              </w:rPr>
            </w:pPr>
          </w:p>
        </w:tc>
      </w:tr>
      <w:tr w14:paraId="361EB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8D678B5">
            <w:pPr>
              <w:pStyle w:val="12"/>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306A79BB">
            <w:pPr>
              <w:pStyle w:val="12"/>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2A6815BA">
            <w:pPr>
              <w:spacing w:before="274" w:line="226" w:lineRule="auto"/>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3692A2E5">
            <w:pPr>
              <w:pStyle w:val="12"/>
              <w:spacing w:line="235" w:lineRule="exact"/>
              <w:jc w:val="left"/>
              <w:rPr>
                <w:rFonts w:hint="default" w:ascii="宋体" w:hAnsi="宋体" w:eastAsia="宋体" w:cs="宋体"/>
                <w:sz w:val="18"/>
                <w:szCs w:val="18"/>
                <w:lang w:val="en-US" w:eastAsia="zh-CN"/>
              </w:rPr>
            </w:pPr>
            <w:r>
              <w:rPr>
                <w:rFonts w:hint="eastAsia" w:ascii="Arial"/>
                <w:color w:val="000000" w:themeColor="text1"/>
                <w:sz w:val="18"/>
                <w:szCs w:val="18"/>
                <w14:textFill>
                  <w14:solidFill>
                    <w14:schemeClr w14:val="tx1"/>
                  </w14:solidFill>
                </w14:textFill>
              </w:rPr>
              <w:t>按时完成在校学生春、秋两季的教学任务</w:t>
            </w:r>
          </w:p>
        </w:tc>
        <w:tc>
          <w:tcPr>
            <w:tcW w:w="1584" w:type="dxa"/>
            <w:tcBorders>
              <w:left w:val="single" w:color="auto" w:sz="4" w:space="0"/>
            </w:tcBorders>
            <w:noWrap w:val="0"/>
            <w:vAlign w:val="center"/>
          </w:tcPr>
          <w:p w14:paraId="5A703F6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1164" w:type="dxa"/>
            <w:noWrap w:val="0"/>
            <w:vAlign w:val="center"/>
          </w:tcPr>
          <w:p w14:paraId="44653BED">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576" w:type="dxa"/>
            <w:noWrap w:val="0"/>
            <w:vAlign w:val="center"/>
          </w:tcPr>
          <w:p w14:paraId="653CDFA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51E1BE4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47FB1AC">
            <w:pPr>
              <w:pStyle w:val="12"/>
              <w:spacing w:line="235" w:lineRule="exact"/>
              <w:jc w:val="center"/>
              <w:rPr>
                <w:rFonts w:hint="eastAsia" w:ascii="宋体" w:hAnsi="宋体" w:eastAsia="宋体" w:cs="宋体"/>
                <w:sz w:val="18"/>
                <w:szCs w:val="18"/>
              </w:rPr>
            </w:pPr>
          </w:p>
        </w:tc>
      </w:tr>
      <w:tr w14:paraId="0966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104" w:type="dxa"/>
            <w:vMerge w:val="continue"/>
            <w:tcBorders>
              <w:top w:val="nil"/>
              <w:bottom w:val="nil"/>
            </w:tcBorders>
            <w:noWrap w:val="0"/>
            <w:textDirection w:val="tbRlV"/>
            <w:vAlign w:val="top"/>
          </w:tcPr>
          <w:p w14:paraId="2E61B5D4">
            <w:pPr>
              <w:pStyle w:val="12"/>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FC14120">
            <w:pPr>
              <w:pStyle w:val="12"/>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F759680">
            <w:pPr>
              <w:spacing w:before="273" w:line="226"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263AFA02">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“三公”经费支出</w:t>
            </w:r>
          </w:p>
        </w:tc>
        <w:tc>
          <w:tcPr>
            <w:tcW w:w="1584" w:type="dxa"/>
            <w:tcBorders>
              <w:left w:val="single" w:color="auto" w:sz="4" w:space="0"/>
            </w:tcBorders>
            <w:noWrap w:val="0"/>
            <w:vAlign w:val="center"/>
          </w:tcPr>
          <w:p w14:paraId="681C913C">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＝0万元</w:t>
            </w:r>
          </w:p>
        </w:tc>
        <w:tc>
          <w:tcPr>
            <w:tcW w:w="1164" w:type="dxa"/>
            <w:noWrap w:val="0"/>
            <w:vAlign w:val="center"/>
          </w:tcPr>
          <w:p w14:paraId="220A490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0万元</w:t>
            </w:r>
          </w:p>
        </w:tc>
        <w:tc>
          <w:tcPr>
            <w:tcW w:w="576" w:type="dxa"/>
            <w:noWrap w:val="0"/>
            <w:vAlign w:val="center"/>
          </w:tcPr>
          <w:p w14:paraId="252D4F3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62180CD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615838BA">
            <w:pPr>
              <w:pStyle w:val="12"/>
              <w:spacing w:line="235" w:lineRule="exact"/>
              <w:jc w:val="center"/>
              <w:rPr>
                <w:rFonts w:hint="eastAsia" w:ascii="宋体" w:hAnsi="宋体" w:eastAsia="宋体" w:cs="宋体"/>
                <w:sz w:val="18"/>
                <w:szCs w:val="18"/>
              </w:rPr>
            </w:pPr>
          </w:p>
        </w:tc>
      </w:tr>
      <w:tr w14:paraId="0158D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08A6E3E">
            <w:pPr>
              <w:pStyle w:val="12"/>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48CC085D">
            <w:pPr>
              <w:pStyle w:val="12"/>
              <w:spacing w:line="256" w:lineRule="auto"/>
              <w:rPr>
                <w:rFonts w:hint="eastAsia" w:ascii="宋体" w:hAnsi="宋体" w:eastAsia="宋体" w:cs="宋体"/>
                <w:sz w:val="18"/>
                <w:szCs w:val="18"/>
              </w:rPr>
            </w:pPr>
          </w:p>
          <w:p w14:paraId="0B413B29">
            <w:pPr>
              <w:pStyle w:val="12"/>
              <w:spacing w:line="256" w:lineRule="auto"/>
              <w:rPr>
                <w:rFonts w:hint="eastAsia" w:ascii="宋体" w:hAnsi="宋体" w:eastAsia="宋体" w:cs="宋体"/>
                <w:sz w:val="18"/>
                <w:szCs w:val="18"/>
              </w:rPr>
            </w:pPr>
          </w:p>
          <w:p w14:paraId="3731CDC9">
            <w:pPr>
              <w:pStyle w:val="12"/>
              <w:spacing w:line="256" w:lineRule="auto"/>
              <w:rPr>
                <w:rFonts w:hint="eastAsia" w:ascii="宋体" w:hAnsi="宋体" w:eastAsia="宋体" w:cs="宋体"/>
                <w:sz w:val="18"/>
                <w:szCs w:val="18"/>
              </w:rPr>
            </w:pPr>
          </w:p>
          <w:p w14:paraId="2381EE2B">
            <w:pPr>
              <w:pStyle w:val="12"/>
              <w:spacing w:line="256" w:lineRule="auto"/>
              <w:rPr>
                <w:rFonts w:hint="eastAsia" w:ascii="宋体" w:hAnsi="宋体" w:eastAsia="宋体" w:cs="宋体"/>
                <w:sz w:val="18"/>
                <w:szCs w:val="18"/>
              </w:rPr>
            </w:pPr>
          </w:p>
          <w:p w14:paraId="76DC557B">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C267921">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2D4258BC">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0F53543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7EE9BB3B">
            <w:pPr>
              <w:pStyle w:val="12"/>
              <w:spacing w:line="235" w:lineRule="exact"/>
              <w:rPr>
                <w:rFonts w:hint="eastAsia" w:ascii="宋体" w:hAnsi="宋体" w:eastAsia="宋体" w:cs="宋体"/>
                <w:sz w:val="18"/>
                <w:szCs w:val="18"/>
                <w:lang w:val="en-US" w:eastAsia="zh-CN"/>
              </w:rPr>
            </w:pPr>
          </w:p>
          <w:p w14:paraId="79206A9D">
            <w:pPr>
              <w:pStyle w:val="12"/>
              <w:spacing w:line="235"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24FEB598">
            <w:pPr>
              <w:pStyle w:val="12"/>
              <w:spacing w:line="235" w:lineRule="exact"/>
              <w:jc w:val="center"/>
              <w:rPr>
                <w:rFonts w:hint="eastAsia" w:ascii="宋体" w:hAnsi="宋体" w:eastAsia="宋体" w:cs="宋体"/>
                <w:sz w:val="18"/>
                <w:szCs w:val="18"/>
                <w:lang w:val="en-US" w:eastAsia="zh-CN"/>
              </w:rPr>
            </w:pPr>
          </w:p>
          <w:p w14:paraId="79E6EAF0">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55009563">
            <w:pPr>
              <w:pStyle w:val="12"/>
              <w:spacing w:line="235" w:lineRule="exact"/>
              <w:jc w:val="center"/>
              <w:rPr>
                <w:rFonts w:hint="eastAsia" w:ascii="宋体" w:hAnsi="宋体" w:eastAsia="宋体" w:cs="宋体"/>
                <w:sz w:val="18"/>
                <w:szCs w:val="18"/>
                <w:lang w:val="en-US" w:eastAsia="zh-CN"/>
              </w:rPr>
            </w:pPr>
          </w:p>
          <w:p w14:paraId="26DDBBF5">
            <w:pPr>
              <w:pStyle w:val="12"/>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5B56C460">
            <w:pPr>
              <w:pStyle w:val="12"/>
              <w:spacing w:line="235" w:lineRule="exact"/>
              <w:jc w:val="center"/>
              <w:rPr>
                <w:rFonts w:hint="eastAsia" w:ascii="宋体" w:hAnsi="宋体" w:eastAsia="宋体" w:cs="宋体"/>
                <w:sz w:val="18"/>
                <w:szCs w:val="18"/>
                <w:lang w:val="en-US" w:eastAsia="zh-CN"/>
              </w:rPr>
            </w:pPr>
          </w:p>
          <w:p w14:paraId="6F425D7B">
            <w:pPr>
              <w:pStyle w:val="12"/>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327E99FE">
            <w:pPr>
              <w:pStyle w:val="12"/>
              <w:spacing w:line="235" w:lineRule="exact"/>
              <w:jc w:val="center"/>
              <w:rPr>
                <w:rFonts w:hint="eastAsia" w:ascii="宋体" w:hAnsi="宋体" w:eastAsia="宋体" w:cs="宋体"/>
                <w:sz w:val="18"/>
                <w:szCs w:val="18"/>
                <w:lang w:val="en-US" w:eastAsia="zh-CN"/>
              </w:rPr>
            </w:pPr>
          </w:p>
          <w:p w14:paraId="7DC6A7D8">
            <w:pPr>
              <w:pStyle w:val="12"/>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33147602">
            <w:pPr>
              <w:pStyle w:val="12"/>
              <w:spacing w:line="235" w:lineRule="exact"/>
              <w:jc w:val="center"/>
              <w:rPr>
                <w:rFonts w:hint="eastAsia" w:ascii="宋体" w:hAnsi="宋体" w:eastAsia="宋体" w:cs="宋体"/>
                <w:sz w:val="18"/>
                <w:szCs w:val="18"/>
              </w:rPr>
            </w:pPr>
          </w:p>
        </w:tc>
      </w:tr>
      <w:tr w14:paraId="30809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EE6CBA1">
            <w:pPr>
              <w:pStyle w:val="12"/>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1153F2F">
            <w:pPr>
              <w:pStyle w:val="12"/>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300109C8">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78D333E7">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60389398">
            <w:pPr>
              <w:pStyle w:val="12"/>
              <w:spacing w:line="235" w:lineRule="exact"/>
              <w:rPr>
                <w:rFonts w:hint="eastAsia" w:ascii="宋体" w:hAnsi="宋体" w:eastAsia="宋体" w:cs="宋体"/>
                <w:sz w:val="18"/>
                <w:szCs w:val="18"/>
                <w:lang w:val="en-US" w:eastAsia="zh-CN"/>
              </w:rPr>
            </w:pPr>
          </w:p>
          <w:p w14:paraId="1CC03A0E">
            <w:pPr>
              <w:pStyle w:val="12"/>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改善城区教育教学水平</w:t>
            </w:r>
          </w:p>
        </w:tc>
        <w:tc>
          <w:tcPr>
            <w:tcW w:w="1584" w:type="dxa"/>
            <w:tcBorders>
              <w:left w:val="single" w:color="auto" w:sz="4" w:space="0"/>
            </w:tcBorders>
            <w:noWrap w:val="0"/>
            <w:vAlign w:val="top"/>
          </w:tcPr>
          <w:p w14:paraId="63E0BD75">
            <w:pPr>
              <w:pStyle w:val="12"/>
              <w:spacing w:line="235" w:lineRule="exact"/>
              <w:jc w:val="center"/>
              <w:rPr>
                <w:rFonts w:hint="eastAsia" w:ascii="宋体" w:hAnsi="宋体" w:eastAsia="宋体" w:cs="宋体"/>
                <w:sz w:val="18"/>
                <w:szCs w:val="18"/>
                <w:lang w:val="en-US" w:eastAsia="zh-CN"/>
              </w:rPr>
            </w:pPr>
          </w:p>
          <w:p w14:paraId="582EDF4F">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1164" w:type="dxa"/>
            <w:noWrap w:val="0"/>
            <w:vAlign w:val="top"/>
          </w:tcPr>
          <w:p w14:paraId="0393DA42">
            <w:pPr>
              <w:pStyle w:val="12"/>
              <w:spacing w:line="235" w:lineRule="exact"/>
              <w:jc w:val="center"/>
              <w:rPr>
                <w:rFonts w:hint="eastAsia" w:ascii="宋体" w:hAnsi="宋体" w:eastAsia="宋体" w:cs="宋体"/>
                <w:sz w:val="18"/>
                <w:szCs w:val="18"/>
                <w:lang w:val="en-US" w:eastAsia="zh-CN"/>
              </w:rPr>
            </w:pPr>
          </w:p>
          <w:p w14:paraId="15769238">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576" w:type="dxa"/>
            <w:noWrap w:val="0"/>
            <w:vAlign w:val="top"/>
          </w:tcPr>
          <w:p w14:paraId="650C793B">
            <w:pPr>
              <w:pStyle w:val="12"/>
              <w:spacing w:line="235" w:lineRule="exact"/>
              <w:jc w:val="center"/>
              <w:rPr>
                <w:rFonts w:hint="eastAsia" w:ascii="宋体" w:hAnsi="宋体" w:eastAsia="宋体" w:cs="宋体"/>
                <w:sz w:val="18"/>
                <w:szCs w:val="18"/>
                <w:lang w:val="en-US" w:eastAsia="zh-CN"/>
              </w:rPr>
            </w:pPr>
          </w:p>
          <w:p w14:paraId="15556B93">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451810AD">
            <w:pPr>
              <w:pStyle w:val="12"/>
              <w:spacing w:line="235" w:lineRule="exact"/>
              <w:jc w:val="center"/>
              <w:rPr>
                <w:rFonts w:hint="eastAsia" w:ascii="宋体" w:hAnsi="宋体" w:eastAsia="宋体" w:cs="宋体"/>
                <w:sz w:val="18"/>
                <w:szCs w:val="18"/>
                <w:lang w:val="en-US" w:eastAsia="zh-CN"/>
              </w:rPr>
            </w:pPr>
          </w:p>
          <w:p w14:paraId="2E9898E7">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9.2</w:t>
            </w:r>
          </w:p>
        </w:tc>
        <w:tc>
          <w:tcPr>
            <w:tcW w:w="1236" w:type="dxa"/>
            <w:noWrap w:val="0"/>
            <w:vAlign w:val="top"/>
          </w:tcPr>
          <w:p w14:paraId="2D4F6BCA">
            <w:pPr>
              <w:pStyle w:val="12"/>
              <w:spacing w:line="235" w:lineRule="exact"/>
              <w:jc w:val="center"/>
              <w:rPr>
                <w:rFonts w:hint="eastAsia" w:ascii="宋体" w:hAnsi="宋体" w:eastAsia="宋体" w:cs="宋体"/>
                <w:sz w:val="18"/>
                <w:szCs w:val="18"/>
              </w:rPr>
            </w:pPr>
          </w:p>
        </w:tc>
      </w:tr>
      <w:tr w14:paraId="51C19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59890644">
            <w:pPr>
              <w:pStyle w:val="12"/>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063FAF8C">
            <w:pPr>
              <w:pStyle w:val="12"/>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42F755A6">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36C966E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7B8A51FA">
            <w:pPr>
              <w:pStyle w:val="12"/>
              <w:spacing w:line="235" w:lineRule="exact"/>
              <w:rPr>
                <w:rFonts w:hint="eastAsia" w:ascii="宋体" w:hAnsi="宋体" w:eastAsia="宋体" w:cs="宋体"/>
                <w:i w:val="0"/>
                <w:iCs w:val="0"/>
                <w:color w:val="000000"/>
                <w:kern w:val="0"/>
                <w:sz w:val="18"/>
                <w:szCs w:val="18"/>
                <w:u w:val="none"/>
                <w:lang w:val="en-US" w:eastAsia="zh-CN" w:bidi="ar"/>
              </w:rPr>
            </w:pPr>
          </w:p>
          <w:p w14:paraId="38E54063">
            <w:pPr>
              <w:pStyle w:val="12"/>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无污染</w:t>
            </w:r>
          </w:p>
        </w:tc>
        <w:tc>
          <w:tcPr>
            <w:tcW w:w="1584" w:type="dxa"/>
            <w:tcBorders>
              <w:left w:val="single" w:color="auto" w:sz="4" w:space="0"/>
            </w:tcBorders>
            <w:noWrap w:val="0"/>
            <w:vAlign w:val="top"/>
          </w:tcPr>
          <w:p w14:paraId="2C1C0DF1">
            <w:pPr>
              <w:pStyle w:val="12"/>
              <w:spacing w:line="235" w:lineRule="exact"/>
              <w:jc w:val="center"/>
              <w:rPr>
                <w:rFonts w:hint="eastAsia" w:ascii="宋体" w:hAnsi="宋体" w:eastAsia="宋体" w:cs="宋体"/>
                <w:sz w:val="18"/>
                <w:szCs w:val="18"/>
                <w:lang w:val="en-US" w:eastAsia="zh-CN"/>
              </w:rPr>
            </w:pPr>
          </w:p>
          <w:p w14:paraId="664BD44F">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无污染</w:t>
            </w:r>
          </w:p>
        </w:tc>
        <w:tc>
          <w:tcPr>
            <w:tcW w:w="1164" w:type="dxa"/>
            <w:noWrap w:val="0"/>
            <w:vAlign w:val="top"/>
          </w:tcPr>
          <w:p w14:paraId="0B38DE01">
            <w:pPr>
              <w:pStyle w:val="12"/>
              <w:spacing w:line="235" w:lineRule="exact"/>
              <w:jc w:val="center"/>
              <w:rPr>
                <w:rFonts w:hint="eastAsia" w:ascii="宋体" w:hAnsi="宋体" w:eastAsia="宋体" w:cs="宋体"/>
                <w:sz w:val="18"/>
                <w:szCs w:val="18"/>
                <w:lang w:val="en-US" w:eastAsia="zh-CN"/>
              </w:rPr>
            </w:pPr>
          </w:p>
          <w:p w14:paraId="4C746565">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无污染</w:t>
            </w:r>
          </w:p>
        </w:tc>
        <w:tc>
          <w:tcPr>
            <w:tcW w:w="576" w:type="dxa"/>
            <w:noWrap w:val="0"/>
            <w:vAlign w:val="top"/>
          </w:tcPr>
          <w:p w14:paraId="0CC85153">
            <w:pPr>
              <w:pStyle w:val="12"/>
              <w:spacing w:line="235" w:lineRule="exact"/>
              <w:jc w:val="center"/>
              <w:rPr>
                <w:rFonts w:hint="eastAsia" w:ascii="宋体" w:hAnsi="宋体" w:eastAsia="宋体" w:cs="宋体"/>
                <w:sz w:val="18"/>
                <w:szCs w:val="18"/>
                <w:lang w:val="en-US" w:eastAsia="zh-CN"/>
              </w:rPr>
            </w:pPr>
          </w:p>
          <w:p w14:paraId="05EB3360">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0AE50A19">
            <w:pPr>
              <w:pStyle w:val="12"/>
              <w:spacing w:line="235" w:lineRule="exact"/>
              <w:jc w:val="both"/>
              <w:rPr>
                <w:rFonts w:hint="eastAsia" w:ascii="宋体" w:hAnsi="宋体" w:eastAsia="宋体" w:cs="宋体"/>
                <w:sz w:val="18"/>
                <w:szCs w:val="18"/>
                <w:lang w:val="en-US" w:eastAsia="zh-CN"/>
              </w:rPr>
            </w:pPr>
          </w:p>
          <w:p w14:paraId="7F1B0BE7">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63C4ABDC">
            <w:pPr>
              <w:pStyle w:val="12"/>
              <w:spacing w:line="235" w:lineRule="exact"/>
              <w:jc w:val="center"/>
              <w:rPr>
                <w:rFonts w:hint="eastAsia" w:ascii="宋体" w:hAnsi="宋体" w:eastAsia="宋体" w:cs="宋体"/>
                <w:sz w:val="18"/>
                <w:szCs w:val="18"/>
              </w:rPr>
            </w:pPr>
          </w:p>
        </w:tc>
      </w:tr>
      <w:tr w14:paraId="590B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302B08F7">
            <w:pPr>
              <w:pStyle w:val="12"/>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5D00C1DD">
            <w:pPr>
              <w:pStyle w:val="12"/>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4B0D84BF">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0EE0D90E">
            <w:pPr>
              <w:pStyle w:val="12"/>
              <w:spacing w:line="235" w:lineRule="exact"/>
              <w:rPr>
                <w:rFonts w:hint="eastAsia" w:ascii="宋体" w:hAnsi="宋体" w:eastAsia="宋体" w:cs="宋体"/>
                <w:i w:val="0"/>
                <w:iCs w:val="0"/>
                <w:color w:val="000000"/>
                <w:kern w:val="0"/>
                <w:sz w:val="18"/>
                <w:szCs w:val="18"/>
                <w:u w:val="none"/>
                <w:lang w:val="en-US" w:eastAsia="zh-CN" w:bidi="ar"/>
              </w:rPr>
            </w:pPr>
          </w:p>
          <w:p w14:paraId="2E843A0F">
            <w:pPr>
              <w:pStyle w:val="12"/>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教育事业可持续发展</w:t>
            </w:r>
          </w:p>
        </w:tc>
        <w:tc>
          <w:tcPr>
            <w:tcW w:w="1584" w:type="dxa"/>
            <w:tcBorders>
              <w:left w:val="single" w:color="auto" w:sz="4" w:space="0"/>
            </w:tcBorders>
            <w:noWrap w:val="0"/>
            <w:vAlign w:val="center"/>
          </w:tcPr>
          <w:p w14:paraId="16D51D7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持续发展</w:t>
            </w:r>
          </w:p>
        </w:tc>
        <w:tc>
          <w:tcPr>
            <w:tcW w:w="1164" w:type="dxa"/>
            <w:noWrap w:val="0"/>
            <w:vAlign w:val="center"/>
          </w:tcPr>
          <w:p w14:paraId="20DAE9E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持续发展</w:t>
            </w:r>
          </w:p>
        </w:tc>
        <w:tc>
          <w:tcPr>
            <w:tcW w:w="576" w:type="dxa"/>
            <w:noWrap w:val="0"/>
            <w:vAlign w:val="center"/>
          </w:tcPr>
          <w:p w14:paraId="77E06EE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C32E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5E3C8987">
            <w:pPr>
              <w:pStyle w:val="12"/>
              <w:jc w:val="center"/>
              <w:rPr>
                <w:rFonts w:hint="eastAsia" w:ascii="宋体" w:hAnsi="宋体" w:eastAsia="宋体" w:cs="宋体"/>
                <w:sz w:val="18"/>
                <w:szCs w:val="18"/>
              </w:rPr>
            </w:pPr>
          </w:p>
        </w:tc>
      </w:tr>
      <w:tr w14:paraId="78A3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4B782274">
            <w:pPr>
              <w:pStyle w:val="12"/>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13BF1E43">
            <w:pPr>
              <w:spacing w:before="110" w:line="226" w:lineRule="auto"/>
              <w:ind w:left="251"/>
              <w:rPr>
                <w:rFonts w:hint="eastAsia" w:ascii="宋体" w:hAnsi="宋体" w:eastAsia="宋体" w:cs="宋体"/>
                <w:sz w:val="18"/>
                <w:szCs w:val="18"/>
              </w:rPr>
            </w:pPr>
            <w:r>
              <w:rPr>
                <w:rFonts w:hint="eastAsia" w:ascii="宋体" w:hAnsi="宋体" w:eastAsia="宋体" w:cs="宋体"/>
                <w:spacing w:val="4"/>
                <w:sz w:val="18"/>
                <w:szCs w:val="18"/>
              </w:rPr>
              <w:t>满意度</w:t>
            </w:r>
          </w:p>
          <w:p w14:paraId="45A3CA9B">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3AAE71AA">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70CA271F">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66764595">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3739C4FF">
            <w:pPr>
              <w:spacing w:before="7" w:line="226" w:lineRule="auto"/>
              <w:ind w:left="419"/>
              <w:rPr>
                <w:rFonts w:hint="eastAsia" w:ascii="宋体" w:hAnsi="宋体" w:eastAsia="宋体" w:cs="宋体"/>
                <w:sz w:val="18"/>
                <w:szCs w:val="18"/>
              </w:rPr>
            </w:pP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73CE8013">
            <w:pPr>
              <w:pStyle w:val="12"/>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学生满意度</w:t>
            </w:r>
          </w:p>
        </w:tc>
        <w:tc>
          <w:tcPr>
            <w:tcW w:w="1584" w:type="dxa"/>
            <w:noWrap w:val="0"/>
            <w:vAlign w:val="top"/>
          </w:tcPr>
          <w:p w14:paraId="79B78437">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4C03D275">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576" w:type="dxa"/>
            <w:noWrap w:val="0"/>
            <w:vAlign w:val="top"/>
          </w:tcPr>
          <w:p w14:paraId="48C4BA97">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49E45FAE">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14A0E25F">
            <w:pPr>
              <w:pStyle w:val="12"/>
              <w:jc w:val="center"/>
              <w:rPr>
                <w:rFonts w:hint="eastAsia" w:ascii="宋体" w:hAnsi="宋体" w:eastAsia="宋体" w:cs="宋体"/>
                <w:sz w:val="18"/>
                <w:szCs w:val="18"/>
              </w:rPr>
            </w:pPr>
          </w:p>
        </w:tc>
      </w:tr>
      <w:tr w14:paraId="2206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566DEE97">
            <w:pPr>
              <w:pStyle w:val="12"/>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71C1E410">
            <w:pPr>
              <w:pStyle w:val="12"/>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5CD416EB">
            <w:pPr>
              <w:pStyle w:val="12"/>
              <w:rPr>
                <w:rFonts w:hint="eastAsia" w:ascii="宋体" w:hAnsi="宋体" w:eastAsia="宋体" w:cs="宋体"/>
                <w:sz w:val="18"/>
                <w:szCs w:val="18"/>
              </w:rPr>
            </w:pPr>
          </w:p>
        </w:tc>
        <w:tc>
          <w:tcPr>
            <w:tcW w:w="1332" w:type="dxa"/>
            <w:tcBorders>
              <w:left w:val="single" w:color="auto" w:sz="4" w:space="0"/>
            </w:tcBorders>
            <w:noWrap w:val="0"/>
            <w:vAlign w:val="top"/>
          </w:tcPr>
          <w:p w14:paraId="1A3EFCA0">
            <w:pPr>
              <w:pStyle w:val="12"/>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286BAFC8">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516ABD3F">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576" w:type="dxa"/>
            <w:noWrap w:val="0"/>
            <w:vAlign w:val="top"/>
          </w:tcPr>
          <w:p w14:paraId="0C66CD15">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0D87A6BE">
            <w:pPr>
              <w:pStyle w:val="12"/>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6964B928">
            <w:pPr>
              <w:pStyle w:val="12"/>
              <w:jc w:val="center"/>
              <w:rPr>
                <w:rFonts w:hint="eastAsia" w:ascii="宋体" w:hAnsi="宋体" w:eastAsia="宋体" w:cs="宋体"/>
                <w:sz w:val="18"/>
                <w:szCs w:val="18"/>
              </w:rPr>
            </w:pPr>
          </w:p>
        </w:tc>
      </w:tr>
      <w:tr w14:paraId="7C1EC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right w:val="single" w:color="auto" w:sz="4" w:space="0"/>
            </w:tcBorders>
            <w:noWrap w:val="0"/>
            <w:textDirection w:val="tbRlV"/>
            <w:vAlign w:val="top"/>
          </w:tcPr>
          <w:p w14:paraId="78510E53">
            <w:pPr>
              <w:pStyle w:val="12"/>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4D8BD5">
            <w:pPr>
              <w:pStyle w:val="12"/>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478887D4">
            <w:pPr>
              <w:pStyle w:val="12"/>
              <w:rPr>
                <w:rFonts w:hint="eastAsia" w:ascii="宋体" w:hAnsi="宋体" w:eastAsia="宋体" w:cs="宋体"/>
                <w:sz w:val="18"/>
                <w:szCs w:val="18"/>
              </w:rPr>
            </w:pPr>
          </w:p>
        </w:tc>
        <w:tc>
          <w:tcPr>
            <w:tcW w:w="1332" w:type="dxa"/>
            <w:tcBorders>
              <w:left w:val="single" w:color="auto" w:sz="4" w:space="0"/>
            </w:tcBorders>
            <w:noWrap w:val="0"/>
            <w:vAlign w:val="top"/>
          </w:tcPr>
          <w:p w14:paraId="034B388E">
            <w:pPr>
              <w:pStyle w:val="12"/>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教职工满意度</w:t>
            </w:r>
          </w:p>
        </w:tc>
        <w:tc>
          <w:tcPr>
            <w:tcW w:w="1584" w:type="dxa"/>
            <w:noWrap w:val="0"/>
            <w:vAlign w:val="center"/>
          </w:tcPr>
          <w:p w14:paraId="06D78B8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64" w:type="dxa"/>
            <w:noWrap w:val="0"/>
            <w:vAlign w:val="center"/>
          </w:tcPr>
          <w:p w14:paraId="331E595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576" w:type="dxa"/>
            <w:noWrap w:val="0"/>
            <w:vAlign w:val="center"/>
          </w:tcPr>
          <w:p w14:paraId="586573F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60" w:type="dxa"/>
            <w:noWrap w:val="0"/>
            <w:vAlign w:val="center"/>
          </w:tcPr>
          <w:p w14:paraId="56F4E0F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36" w:type="dxa"/>
            <w:noWrap w:val="0"/>
            <w:vAlign w:val="top"/>
          </w:tcPr>
          <w:p w14:paraId="5F077564">
            <w:pPr>
              <w:pStyle w:val="12"/>
              <w:jc w:val="center"/>
              <w:rPr>
                <w:rFonts w:hint="eastAsia" w:ascii="宋体" w:hAnsi="宋体" w:eastAsia="宋体" w:cs="宋体"/>
                <w:sz w:val="18"/>
                <w:szCs w:val="18"/>
              </w:rPr>
            </w:pPr>
          </w:p>
        </w:tc>
      </w:tr>
      <w:tr w14:paraId="48004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568FD3FE">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6436174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152B744B">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98.71</w:t>
            </w:r>
          </w:p>
        </w:tc>
        <w:tc>
          <w:tcPr>
            <w:tcW w:w="1236" w:type="dxa"/>
            <w:noWrap w:val="0"/>
            <w:vAlign w:val="top"/>
          </w:tcPr>
          <w:p w14:paraId="2B25ED45">
            <w:pPr>
              <w:pStyle w:val="12"/>
              <w:rPr>
                <w:rFonts w:hint="eastAsia" w:ascii="宋体" w:hAnsi="宋体" w:eastAsia="宋体" w:cs="宋体"/>
                <w:sz w:val="18"/>
                <w:szCs w:val="18"/>
              </w:rPr>
            </w:pPr>
          </w:p>
        </w:tc>
      </w:tr>
    </w:tbl>
    <w:p w14:paraId="13BB6CB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924D0B2">
      <w:pPr>
        <w:tabs>
          <w:tab w:val="left" w:pos="2572"/>
        </w:tabs>
        <w:bidi w:val="0"/>
        <w:jc w:val="left"/>
        <w:rPr>
          <w:rFonts w:hint="eastAsia" w:eastAsiaTheme="minorEastAsia"/>
          <w:lang w:eastAsia="zh-CN"/>
        </w:rPr>
      </w:pPr>
    </w:p>
    <w:p w14:paraId="35EE2A3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郭琪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联系电话：15700809611</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2025年7月10日</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87D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976BA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B976BA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4D3A2FA"/>
    <w:multiLevelType w:val="singleLevel"/>
    <w:tmpl w:val="D4D3A2FA"/>
    <w:lvl w:ilvl="0" w:tentative="0">
      <w:start w:val="1"/>
      <w:numFmt w:val="decimal"/>
      <w:suff w:val="nothing"/>
      <w:lvlText w:val="%1、"/>
      <w:lvlJc w:val="left"/>
    </w:lvl>
  </w:abstractNum>
  <w:abstractNum w:abstractNumId="5">
    <w:nsid w:val="DFC0C5EF"/>
    <w:multiLevelType w:val="singleLevel"/>
    <w:tmpl w:val="DFC0C5EF"/>
    <w:lvl w:ilvl="0" w:tentative="0">
      <w:start w:val="2"/>
      <w:numFmt w:val="chineseCounting"/>
      <w:suff w:val="nothing"/>
      <w:lvlText w:val="（%1）"/>
      <w:lvlJc w:val="left"/>
      <w:rPr>
        <w:rFonts w:hint="eastAsia"/>
      </w:rPr>
    </w:lvl>
  </w:abstractNum>
  <w:abstractNum w:abstractNumId="6">
    <w:nsid w:val="06EDF3DA"/>
    <w:multiLevelType w:val="singleLevel"/>
    <w:tmpl w:val="06EDF3DA"/>
    <w:lvl w:ilvl="0" w:tentative="0">
      <w:start w:val="1"/>
      <w:numFmt w:val="chineseCounting"/>
      <w:suff w:val="nothing"/>
      <w:lvlText w:val="（%1）"/>
      <w:lvlJc w:val="left"/>
      <w:rPr>
        <w:rFonts w:hint="eastAsia"/>
      </w:rPr>
    </w:lvl>
  </w:abstractNum>
  <w:abstractNum w:abstractNumId="7">
    <w:nsid w:val="3316DE5C"/>
    <w:multiLevelType w:val="singleLevel"/>
    <w:tmpl w:val="3316DE5C"/>
    <w:lvl w:ilvl="0" w:tentative="0">
      <w:start w:val="1"/>
      <w:numFmt w:val="decimal"/>
      <w:suff w:val="nothing"/>
      <w:lvlText w:val="%1、"/>
      <w:lvlJc w:val="left"/>
    </w:lvl>
  </w:abstractNum>
  <w:num w:numId="1">
    <w:abstractNumId w:val="1"/>
  </w:num>
  <w:num w:numId="2">
    <w:abstractNumId w:val="6"/>
  </w:num>
  <w:num w:numId="3">
    <w:abstractNumId w:val="4"/>
  </w:num>
  <w:num w:numId="4">
    <w:abstractNumId w:val="5"/>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2086D"/>
    <w:rsid w:val="000A3765"/>
    <w:rsid w:val="00134A95"/>
    <w:rsid w:val="001D7282"/>
    <w:rsid w:val="0039081D"/>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9E660B"/>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449EA"/>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DD243C"/>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8432D"/>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63C05"/>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B90968"/>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441F8"/>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B41D2B"/>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BA0F4C"/>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A2A28"/>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D5550"/>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10FDB"/>
    <w:rsid w:val="4F27252E"/>
    <w:rsid w:val="4F2D457C"/>
    <w:rsid w:val="4F2D5E44"/>
    <w:rsid w:val="4F323E26"/>
    <w:rsid w:val="4F366689"/>
    <w:rsid w:val="4F3913E8"/>
    <w:rsid w:val="4F3B1580"/>
    <w:rsid w:val="4F3B5197"/>
    <w:rsid w:val="4F501419"/>
    <w:rsid w:val="4F594DAC"/>
    <w:rsid w:val="4F5E44D9"/>
    <w:rsid w:val="4F6C3F07"/>
    <w:rsid w:val="4F6E32DD"/>
    <w:rsid w:val="4F6E5A3A"/>
    <w:rsid w:val="4F830574"/>
    <w:rsid w:val="4F8D5FB6"/>
    <w:rsid w:val="4F9753D7"/>
    <w:rsid w:val="4F976AF2"/>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3A44"/>
    <w:rsid w:val="54A656E0"/>
    <w:rsid w:val="54AC5134"/>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D1F94"/>
    <w:rsid w:val="582872BA"/>
    <w:rsid w:val="5829318A"/>
    <w:rsid w:val="582D7EE9"/>
    <w:rsid w:val="58312C61"/>
    <w:rsid w:val="583343BB"/>
    <w:rsid w:val="583439B3"/>
    <w:rsid w:val="58354460"/>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7E6E6B"/>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440AC"/>
    <w:rsid w:val="5B561D67"/>
    <w:rsid w:val="5B7416B3"/>
    <w:rsid w:val="5B741939"/>
    <w:rsid w:val="5B774FD6"/>
    <w:rsid w:val="5B814790"/>
    <w:rsid w:val="5B82237F"/>
    <w:rsid w:val="5B824855"/>
    <w:rsid w:val="5B856A19"/>
    <w:rsid w:val="5B88245B"/>
    <w:rsid w:val="5B8A0D7A"/>
    <w:rsid w:val="5B8B0F7C"/>
    <w:rsid w:val="5B9E05AD"/>
    <w:rsid w:val="5BA337D9"/>
    <w:rsid w:val="5BB26726"/>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55DCC"/>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7913F7"/>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AA7135"/>
    <w:rsid w:val="6AB909BB"/>
    <w:rsid w:val="6ABA0C51"/>
    <w:rsid w:val="6ABD020C"/>
    <w:rsid w:val="6ABD3E18"/>
    <w:rsid w:val="6ADD6D64"/>
    <w:rsid w:val="6AE032BE"/>
    <w:rsid w:val="6AE24014"/>
    <w:rsid w:val="6AF12E6D"/>
    <w:rsid w:val="6AFA5927"/>
    <w:rsid w:val="6B0F06C2"/>
    <w:rsid w:val="6B1E01B6"/>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E521A"/>
    <w:rsid w:val="6F694006"/>
    <w:rsid w:val="6F6C5490"/>
    <w:rsid w:val="6F6D23E0"/>
    <w:rsid w:val="6F6D4CE5"/>
    <w:rsid w:val="6F6D6A5C"/>
    <w:rsid w:val="6F75014C"/>
    <w:rsid w:val="6F761900"/>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54A7D"/>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822EE"/>
    <w:rsid w:val="72341FD3"/>
    <w:rsid w:val="72364FB6"/>
    <w:rsid w:val="72367553"/>
    <w:rsid w:val="723B04C8"/>
    <w:rsid w:val="723D3062"/>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85B9C"/>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5788</Words>
  <Characters>6350</Characters>
  <Lines>0</Lines>
  <Paragraphs>0</Paragraphs>
  <TotalTime>7</TotalTime>
  <ScaleCrop>false</ScaleCrop>
  <LinksUpToDate>false</LinksUpToDate>
  <CharactersWithSpaces>6409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2025-07-14T01:06:02Z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