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65B7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drawing>
          <wp:inline distT="0" distB="0" distL="114300" distR="114300">
            <wp:extent cx="5396865" cy="7630160"/>
            <wp:effectExtent l="0" t="0" r="13335" b="5080"/>
            <wp:docPr id="3" name="图片 3" descr="五幼儿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五幼儿园"/>
                    <pic:cNvPicPr>
                      <a:picLocks noChangeAspect="1"/>
                    </pic:cNvPicPr>
                  </pic:nvPicPr>
                  <pic:blipFill>
                    <a:blip r:embed="rId5"/>
                    <a:stretch>
                      <a:fillRect/>
                    </a:stretch>
                  </pic:blipFill>
                  <pic:spPr>
                    <a:xfrm>
                      <a:off x="0" y="0"/>
                      <a:ext cx="5396865" cy="7630160"/>
                    </a:xfrm>
                    <a:prstGeom prst="rect">
                      <a:avLst/>
                    </a:prstGeom>
                  </pic:spPr>
                </pic:pic>
              </a:graphicData>
            </a:graphic>
          </wp:inline>
        </w:drawing>
      </w:r>
    </w:p>
    <w:p w14:paraId="58EAB561">
      <w:pPr>
        <w:keepNext w:val="0"/>
        <w:keepLines w:val="0"/>
        <w:pageBreakBefore w:val="0"/>
        <w:widowControl w:val="0"/>
        <w:kinsoku/>
        <w:wordWrap/>
        <w:overflowPunct/>
        <w:topLinePunct w:val="0"/>
        <w:autoSpaceDE/>
        <w:autoSpaceDN/>
        <w:bidi w:val="0"/>
        <w:adjustRightInd/>
        <w:snapToGrid/>
        <w:spacing w:line="700" w:lineRule="exact"/>
        <w:ind w:left="0"/>
        <w:jc w:val="both"/>
        <w:textAlignment w:val="auto"/>
        <w:rPr>
          <w:rFonts w:hint="eastAsia" w:ascii="方正小标宋简体" w:hAnsi="方正小标宋简体" w:eastAsia="方正小标宋简体" w:cs="方正小标宋简体"/>
          <w:spacing w:val="6"/>
          <w:sz w:val="44"/>
          <w:szCs w:val="44"/>
        </w:rPr>
      </w:pPr>
      <w:bookmarkStart w:id="0" w:name="_GoBack"/>
      <w:bookmarkEnd w:id="0"/>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岳阳市岳阳楼区五幼儿园</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11876B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1、发展入园幼儿智力，培养正确运用感官和运用语言交往的基本能力，培养有益的兴趣和求知欲望，培养初步的动手能力。</w:t>
      </w:r>
    </w:p>
    <w:p w14:paraId="19823387">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2、促进幼儿身体正常发育和机能的协调发展，增强体质，培养良好的生活习惯、卫生习惯和参加体育活动的兴趣。</w:t>
      </w:r>
    </w:p>
    <w:p w14:paraId="592B490A">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3、培养入园幼儿初步的感受美和表现美的情趣和能力。</w:t>
      </w:r>
    </w:p>
    <w:p w14:paraId="56F09F28">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4、为学龄前儿童提供保育和教育服务。</w:t>
      </w:r>
    </w:p>
    <w:p w14:paraId="73FC332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1FB8D342">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本部门内设机构包括：办公室，财务室，后勤室。根据编办核定，我校共有教职工</w:t>
      </w: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0</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人。</w:t>
      </w:r>
    </w:p>
    <w:p w14:paraId="3BF8D9B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每学期开学组织教职工签订清廉承诺书，要求教师严格遵守廉洁纪律，不接收家长礼品，公平对待每一个孩子。在每学期初的教职工培训会上，重点开展师德师风培训，学习幼儿教师职业道德规范及行为准则，培养教职工对幼儿的爱心和对工作的热情。</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定期开展安全知识培训，强化全体教职工安全意识，制定完善的安全事故制度和应急预案，并通过每月安全工作会议持续巩固。加强门卫管理，配备充足警备器材，严格执行出入来访登记制度和幼儿接送制度，把好校园安全第一关。</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3：为丰富幼儿学习体验，园所积极构建多元化课程体系。在日常教学中，每周安排一节民间游戏课程，将传统民间游戏融入课堂，如踢毽子、跳皮筋等，让幼儿感受传统文化魅力。</w:t>
      </w:r>
    </w:p>
    <w:p w14:paraId="34F5A3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在后勤管理方面，认真做好传染病预防工作。传染病多发期，后勤人员严格执行晨检制度，上下午不定时到班级随检，落实因病缺勤病因追查与登记制度，做到早发现、早报告、早处置。制定完善的卫生消毒制度，班级、食堂严格按照规定对幼儿玩具、餐具、生活用品等进行消毒，并做好记录。保健老师不定期抽查卫生保健工作，督促保育教师做好每一个环节，保障幼儿健康成长。</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50.84</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0EB8D65B">
      <w:pPr>
        <w:spacing w:line="240" w:lineRule="auto"/>
        <w:ind w:firstLine="600" w:firstLineChars="200"/>
        <w:rPr>
          <w:rFonts w:hint="eastAsia" w:ascii="仿宋" w:hAnsi="仿宋" w:eastAsia="仿宋" w:cs="仿宋"/>
          <w:bCs/>
          <w:color w:val="0000FF"/>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30.41万元：包括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9.35</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0.09万元；奖金4.40万元</w:t>
      </w:r>
      <w:r>
        <w:rPr>
          <w:rFonts w:hint="eastAsia" w:ascii="仿宋" w:hAnsi="仿宋" w:eastAsia="仿宋" w:cs="仿宋"/>
          <w:bCs/>
          <w:sz w:val="30"/>
          <w:szCs w:val="30"/>
        </w:rPr>
        <w:t>；伙食补助费</w:t>
      </w:r>
      <w:r>
        <w:rPr>
          <w:rFonts w:hint="eastAsia" w:ascii="仿宋" w:hAnsi="仿宋" w:eastAsia="仿宋" w:cs="仿宋"/>
          <w:bCs/>
          <w:sz w:val="30"/>
          <w:szCs w:val="30"/>
          <w:lang w:val="en-US" w:eastAsia="zh-CN"/>
        </w:rPr>
        <w:t>0.80万元；绩效工资5.22万元；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3.18万元；职工基本医疗保险缴费1.31万元；其他社会保障缴费0.26万元；住房公积金2.38万元；其他工资福利支出2.92万元；</w:t>
      </w:r>
      <w:r>
        <w:rPr>
          <w:rFonts w:hint="eastAsia" w:ascii="仿宋" w:hAnsi="仿宋" w:eastAsia="仿宋" w:cs="仿宋"/>
          <w:bCs/>
          <w:color w:val="auto"/>
          <w:sz w:val="30"/>
          <w:szCs w:val="30"/>
          <w:lang w:val="en-US" w:eastAsia="zh-CN"/>
        </w:rPr>
        <w:t>奖励金0.50万元。</w:t>
      </w:r>
    </w:p>
    <w:p w14:paraId="5565AB25">
      <w:pPr>
        <w:spacing w:line="240" w:lineRule="auto"/>
        <w:ind w:firstLine="600" w:firstLineChars="200"/>
        <w:rPr>
          <w:rFonts w:hint="default"/>
          <w:lang w:val="en-US"/>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20.43</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rPr>
        <w:t>印刷费</w:t>
      </w:r>
      <w:r>
        <w:rPr>
          <w:rFonts w:hint="eastAsia" w:ascii="仿宋" w:hAnsi="仿宋" w:eastAsia="仿宋" w:cs="仿宋"/>
          <w:bCs/>
          <w:sz w:val="30"/>
          <w:szCs w:val="30"/>
          <w:lang w:val="en-US" w:eastAsia="zh-CN"/>
        </w:rPr>
        <w:t>0.72</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0.42</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1.57</w:t>
      </w:r>
      <w:r>
        <w:rPr>
          <w:rFonts w:hint="eastAsia" w:ascii="仿宋" w:hAnsi="仿宋" w:eastAsia="仿宋" w:cs="仿宋"/>
          <w:bCs/>
          <w:sz w:val="30"/>
          <w:szCs w:val="30"/>
        </w:rPr>
        <w:t>万元；维修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2.09</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0.27</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14.66</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劳务费0.32万元；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0.18</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0.20万元。</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40.12</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1.59万元；津贴补贴15.80万元；奖金0.15万元；绩效工资1.07万元；机关事业单位基本养老保险缴费0.23万元；职工基本医疗保险缴费0.12万元；其他社会保障缴费0.05万元；其他工资福利支出7.78万元；办公费0.75万元；印刷费1.02万元；电费0.12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3.53</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专用材料费3.61万元；工会经费0.42万元；其他商品和服务支出3.88万元。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为深入贯彻落实全面实施预算绩效管理的要求，建立科学、合理的预算支出绩效评价体系，提升财政资源配置效率与使用效益，特对岳阳市岳阳楼区五幼儿园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6D6E946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优化我园“幼儿一日活动”，我园根据幼儿的年龄特点实施了教育理念儿童化、内容生活化、策略游戏化、途径本土化、课程育人化的“五化”工程。一是以年级组为单位特色体育项目；二是开展“体能大循环”、每天“阳光体育1小时”及户外自主游戏活动；三是开发《民间体育游戏》和《纸趣横生》园本课程；四是开展分级阅读指导,开展故事小达人选优；五是科学做好幼小衔接。</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71DDABE7">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①精选活动主题，形成特色课程</w:t>
      </w:r>
    </w:p>
    <w:p w14:paraId="1C666A1B">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我园基于儿童视角，整合多领域内容，开展系列节日主题活动：1-2月欢喜童年迎春节，3月温暖童年爱心节，4月书香童年悦读节，5月的自主童年游戏节，6月多彩童年艺术节，7-8月自立童年技能节，9 月幸福童年中秋节，10月筑梦童年国庆节，11月趣味童年运动节，12月创意童年科技节。</w:t>
      </w:r>
    </w:p>
    <w:p w14:paraId="51D6B992">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②推行小管家活动，促进习惯养成</w:t>
      </w:r>
    </w:p>
    <w:p w14:paraId="76266AE0">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合理制定班级养成教育计划，大力推行幼儿自主管理班级事务和物品，开展竞聘上岗、生活自理能力大比拼等，以生活小管家活动落实品德启蒙教育。</w:t>
      </w:r>
    </w:p>
    <w:p w14:paraId="607DD1A0">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③加强家园社合作，创新家园共育</w:t>
      </w:r>
    </w:p>
    <w:p w14:paraId="2607850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定期组织家长会和亲子活动，积极与社区进行联动共育，形成三合力,共同担当其培养幼儿的任务。</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及时发放教职工的工资及福利待遇。</w:t>
      </w:r>
    </w:p>
    <w:p w14:paraId="6C6868F9">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2A81E254">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我园积极组织老师们参加业务培训，园长和副园长坚持进班观察指导，推门听随堂课及时交流等。同时积极引进北京师范大学重点项目成果--钱志亮教授的儿童入学成熟水平能力提升方案，开创当地首家儿童入学成熟水平基地。组织教师参与《湖湘文化下幼儿园园本生活课程初探-纸趣横生》区级课题研究，《“湖湘”民间体育游戏园本课程的开发与实施研究》通过湖南省第二届基础教育教学改革项目立项。 </w:t>
      </w:r>
    </w:p>
    <w:p w14:paraId="0718D80E">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FDC66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通过开展垃圾分类活动，培养幼儿的生态环保意识。</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家长满意度95%，社会公众满意度96%。</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C557D2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目前幼儿园的绩效评价指标体系主要侧重于教学成果和财务合规性方面，对于幼儿园的可持续发展、幼儿的长期发展以及社会效益等方面的指标设置相对较少。</w:t>
      </w:r>
    </w:p>
    <w:p w14:paraId="4084B00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教研活动的实效性有待增强，需要更加聚焦于解决实际教学中的问题。</w:t>
      </w:r>
    </w:p>
    <w:p w14:paraId="78716033">
      <w:pPr>
        <w:pStyle w:val="2"/>
        <w:rPr>
          <w:rFonts w:hint="eastAsia"/>
          <w:lang w:val="en-US" w:eastAsia="zh-CN"/>
        </w:rPr>
      </w:pPr>
      <w:r>
        <w:rPr>
          <w:rFonts w:hint="eastAsia" w:ascii="仿宋" w:hAnsi="仿宋" w:eastAsia="仿宋" w:cs="仿宋"/>
          <w:color w:val="000000"/>
          <w:sz w:val="30"/>
          <w:szCs w:val="30"/>
          <w:lang w:val="en-US" w:eastAsia="zh-CN"/>
        </w:rPr>
        <w:t>（三）虽然我园办园条件较好，但由于地理位置偏僻，周边职工大多数带孩子在城中心居住，职工少，适龄就读幼儿也少，且大多数为留守儿童，受周边民办园所招生影响目前仅有67名幼儿就读，存在严重的招生不足的问题。</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7B995F7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（一）进一步拓展绩效评价指标的涵盖范围，在关注教学成果和财务合规性的基础上，增加对幼儿园可持续发展、幼儿长期发展以及社会效益等方面的指标设置。</w:t>
      </w:r>
    </w:p>
    <w:p w14:paraId="039F600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（二）提升教研活动的针对性和实效性，鼓励教师参与课题研究，将研究成果转化为教学实践。</w:t>
      </w:r>
    </w:p>
    <w:p w14:paraId="7D2E5311">
      <w:pPr>
        <w:pStyle w:val="2"/>
        <w:rPr>
          <w:rFonts w:hint="eastAsia"/>
          <w:lang w:val="en-US" w:eastAsia="zh-CN"/>
        </w:rPr>
      </w:pPr>
      <w:r>
        <w:rPr>
          <w:rFonts w:hint="eastAsia" w:ascii="仿宋" w:hAnsi="仿宋" w:eastAsia="仿宋" w:cs="仿宋"/>
          <w:color w:val="000000"/>
          <w:sz w:val="30"/>
          <w:szCs w:val="30"/>
          <w:lang w:val="en-US" w:eastAsia="zh-CN"/>
        </w:rPr>
        <w:t>（三）需加大宣传力度，在居民中提高我园的知名度，达到在周边地区有较好的声誉和口碑。</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我们也深刻认识到学校在绩效评价方面还存在一些问题和不足。在今后的工作中，我们将以问题为导向，采取切实有效的改进措施，不断完善学校的管理机制，为学校的可持续发展和学生的全面成长提供有力保障。同时将部门整体支出绩效自评报告在单位门户网站上进行公开，广泛接受社会监督。</w:t>
      </w:r>
    </w:p>
    <w:p w14:paraId="674A111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2"/>
        <w:rPr>
          <w:rFonts w:ascii="Arial"/>
          <w:sz w:val="21"/>
        </w:rPr>
      </w:pPr>
    </w:p>
    <w:p w14:paraId="1E063AC7">
      <w:pPr>
        <w:pStyle w:val="2"/>
        <w:rPr>
          <w:rFonts w:ascii="Arial"/>
          <w:sz w:val="21"/>
        </w:rPr>
      </w:pPr>
    </w:p>
    <w:p w14:paraId="6E4AF6A6">
      <w:pPr>
        <w:pStyle w:val="2"/>
        <w:rPr>
          <w:rFonts w:ascii="Arial"/>
          <w:sz w:val="21"/>
        </w:rPr>
      </w:pPr>
    </w:p>
    <w:p w14:paraId="074A0A4F">
      <w:pPr>
        <w:pStyle w:val="2"/>
        <w:rPr>
          <w:rFonts w:ascii="Arial"/>
          <w:sz w:val="21"/>
        </w:rPr>
      </w:pPr>
    </w:p>
    <w:p w14:paraId="4FFE2821">
      <w:pPr>
        <w:pStyle w:val="2"/>
        <w:rPr>
          <w:rFonts w:ascii="Arial"/>
          <w:sz w:val="21"/>
        </w:rPr>
      </w:pPr>
    </w:p>
    <w:p w14:paraId="0C0E1D15">
      <w:pPr>
        <w:pStyle w:val="2"/>
        <w:rPr>
          <w:rFonts w:ascii="Arial"/>
          <w:sz w:val="21"/>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64583879">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eastAsia" w:ascii="黑体" w:hAnsi="黑体" w:eastAsia="黑体" w:cs="黑体"/>
          <w:b w:val="0"/>
          <w:bCs w:val="0"/>
          <w:color w:val="000000"/>
          <w:spacing w:val="10"/>
          <w:sz w:val="32"/>
          <w:szCs w:val="32"/>
          <w:lang w:eastAsia="zh-CN"/>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2E924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AAB1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岳阳市岳阳楼区五幼儿园</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600.00%</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40.12</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40.12</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10.00</w:t>
            </w:r>
          </w:p>
        </w:tc>
        <w:tc>
          <w:tcPr>
            <w:tcW w:w="2208" w:type="dxa"/>
            <w:gridSpan w:val="2"/>
            <w:noWrap w:val="0"/>
            <w:vAlign w:val="top"/>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20.43</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3.20</w:t>
            </w:r>
          </w:p>
        </w:tc>
        <w:tc>
          <w:tcPr>
            <w:tcW w:w="2208" w:type="dxa"/>
            <w:gridSpan w:val="2"/>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0.60</w:t>
            </w:r>
          </w:p>
        </w:tc>
        <w:tc>
          <w:tcPr>
            <w:tcW w:w="2208" w:type="dxa"/>
            <w:gridSpan w:val="2"/>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1.99</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0.80</w:t>
            </w:r>
          </w:p>
        </w:tc>
        <w:tc>
          <w:tcPr>
            <w:tcW w:w="2208" w:type="dxa"/>
            <w:gridSpan w:val="2"/>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0.27</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33.73</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Theme="majorEastAsia" w:hAnsiTheme="majorEastAsia" w:eastAsiaTheme="majorEastAsia" w:cstheme="majorEastAsia"/>
                <w:color w:val="000000" w:themeColor="text1"/>
                <w:sz w:val="21"/>
                <w14:textFill>
                  <w14:solidFill>
                    <w14:schemeClr w14:val="tx1"/>
                  </w14:solidFill>
                </w14:textFill>
              </w:rPr>
              <w:t>坚持开展宣传教育、建全工作机制、建章立制、监督检查、加强管理</w:t>
            </w:r>
          </w:p>
        </w:tc>
      </w:tr>
    </w:tbl>
    <w:p w14:paraId="121D060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61E2D8F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ascii="黑体" w:hAnsi="黑体" w:eastAsia="黑体" w:cs="黑体"/>
          <w:spacing w:val="-4"/>
          <w:sz w:val="31"/>
          <w:szCs w:val="31"/>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刘巧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联系电话：13789013005</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2025年7月7日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岳阳市岳阳楼区五幼儿园</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39.69</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93.96</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90.96</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96.81%</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9.68</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80.18</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50.84</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40.12</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cs="宋体" w:eastAsiaTheme="minorEastAsia"/>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13.78</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6386DE38">
            <w:pPr>
              <w:spacing w:before="62" w:line="230" w:lineRule="auto"/>
              <w:ind w:left="358" w:leftChars="85" w:right="139" w:hanging="180" w:hangingChars="100"/>
              <w:rPr>
                <w:rFonts w:hint="eastAsia" w:ascii="宋体" w:hAnsi="宋体" w:eastAsia="宋体" w:cs="宋体"/>
                <w:kern w:val="2"/>
                <w:sz w:val="18"/>
                <w:szCs w:val="18"/>
                <w:lang w:val="en-US" w:eastAsia="en-US" w:bidi="ar-SA"/>
              </w:rPr>
            </w:pPr>
          </w:p>
          <w:p w14:paraId="249CA2D5">
            <w:pPr>
              <w:spacing w:before="62" w:line="230" w:lineRule="auto"/>
              <w:ind w:left="358" w:leftChars="85" w:right="139" w:hanging="180" w:hangingChars="100"/>
              <w:rPr>
                <w:rFonts w:hint="eastAsia" w:ascii="宋体" w:hAnsi="宋体" w:eastAsia="宋体" w:cs="宋体"/>
                <w:kern w:val="2"/>
                <w:sz w:val="18"/>
                <w:szCs w:val="18"/>
                <w:lang w:val="en-US" w:eastAsia="en-US" w:bidi="ar-SA"/>
              </w:rPr>
            </w:pPr>
          </w:p>
          <w:p w14:paraId="47473AE8">
            <w:pPr>
              <w:spacing w:before="62" w:line="230" w:lineRule="auto"/>
              <w:ind w:left="358" w:leftChars="85" w:right="139" w:hanging="180" w:hangingChars="100"/>
              <w:jc w:val="center"/>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33D37BFB">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1</w:t>
            </w:r>
            <w:r>
              <w:rPr>
                <w:rFonts w:hint="default" w:ascii="宋体" w:hAnsi="宋体" w:eastAsia="宋体" w:cs="宋体"/>
                <w:sz w:val="18"/>
                <w:szCs w:val="18"/>
                <w:lang w:val="en-US" w:eastAsia="zh-CN"/>
              </w:rPr>
              <w:t>：以《3-6 岁儿童学习与发展指南》为指引，进一步完善课程体系，深化特色课程（如民间游戏课程、食育课程）的实施，确保幼儿在语言、认知、动手操作等方面的综合素质测评优秀率较上一年度提升</w:t>
            </w:r>
            <w:r>
              <w:rPr>
                <w:rFonts w:hint="eastAsia" w:ascii="宋体" w:hAnsi="宋体" w:eastAsia="宋体" w:cs="宋体"/>
                <w:sz w:val="18"/>
                <w:szCs w:val="18"/>
                <w:lang w:val="en-US" w:eastAsia="zh-CN"/>
              </w:rPr>
              <w:t>；</w:t>
            </w:r>
          </w:p>
          <w:p w14:paraId="2DBD9393">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：加强师资队伍专业化建设，园内教研活动每月至少</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次，确保教师专业素养显著提升</w:t>
            </w:r>
            <w:r>
              <w:rPr>
                <w:rFonts w:hint="eastAsia" w:ascii="宋体" w:hAnsi="宋体" w:eastAsia="宋体" w:cs="宋体"/>
                <w:sz w:val="18"/>
                <w:szCs w:val="18"/>
                <w:lang w:val="en-US" w:eastAsia="zh-CN"/>
              </w:rPr>
              <w:t>；</w:t>
            </w:r>
          </w:p>
          <w:p w14:paraId="58BC91FC">
            <w:pPr>
              <w:jc w:val="left"/>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3</w:t>
            </w:r>
            <w:r>
              <w:rPr>
                <w:rFonts w:hint="default" w:ascii="宋体" w:hAnsi="宋体" w:eastAsia="宋体" w:cs="宋体"/>
                <w:sz w:val="18"/>
                <w:szCs w:val="18"/>
                <w:lang w:val="en-US" w:eastAsia="zh-CN"/>
              </w:rPr>
              <w:t>：严格执行预算管理制度，确保年度整体支出预算完成率达</w:t>
            </w:r>
            <w:r>
              <w:rPr>
                <w:rFonts w:hint="eastAsia" w:ascii="宋体" w:hAnsi="宋体" w:eastAsia="宋体" w:cs="宋体"/>
                <w:sz w:val="18"/>
                <w:szCs w:val="18"/>
                <w:lang w:val="en-US" w:eastAsia="zh-CN"/>
              </w:rPr>
              <w:t>到</w:t>
            </w:r>
            <w:r>
              <w:rPr>
                <w:rFonts w:hint="default" w:ascii="宋体" w:hAnsi="宋体" w:eastAsia="宋体" w:cs="宋体"/>
                <w:sz w:val="18"/>
                <w:szCs w:val="18"/>
                <w:lang w:val="en-US" w:eastAsia="zh-CN"/>
              </w:rPr>
              <w:t>95%以上，基本支出与项目支出均控制在预算范围内</w:t>
            </w:r>
            <w:r>
              <w:rPr>
                <w:rFonts w:hint="eastAsia" w:ascii="宋体" w:hAnsi="宋体" w:eastAsia="宋体" w:cs="宋体"/>
                <w:sz w:val="18"/>
                <w:szCs w:val="18"/>
                <w:lang w:val="en-US" w:eastAsia="zh-CN"/>
              </w:rPr>
              <w:t>；</w:t>
            </w:r>
          </w:p>
          <w:p w14:paraId="71BDDD94">
            <w:pPr>
              <w:pStyle w:val="2"/>
              <w:ind w:left="0" w:leftChars="0" w:firstLine="0" w:firstLineChars="0"/>
              <w:rPr>
                <w:rFonts w:hint="default"/>
                <w:lang w:val="en-US" w:eastAsia="zh-CN"/>
              </w:rPr>
            </w:pPr>
            <w:r>
              <w:rPr>
                <w:rFonts w:hint="eastAsia" w:ascii="宋体" w:hAnsi="宋体" w:cs="宋体"/>
                <w:sz w:val="18"/>
                <w:szCs w:val="18"/>
                <w:lang w:val="en-US" w:eastAsia="zh-CN"/>
              </w:rPr>
              <w:t>目标4：提高安全管理水平，为幼儿的健康快乐成长保驾护航。</w:t>
            </w:r>
          </w:p>
        </w:tc>
        <w:tc>
          <w:tcPr>
            <w:tcW w:w="3936" w:type="dxa"/>
            <w:gridSpan w:val="4"/>
            <w:noWrap w:val="0"/>
            <w:vAlign w:val="center"/>
          </w:tcPr>
          <w:p w14:paraId="36CDEDE2">
            <w:pPr>
              <w:pStyle w:val="6"/>
              <w:spacing w:before="0" w:beforeAutospacing="0" w:after="0" w:afterAutospacing="0"/>
              <w:jc w:val="both"/>
              <w:rPr>
                <w:rFonts w:hint="default" w:ascii="宋体" w:hAnsi="宋体" w:eastAsia="宋体" w:cs="宋体"/>
                <w:sz w:val="18"/>
                <w:szCs w:val="18"/>
                <w:lang w:val="en-US"/>
              </w:rPr>
            </w:pPr>
            <w:r>
              <w:rPr>
                <w:rFonts w:hint="eastAsia" w:ascii="宋体" w:hAnsi="宋体" w:eastAsia="宋体" w:cs="宋体"/>
                <w:sz w:val="18"/>
                <w:szCs w:val="18"/>
              </w:rPr>
              <w:t>目标</w:t>
            </w:r>
            <w:r>
              <w:rPr>
                <w:rFonts w:hint="eastAsia" w:cs="宋体"/>
                <w:sz w:val="18"/>
                <w:szCs w:val="18"/>
                <w:lang w:val="en-US" w:eastAsia="zh-CN"/>
              </w:rPr>
              <w:t>1</w:t>
            </w:r>
            <w:r>
              <w:rPr>
                <w:rFonts w:hint="eastAsia" w:ascii="宋体" w:hAnsi="宋体" w:eastAsia="宋体" w:cs="宋体"/>
                <w:sz w:val="18"/>
                <w:szCs w:val="18"/>
              </w:rPr>
              <w:t>：</w:t>
            </w:r>
            <w:r>
              <w:rPr>
                <w:rFonts w:hint="default" w:ascii="宋体" w:hAnsi="宋体" w:eastAsia="宋体" w:cs="宋体"/>
                <w:sz w:val="18"/>
                <w:szCs w:val="18"/>
                <w:lang w:val="en-US" w:eastAsia="zh-CN"/>
              </w:rPr>
              <w:t>幼儿在语言、认知、动手操作等方面的综合素质测评</w:t>
            </w:r>
            <w:r>
              <w:rPr>
                <w:rFonts w:hint="eastAsia" w:cs="宋体"/>
                <w:sz w:val="18"/>
                <w:szCs w:val="18"/>
                <w:lang w:val="en-US" w:eastAsia="zh-CN"/>
              </w:rPr>
              <w:t>显著提升；</w:t>
            </w:r>
          </w:p>
          <w:p w14:paraId="7C88DE4A">
            <w:pPr>
              <w:pStyle w:val="6"/>
              <w:spacing w:before="0" w:beforeAutospacing="0" w:after="0" w:afterAutospacing="0"/>
              <w:jc w:val="both"/>
              <w:rPr>
                <w:rFonts w:hint="eastAsia" w:eastAsia="宋体" w:cs="宋体"/>
                <w:sz w:val="18"/>
                <w:szCs w:val="18"/>
                <w:lang w:eastAsia="zh-CN"/>
              </w:rPr>
            </w:pPr>
            <w:r>
              <w:rPr>
                <w:rFonts w:hint="eastAsia" w:ascii="宋体" w:hAnsi="宋体" w:eastAsia="宋体" w:cs="宋体"/>
                <w:sz w:val="18"/>
                <w:szCs w:val="18"/>
              </w:rPr>
              <w:t>目标</w:t>
            </w:r>
            <w:r>
              <w:rPr>
                <w:rFonts w:hint="eastAsia" w:cs="宋体"/>
                <w:sz w:val="18"/>
                <w:szCs w:val="18"/>
                <w:lang w:val="en-US" w:eastAsia="zh-CN"/>
              </w:rPr>
              <w:t>2</w:t>
            </w:r>
            <w:r>
              <w:rPr>
                <w:rFonts w:hint="eastAsia" w:ascii="宋体" w:hAnsi="宋体" w:eastAsia="宋体" w:cs="宋体"/>
                <w:sz w:val="18"/>
                <w:szCs w:val="18"/>
              </w:rPr>
              <w:t>：作为新建园所，我们十分重视激励机制的开发，通过科学合理的绩效考核制度来提升教师的待遇水平，促进教师待遇及培训水平的不断提升</w:t>
            </w:r>
            <w:r>
              <w:rPr>
                <w:rFonts w:hint="eastAsia" w:cs="宋体"/>
                <w:sz w:val="18"/>
                <w:szCs w:val="18"/>
                <w:lang w:eastAsia="zh-CN"/>
              </w:rPr>
              <w:t>；</w:t>
            </w:r>
          </w:p>
          <w:p w14:paraId="3728C6BA">
            <w:pPr>
              <w:pStyle w:val="6"/>
              <w:spacing w:before="0" w:beforeAutospacing="0" w:after="0" w:afterAutospacing="0"/>
              <w:jc w:val="both"/>
              <w:rPr>
                <w:rFonts w:hint="eastAsia" w:cs="宋体"/>
                <w:sz w:val="18"/>
                <w:szCs w:val="18"/>
                <w:lang w:val="en-US" w:eastAsia="zh-CN"/>
              </w:rPr>
            </w:pPr>
            <w:r>
              <w:rPr>
                <w:rFonts w:hint="eastAsia" w:ascii="宋体" w:hAnsi="宋体" w:eastAsia="宋体" w:cs="宋体"/>
                <w:sz w:val="18"/>
                <w:szCs w:val="18"/>
              </w:rPr>
              <w:t>目标</w:t>
            </w:r>
            <w:r>
              <w:rPr>
                <w:rFonts w:hint="eastAsia" w:cs="宋体"/>
                <w:sz w:val="18"/>
                <w:szCs w:val="18"/>
                <w:lang w:val="en-US" w:eastAsia="zh-CN"/>
              </w:rPr>
              <w:t>3</w:t>
            </w:r>
            <w:r>
              <w:rPr>
                <w:rFonts w:hint="eastAsia" w:ascii="宋体" w:hAnsi="宋体" w:eastAsia="宋体" w:cs="宋体"/>
                <w:sz w:val="18"/>
                <w:szCs w:val="18"/>
              </w:rPr>
              <w:t>：</w:t>
            </w:r>
            <w:r>
              <w:rPr>
                <w:rFonts w:hint="eastAsia" w:cs="宋体"/>
                <w:sz w:val="18"/>
                <w:szCs w:val="18"/>
                <w:lang w:val="en-US" w:eastAsia="zh-CN"/>
              </w:rPr>
              <w:t>支出控制在</w:t>
            </w:r>
            <w:r>
              <w:rPr>
                <w:rFonts w:hint="default" w:ascii="宋体" w:hAnsi="宋体" w:eastAsia="宋体" w:cs="宋体"/>
                <w:sz w:val="18"/>
                <w:szCs w:val="18"/>
                <w:lang w:val="en-US" w:eastAsia="zh-CN"/>
              </w:rPr>
              <w:t>预算范围内</w:t>
            </w:r>
            <w:r>
              <w:rPr>
                <w:rFonts w:hint="eastAsia" w:cs="宋体"/>
                <w:sz w:val="18"/>
                <w:szCs w:val="18"/>
                <w:lang w:val="en-US" w:eastAsia="zh-CN"/>
              </w:rPr>
              <w:t>；</w:t>
            </w:r>
          </w:p>
          <w:p w14:paraId="53C7FE0B">
            <w:pPr>
              <w:pStyle w:val="6"/>
              <w:spacing w:before="0" w:beforeAutospacing="0" w:after="0" w:afterAutospacing="0"/>
              <w:jc w:val="both"/>
              <w:rPr>
                <w:rFonts w:hint="default" w:cs="宋体"/>
                <w:sz w:val="18"/>
                <w:szCs w:val="18"/>
                <w:lang w:val="en-US" w:eastAsia="zh-CN"/>
              </w:rPr>
            </w:pPr>
            <w:r>
              <w:rPr>
                <w:rFonts w:hint="eastAsia" w:cs="宋体"/>
                <w:sz w:val="18"/>
                <w:szCs w:val="18"/>
                <w:lang w:val="en-US" w:eastAsia="zh-CN"/>
              </w:rPr>
              <w:t>目标4：本年度健全了幼儿园安全制度和各类应急处置预案，建立安全台账，配备专职保安，定期开展了安全教育、排查和演练等，我们努力提高安全管理水平，将安全事故消灭在萌芽状态。</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学生招生数量</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67人</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67人</w:t>
            </w:r>
          </w:p>
        </w:tc>
        <w:tc>
          <w:tcPr>
            <w:tcW w:w="576" w:type="dxa"/>
            <w:noWrap w:val="0"/>
            <w:vAlign w:val="center"/>
          </w:tcPr>
          <w:p w14:paraId="2866D3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04" w:type="dxa"/>
            <w:vMerge w:val="continue"/>
            <w:tcBorders>
              <w:top w:val="nil"/>
              <w:bottom w:val="nil"/>
            </w:tcBorders>
            <w:noWrap w:val="0"/>
            <w:textDirection w:val="tbRlV"/>
            <w:vAlign w:val="top"/>
          </w:tcPr>
          <w:p w14:paraId="6EFC0EC3">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9507609">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3A061107">
            <w:pPr>
              <w:pStyle w:val="11"/>
              <w:rPr>
                <w:rFonts w:hint="eastAsia" w:ascii="宋体" w:hAnsi="宋体" w:eastAsia="宋体" w:cs="宋体"/>
                <w:sz w:val="18"/>
                <w:szCs w:val="18"/>
              </w:rPr>
            </w:pPr>
          </w:p>
        </w:tc>
        <w:tc>
          <w:tcPr>
            <w:tcW w:w="1332" w:type="dxa"/>
            <w:noWrap w:val="0"/>
            <w:vAlign w:val="top"/>
          </w:tcPr>
          <w:p w14:paraId="5131A158">
            <w:pPr>
              <w:pStyle w:val="11"/>
              <w:spacing w:line="235" w:lineRule="exact"/>
              <w:jc w:val="lef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幼儿园占地面积</w:t>
            </w:r>
          </w:p>
        </w:tc>
        <w:tc>
          <w:tcPr>
            <w:tcW w:w="1584" w:type="dxa"/>
            <w:noWrap w:val="0"/>
            <w:vAlign w:val="center"/>
          </w:tcPr>
          <w:p w14:paraId="2ECF97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4200㎡</w:t>
            </w:r>
          </w:p>
        </w:tc>
        <w:tc>
          <w:tcPr>
            <w:tcW w:w="1164" w:type="dxa"/>
            <w:noWrap w:val="0"/>
            <w:vAlign w:val="center"/>
          </w:tcPr>
          <w:p w14:paraId="044A3CC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4200㎡</w:t>
            </w:r>
          </w:p>
        </w:tc>
        <w:tc>
          <w:tcPr>
            <w:tcW w:w="576" w:type="dxa"/>
            <w:noWrap w:val="0"/>
            <w:vAlign w:val="center"/>
          </w:tcPr>
          <w:p w14:paraId="6DF2EF5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7E07D6C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26027A62">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安全事故发生率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65BFB3FD">
            <w:pPr>
              <w:pStyle w:val="11"/>
              <w:spacing w:line="235" w:lineRule="exact"/>
              <w:rPr>
                <w:rFonts w:hint="eastAsia" w:ascii="宋体" w:hAnsi="宋体" w:eastAsia="宋体" w:cs="宋体"/>
                <w:sz w:val="18"/>
                <w:szCs w:val="18"/>
              </w:rPr>
            </w:pPr>
          </w:p>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新生入学率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ind w:firstLine="186" w:firstLineChars="100"/>
              <w:jc w:val="both"/>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4520A59A">
            <w:pPr>
              <w:pStyle w:val="11"/>
              <w:spacing w:line="235" w:lineRule="exact"/>
              <w:jc w:val="left"/>
              <w:rPr>
                <w:rFonts w:hint="eastAsia" w:eastAsia="宋体"/>
                <w:color w:val="000000" w:themeColor="text1"/>
                <w:sz w:val="18"/>
                <w:szCs w:val="18"/>
                <w:lang w:val="en-US" w:eastAsia="zh-CN"/>
                <w14:textFill>
                  <w14:solidFill>
                    <w14:schemeClr w14:val="tx1"/>
                  </w14:solidFill>
                </w14:textFill>
              </w:rPr>
            </w:pPr>
          </w:p>
          <w:p w14:paraId="3C1107E0">
            <w:pPr>
              <w:pStyle w:val="11"/>
              <w:spacing w:line="235" w:lineRule="exact"/>
              <w:jc w:val="left"/>
              <w:rPr>
                <w:rFonts w:hint="default" w:ascii="宋体" w:hAnsi="宋体" w:eastAsia="宋体" w:cs="宋体"/>
                <w:sz w:val="18"/>
                <w:szCs w:val="18"/>
                <w:lang w:val="en-US" w:eastAsia="zh-CN"/>
              </w:rPr>
            </w:pPr>
            <w:r>
              <w:rPr>
                <w:rFonts w:hint="eastAsia" w:eastAsia="宋体"/>
                <w:color w:val="000000" w:themeColor="text1"/>
                <w:sz w:val="18"/>
                <w:szCs w:val="18"/>
                <w:lang w:val="en-US" w:eastAsia="zh-CN"/>
                <w14:textFill>
                  <w14:solidFill>
                    <w14:schemeClr w14:val="tx1"/>
                  </w14:solidFill>
                </w14:textFill>
              </w:rPr>
              <w:t>毕业率完成时间</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2024.6.30</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2024.6.30</w:t>
            </w:r>
          </w:p>
        </w:tc>
        <w:tc>
          <w:tcPr>
            <w:tcW w:w="576" w:type="dxa"/>
            <w:noWrap w:val="0"/>
            <w:vAlign w:val="center"/>
          </w:tcPr>
          <w:p w14:paraId="630109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C27FDB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教育经费控制在预算内</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19C1264">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加强教师队伍建设，提高教师专业素养</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有所加强</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有所加强</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firstLine="186" w:firstLineChars="100"/>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通过开展垃圾分类活动，培养幼儿的生态环保意识</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效果明显</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效果明显</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both"/>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9.3</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4E8522D2">
            <w:pPr>
              <w:pStyle w:val="11"/>
              <w:spacing w:line="235" w:lineRule="exact"/>
              <w:rPr>
                <w:rFonts w:hint="eastAsia" w:ascii="宋体" w:hAnsi="宋体" w:eastAsia="宋体" w:cs="宋体"/>
                <w:i w:val="0"/>
                <w:iCs w:val="0"/>
                <w:color w:val="000000"/>
                <w:kern w:val="0"/>
                <w:sz w:val="18"/>
                <w:szCs w:val="18"/>
                <w:u w:val="none"/>
                <w:lang w:val="en-US" w:eastAsia="zh-CN" w:bidi="ar"/>
              </w:rPr>
            </w:pPr>
          </w:p>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培养儿童良好习惯</w:t>
            </w:r>
          </w:p>
        </w:tc>
        <w:tc>
          <w:tcPr>
            <w:tcW w:w="1584" w:type="dxa"/>
            <w:tcBorders>
              <w:left w:val="single" w:color="auto" w:sz="4" w:space="0"/>
            </w:tcBorders>
            <w:noWrap w:val="0"/>
            <w:vAlign w:val="center"/>
          </w:tcPr>
          <w:p w14:paraId="0D01219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1164" w:type="dxa"/>
            <w:noWrap w:val="0"/>
            <w:vAlign w:val="center"/>
          </w:tcPr>
          <w:p w14:paraId="3DD9F3E5">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9.3</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firstLine="188" w:firstLineChars="100"/>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287B1F57">
            <w:pPr>
              <w:spacing w:before="110" w:line="226" w:lineRule="auto"/>
              <w:rPr>
                <w:rFonts w:hint="eastAsia" w:ascii="宋体" w:hAnsi="宋体" w:eastAsia="宋体" w:cs="宋体"/>
                <w:sz w:val="18"/>
                <w:szCs w:val="18"/>
              </w:rPr>
            </w:pPr>
            <w:r>
              <w:rPr>
                <w:rFonts w:hint="eastAsia" w:ascii="宋体" w:hAnsi="宋体" w:eastAsia="宋体" w:cs="宋体"/>
                <w:spacing w:val="7"/>
                <w:sz w:val="18"/>
                <w:szCs w:val="18"/>
              </w:rPr>
              <w:t>服务对象</w:t>
            </w:r>
            <w:r>
              <w:rPr>
                <w:rFonts w:hint="eastAsia" w:ascii="宋体" w:hAnsi="宋体" w:eastAsia="宋体" w:cs="宋体"/>
                <w:spacing w:val="5"/>
                <w:sz w:val="18"/>
                <w:szCs w:val="18"/>
              </w:rPr>
              <w:t>满意度指</w:t>
            </w: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0A71E38A">
            <w:pPr>
              <w:pStyle w:val="11"/>
              <w:spacing w:line="235" w:lineRule="exact"/>
              <w:rPr>
                <w:rFonts w:hint="eastAsia" w:ascii="宋体" w:hAnsi="宋体" w:eastAsia="宋体" w:cs="宋体"/>
                <w:sz w:val="18"/>
                <w:szCs w:val="18"/>
                <w:lang w:val="en-US" w:eastAsia="zh-CN"/>
              </w:rPr>
            </w:pPr>
          </w:p>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58E03F9E">
            <w:pPr>
              <w:pStyle w:val="11"/>
              <w:spacing w:line="235" w:lineRule="exact"/>
              <w:jc w:val="center"/>
              <w:rPr>
                <w:rFonts w:hint="eastAsia" w:ascii="宋体" w:hAnsi="宋体" w:eastAsia="宋体" w:cs="宋体"/>
                <w:sz w:val="18"/>
                <w:szCs w:val="18"/>
                <w:lang w:val="en-US" w:eastAsia="zh-CN"/>
              </w:rPr>
            </w:pPr>
          </w:p>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1E686B77">
            <w:pPr>
              <w:pStyle w:val="11"/>
              <w:spacing w:line="235" w:lineRule="exact"/>
              <w:jc w:val="center"/>
              <w:rPr>
                <w:rFonts w:hint="eastAsia" w:ascii="宋体" w:hAnsi="宋体" w:eastAsia="宋体" w:cs="宋体"/>
                <w:sz w:val="18"/>
                <w:szCs w:val="18"/>
                <w:lang w:val="en-US" w:eastAsia="zh-CN"/>
              </w:rPr>
            </w:pPr>
          </w:p>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576" w:type="dxa"/>
            <w:noWrap w:val="0"/>
            <w:vAlign w:val="top"/>
          </w:tcPr>
          <w:p w14:paraId="3CA2860F">
            <w:pPr>
              <w:pStyle w:val="11"/>
              <w:spacing w:line="235" w:lineRule="exact"/>
              <w:jc w:val="center"/>
              <w:rPr>
                <w:rFonts w:hint="eastAsia" w:ascii="宋体" w:hAnsi="宋体" w:eastAsia="宋体" w:cs="宋体"/>
                <w:sz w:val="18"/>
                <w:szCs w:val="18"/>
                <w:lang w:val="en-US" w:eastAsia="zh-CN"/>
              </w:rPr>
            </w:pPr>
          </w:p>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6DB642F5">
            <w:pPr>
              <w:pStyle w:val="11"/>
              <w:spacing w:line="235" w:lineRule="exact"/>
              <w:jc w:val="center"/>
              <w:rPr>
                <w:rFonts w:hint="eastAsia" w:ascii="宋体" w:hAnsi="宋体" w:eastAsia="宋体" w:cs="宋体"/>
                <w:sz w:val="18"/>
                <w:szCs w:val="18"/>
                <w:lang w:val="en-US" w:eastAsia="zh-CN"/>
              </w:rPr>
            </w:pPr>
          </w:p>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12AD629">
            <w:pPr>
              <w:pStyle w:val="11"/>
              <w:spacing w:line="235" w:lineRule="exact"/>
              <w:rPr>
                <w:rFonts w:hint="eastAsia" w:ascii="宋体" w:hAnsi="宋体" w:eastAsia="宋体" w:cs="宋体"/>
                <w:sz w:val="18"/>
                <w:szCs w:val="18"/>
                <w:lang w:val="en-US" w:eastAsia="zh-CN"/>
              </w:rPr>
            </w:pPr>
          </w:p>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社会公众满意度</w:t>
            </w:r>
          </w:p>
        </w:tc>
        <w:tc>
          <w:tcPr>
            <w:tcW w:w="1584" w:type="dxa"/>
            <w:noWrap w:val="0"/>
            <w:vAlign w:val="top"/>
          </w:tcPr>
          <w:p w14:paraId="03305D7A">
            <w:pPr>
              <w:pStyle w:val="11"/>
              <w:spacing w:line="235" w:lineRule="exact"/>
              <w:jc w:val="center"/>
              <w:rPr>
                <w:rFonts w:hint="eastAsia" w:ascii="宋体" w:hAnsi="宋体" w:eastAsia="宋体" w:cs="宋体"/>
                <w:sz w:val="18"/>
                <w:szCs w:val="18"/>
                <w:lang w:val="en-US" w:eastAsia="zh-CN"/>
              </w:rPr>
            </w:pPr>
          </w:p>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159FDAA1">
            <w:pPr>
              <w:pStyle w:val="11"/>
              <w:spacing w:line="235" w:lineRule="exact"/>
              <w:jc w:val="center"/>
              <w:rPr>
                <w:rFonts w:hint="eastAsia" w:ascii="宋体" w:hAnsi="宋体" w:eastAsia="宋体" w:cs="宋体"/>
                <w:sz w:val="18"/>
                <w:szCs w:val="18"/>
                <w:lang w:val="en-US" w:eastAsia="zh-CN"/>
              </w:rPr>
            </w:pPr>
          </w:p>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576" w:type="dxa"/>
            <w:noWrap w:val="0"/>
            <w:vAlign w:val="top"/>
          </w:tcPr>
          <w:p w14:paraId="376F5D4E">
            <w:pPr>
              <w:pStyle w:val="11"/>
              <w:spacing w:line="235" w:lineRule="exact"/>
              <w:jc w:val="center"/>
              <w:rPr>
                <w:rFonts w:hint="eastAsia" w:ascii="宋体" w:hAnsi="宋体" w:eastAsia="宋体" w:cs="宋体"/>
                <w:sz w:val="18"/>
                <w:szCs w:val="18"/>
                <w:lang w:val="en-US" w:eastAsia="zh-CN"/>
              </w:rPr>
            </w:pPr>
          </w:p>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6C6FC370">
            <w:pPr>
              <w:pStyle w:val="11"/>
              <w:spacing w:line="235" w:lineRule="exact"/>
              <w:jc w:val="center"/>
              <w:rPr>
                <w:rFonts w:hint="eastAsia" w:ascii="宋体" w:hAnsi="宋体" w:eastAsia="宋体" w:cs="宋体"/>
                <w:sz w:val="18"/>
                <w:szCs w:val="18"/>
                <w:lang w:val="en-US" w:eastAsia="zh-CN"/>
              </w:rPr>
            </w:pPr>
          </w:p>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79CD9A06">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97.28</w:t>
            </w:r>
          </w:p>
        </w:tc>
        <w:tc>
          <w:tcPr>
            <w:tcW w:w="1236" w:type="dxa"/>
            <w:noWrap w:val="0"/>
            <w:vAlign w:val="top"/>
          </w:tcPr>
          <w:p w14:paraId="26ECF59E">
            <w:pPr>
              <w:pStyle w:val="11"/>
              <w:rPr>
                <w:rFonts w:hint="eastAsia" w:ascii="宋体" w:hAnsi="宋体" w:eastAsia="宋体" w:cs="宋体"/>
                <w:sz w:val="18"/>
                <w:szCs w:val="18"/>
              </w:rPr>
            </w:pPr>
          </w:p>
        </w:tc>
      </w:tr>
    </w:tbl>
    <w:p w14:paraId="23FA97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375870">
      <w:pPr>
        <w:tabs>
          <w:tab w:val="left" w:pos="2572"/>
        </w:tabs>
        <w:bidi w:val="0"/>
        <w:jc w:val="left"/>
        <w:rPr>
          <w:rFonts w:hint="eastAsia" w:eastAsiaTheme="minorEastAsia"/>
          <w:lang w:eastAsia="zh-CN"/>
        </w:rPr>
      </w:pPr>
    </w:p>
    <w:p w14:paraId="7F2C1F0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ascii="黑体" w:hAnsi="黑体" w:eastAsia="黑体" w:cs="黑体"/>
          <w:spacing w:val="-4"/>
          <w:sz w:val="31"/>
          <w:szCs w:val="31"/>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刘巧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联系电话：13789013005</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2025年7月7日</w:t>
      </w:r>
    </w:p>
    <w:p w14:paraId="7E82279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eastAsiaTheme="minorEastAsia"/>
          <w:lang w:eastAsia="zh-CN"/>
        </w:rPr>
      </w:pP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480B459"/>
    <w:multiLevelType w:val="singleLevel"/>
    <w:tmpl w:val="8480B459"/>
    <w:lvl w:ilvl="0" w:tentative="0">
      <w:start w:val="1"/>
      <w:numFmt w:val="chineseCounting"/>
      <w:suff w:val="nothing"/>
      <w:lvlText w:val="（%1）"/>
      <w:lvlJc w:val="left"/>
      <w:rPr>
        <w:rFonts w:hint="eastAsia"/>
      </w:rPr>
    </w:lvl>
  </w:abstractNum>
  <w:abstractNum w:abstractNumId="2">
    <w:nsid w:val="8F9525FE"/>
    <w:multiLevelType w:val="singleLevel"/>
    <w:tmpl w:val="8F9525FE"/>
    <w:lvl w:ilvl="0" w:tentative="0">
      <w:start w:val="1"/>
      <w:numFmt w:val="chineseCounting"/>
      <w:suff w:val="nothing"/>
      <w:lvlText w:val="%1、"/>
      <w:lvlJc w:val="left"/>
      <w:rPr>
        <w:rFonts w:hint="eastAsia"/>
      </w:rPr>
    </w:lvl>
  </w:abstractNum>
  <w:abstractNum w:abstractNumId="3">
    <w:nsid w:val="A106682A"/>
    <w:multiLevelType w:val="singleLevel"/>
    <w:tmpl w:val="A106682A"/>
    <w:lvl w:ilvl="0" w:tentative="0">
      <w:start w:val="10"/>
      <w:numFmt w:val="chineseCounting"/>
      <w:suff w:val="space"/>
      <w:lvlText w:val="%1、"/>
      <w:lvlJc w:val="left"/>
      <w:rPr>
        <w:rFonts w:hint="eastAsia"/>
      </w:rPr>
    </w:lvl>
  </w:abstractNum>
  <w:abstractNum w:abstractNumId="4">
    <w:nsid w:val="C3452724"/>
    <w:multiLevelType w:val="singleLevel"/>
    <w:tmpl w:val="C3452724"/>
    <w:lvl w:ilvl="0" w:tentative="0">
      <w:start w:val="4"/>
      <w:numFmt w:val="decimal"/>
      <w:suff w:val="nothing"/>
      <w:lvlText w:val="%1、"/>
      <w:lvlJc w:val="left"/>
    </w:lvl>
  </w:abstractNum>
  <w:abstractNum w:abstractNumId="5">
    <w:nsid w:val="DFC0C5EF"/>
    <w:multiLevelType w:val="singleLevel"/>
    <w:tmpl w:val="DFC0C5EF"/>
    <w:lvl w:ilvl="0" w:tentative="0">
      <w:start w:val="2"/>
      <w:numFmt w:val="chineseCounting"/>
      <w:suff w:val="nothing"/>
      <w:lvlText w:val="（%1）"/>
      <w:lvlJc w:val="left"/>
      <w:rPr>
        <w:rFonts w:hint="eastAsia"/>
      </w:rPr>
    </w:lvl>
  </w:abstractNum>
  <w:abstractNum w:abstractNumId="6">
    <w:nsid w:val="3316DE5C"/>
    <w:multiLevelType w:val="singleLevel"/>
    <w:tmpl w:val="3316DE5C"/>
    <w:lvl w:ilvl="0" w:tentative="0">
      <w:start w:val="1"/>
      <w:numFmt w:val="decimal"/>
      <w:suff w:val="nothing"/>
      <w:lvlText w:val="%1、"/>
      <w:lvlJc w:val="left"/>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87C0B"/>
    <w:rsid w:val="010B4A82"/>
    <w:rsid w:val="01192786"/>
    <w:rsid w:val="01201E6A"/>
    <w:rsid w:val="01273801"/>
    <w:rsid w:val="012D57C0"/>
    <w:rsid w:val="012E7568"/>
    <w:rsid w:val="01457029"/>
    <w:rsid w:val="014900E3"/>
    <w:rsid w:val="014C6B51"/>
    <w:rsid w:val="014F5749"/>
    <w:rsid w:val="015123B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400E"/>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1E2EEE"/>
    <w:rsid w:val="06286BB6"/>
    <w:rsid w:val="062C52C2"/>
    <w:rsid w:val="06405E9C"/>
    <w:rsid w:val="064D5380"/>
    <w:rsid w:val="064E0F6B"/>
    <w:rsid w:val="06517717"/>
    <w:rsid w:val="065B5774"/>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852C2"/>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32BF3"/>
    <w:rsid w:val="09FD61A8"/>
    <w:rsid w:val="0A002E0D"/>
    <w:rsid w:val="0A0D0FD1"/>
    <w:rsid w:val="0A140987"/>
    <w:rsid w:val="0A241A5C"/>
    <w:rsid w:val="0A2E3566"/>
    <w:rsid w:val="0A320A98"/>
    <w:rsid w:val="0A3229D0"/>
    <w:rsid w:val="0A393280"/>
    <w:rsid w:val="0A47534A"/>
    <w:rsid w:val="0A4E7092"/>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C17DB"/>
    <w:rsid w:val="0C8E7AF0"/>
    <w:rsid w:val="0C9D6ABD"/>
    <w:rsid w:val="0CA954B5"/>
    <w:rsid w:val="0CC37237"/>
    <w:rsid w:val="0CCA7495"/>
    <w:rsid w:val="0CD16BA2"/>
    <w:rsid w:val="0CDE4E30"/>
    <w:rsid w:val="0CEC1B65"/>
    <w:rsid w:val="0CEE7B51"/>
    <w:rsid w:val="0CF0652B"/>
    <w:rsid w:val="0D012A51"/>
    <w:rsid w:val="0D0736AA"/>
    <w:rsid w:val="0D090121"/>
    <w:rsid w:val="0D094F84"/>
    <w:rsid w:val="0D0A7E4B"/>
    <w:rsid w:val="0D117883"/>
    <w:rsid w:val="0D280615"/>
    <w:rsid w:val="0D2879E0"/>
    <w:rsid w:val="0D2C07EB"/>
    <w:rsid w:val="0D2F57DE"/>
    <w:rsid w:val="0D353632"/>
    <w:rsid w:val="0D392C4E"/>
    <w:rsid w:val="0D3F756A"/>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3B0151"/>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2E2896"/>
    <w:rsid w:val="11422B48"/>
    <w:rsid w:val="114B2C9B"/>
    <w:rsid w:val="114D3E70"/>
    <w:rsid w:val="114F2941"/>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31724"/>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C87095"/>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8599F"/>
    <w:rsid w:val="192F135C"/>
    <w:rsid w:val="193964B7"/>
    <w:rsid w:val="193F08F1"/>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4F7B"/>
    <w:rsid w:val="1B84594F"/>
    <w:rsid w:val="1B884364"/>
    <w:rsid w:val="1B901B23"/>
    <w:rsid w:val="1B9238A2"/>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32383"/>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13FFC"/>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E3C43"/>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994A7B"/>
    <w:rsid w:val="1FA87477"/>
    <w:rsid w:val="1FC404E1"/>
    <w:rsid w:val="1FD17F79"/>
    <w:rsid w:val="1FDE0273"/>
    <w:rsid w:val="1FDE31D9"/>
    <w:rsid w:val="1FE65D75"/>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C20A9"/>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4ED7226"/>
    <w:rsid w:val="25010438"/>
    <w:rsid w:val="250F44FD"/>
    <w:rsid w:val="2514288A"/>
    <w:rsid w:val="25174EE8"/>
    <w:rsid w:val="251A2540"/>
    <w:rsid w:val="254B095F"/>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0C180E"/>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AB0974"/>
    <w:rsid w:val="27C33BB0"/>
    <w:rsid w:val="27C55F98"/>
    <w:rsid w:val="27CC0CD0"/>
    <w:rsid w:val="27D071BC"/>
    <w:rsid w:val="27D108B2"/>
    <w:rsid w:val="27D4538F"/>
    <w:rsid w:val="27DD3821"/>
    <w:rsid w:val="27DE15AE"/>
    <w:rsid w:val="27E03A2F"/>
    <w:rsid w:val="27E96237"/>
    <w:rsid w:val="27F506B1"/>
    <w:rsid w:val="27FD1E4C"/>
    <w:rsid w:val="28083AAF"/>
    <w:rsid w:val="280D297A"/>
    <w:rsid w:val="281573ED"/>
    <w:rsid w:val="282705F3"/>
    <w:rsid w:val="28276A98"/>
    <w:rsid w:val="282D426D"/>
    <w:rsid w:val="283757FF"/>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13F9A"/>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4E7CF6"/>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20414"/>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63513"/>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CE1E1E"/>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6F1BEE"/>
    <w:rsid w:val="32744A8B"/>
    <w:rsid w:val="32753DA5"/>
    <w:rsid w:val="32763BC7"/>
    <w:rsid w:val="32886DB3"/>
    <w:rsid w:val="32895C45"/>
    <w:rsid w:val="328C67A7"/>
    <w:rsid w:val="32983017"/>
    <w:rsid w:val="329D4B54"/>
    <w:rsid w:val="32A13DC3"/>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76618"/>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BE19E1"/>
    <w:rsid w:val="37C244FC"/>
    <w:rsid w:val="37CA1D15"/>
    <w:rsid w:val="37D95C79"/>
    <w:rsid w:val="37DC0098"/>
    <w:rsid w:val="37E75BE2"/>
    <w:rsid w:val="37E81F7B"/>
    <w:rsid w:val="37E82F8E"/>
    <w:rsid w:val="37E91E9F"/>
    <w:rsid w:val="37E920E0"/>
    <w:rsid w:val="37FB64C2"/>
    <w:rsid w:val="38026A1B"/>
    <w:rsid w:val="3807648B"/>
    <w:rsid w:val="380E4C98"/>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5E06B2"/>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30B63"/>
    <w:rsid w:val="3D093C71"/>
    <w:rsid w:val="3D0F72F6"/>
    <w:rsid w:val="3D131752"/>
    <w:rsid w:val="3D1A22C0"/>
    <w:rsid w:val="3D1B601B"/>
    <w:rsid w:val="3D294B1B"/>
    <w:rsid w:val="3D2B034D"/>
    <w:rsid w:val="3D2B37F6"/>
    <w:rsid w:val="3D4A6765"/>
    <w:rsid w:val="3D505411"/>
    <w:rsid w:val="3D5A60CA"/>
    <w:rsid w:val="3D636A1C"/>
    <w:rsid w:val="3D662058"/>
    <w:rsid w:val="3D6677CE"/>
    <w:rsid w:val="3D8450A9"/>
    <w:rsid w:val="3D915310"/>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8D0AC8"/>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2009F"/>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DC5FBB"/>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1A7E31"/>
    <w:rsid w:val="44210C59"/>
    <w:rsid w:val="44222CD2"/>
    <w:rsid w:val="44223BA1"/>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DA5672"/>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7306A"/>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10D8"/>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06478"/>
    <w:rsid w:val="4F594DAC"/>
    <w:rsid w:val="4F5E44D9"/>
    <w:rsid w:val="4F6C3F07"/>
    <w:rsid w:val="4F6D1E98"/>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D781F"/>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3F0981"/>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292282"/>
    <w:rsid w:val="55301CB3"/>
    <w:rsid w:val="55327054"/>
    <w:rsid w:val="55377506"/>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5FB747E"/>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B21E36"/>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5791F"/>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8756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7924BC"/>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D1104"/>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EF697F"/>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82C33"/>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1FF4EE7"/>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C07E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A90C43"/>
    <w:rsid w:val="64B83FE9"/>
    <w:rsid w:val="64C76164"/>
    <w:rsid w:val="64D3186F"/>
    <w:rsid w:val="64EF2266"/>
    <w:rsid w:val="64F33559"/>
    <w:rsid w:val="64FB44D4"/>
    <w:rsid w:val="64FD2EEA"/>
    <w:rsid w:val="64FF1ABC"/>
    <w:rsid w:val="650B22E3"/>
    <w:rsid w:val="650E3520"/>
    <w:rsid w:val="651D0967"/>
    <w:rsid w:val="654069DE"/>
    <w:rsid w:val="65413B3E"/>
    <w:rsid w:val="65442DDF"/>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A22BE"/>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A6532"/>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E7F3A"/>
    <w:rsid w:val="6A6F04CF"/>
    <w:rsid w:val="6A777087"/>
    <w:rsid w:val="6A807B72"/>
    <w:rsid w:val="6A820574"/>
    <w:rsid w:val="6A9274CB"/>
    <w:rsid w:val="6A99048F"/>
    <w:rsid w:val="6A990596"/>
    <w:rsid w:val="6AA077DB"/>
    <w:rsid w:val="6AA22738"/>
    <w:rsid w:val="6AA47C92"/>
    <w:rsid w:val="6AB909BB"/>
    <w:rsid w:val="6ABA0C51"/>
    <w:rsid w:val="6ABD020C"/>
    <w:rsid w:val="6ABD3E18"/>
    <w:rsid w:val="6ADD6D64"/>
    <w:rsid w:val="6AE032BE"/>
    <w:rsid w:val="6AE24014"/>
    <w:rsid w:val="6AF12E6D"/>
    <w:rsid w:val="6AFA5927"/>
    <w:rsid w:val="6B0F06C2"/>
    <w:rsid w:val="6B256F14"/>
    <w:rsid w:val="6B2B6878"/>
    <w:rsid w:val="6B313A43"/>
    <w:rsid w:val="6B496DF2"/>
    <w:rsid w:val="6B585A95"/>
    <w:rsid w:val="6B5C172C"/>
    <w:rsid w:val="6B631DB7"/>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747CDF"/>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895767"/>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3C2274"/>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6978A3"/>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262528"/>
    <w:rsid w:val="713173E8"/>
    <w:rsid w:val="71420658"/>
    <w:rsid w:val="7143472C"/>
    <w:rsid w:val="71440341"/>
    <w:rsid w:val="71525B0B"/>
    <w:rsid w:val="71531561"/>
    <w:rsid w:val="71597148"/>
    <w:rsid w:val="71693DCF"/>
    <w:rsid w:val="71715206"/>
    <w:rsid w:val="71743A1D"/>
    <w:rsid w:val="71774D56"/>
    <w:rsid w:val="71901CEF"/>
    <w:rsid w:val="719438F4"/>
    <w:rsid w:val="719D7F3F"/>
    <w:rsid w:val="71AB6039"/>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156456"/>
    <w:rsid w:val="73216743"/>
    <w:rsid w:val="732D5C49"/>
    <w:rsid w:val="733155C8"/>
    <w:rsid w:val="73403A1F"/>
    <w:rsid w:val="73407A23"/>
    <w:rsid w:val="73422D3C"/>
    <w:rsid w:val="735171FE"/>
    <w:rsid w:val="73625723"/>
    <w:rsid w:val="73661E78"/>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67A4D"/>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3F12"/>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7E3AE5"/>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23449"/>
    <w:rsid w:val="793E4F07"/>
    <w:rsid w:val="79420C91"/>
    <w:rsid w:val="79455569"/>
    <w:rsid w:val="79470AE2"/>
    <w:rsid w:val="795123A8"/>
    <w:rsid w:val="79524E02"/>
    <w:rsid w:val="79535AC3"/>
    <w:rsid w:val="79620961"/>
    <w:rsid w:val="797038BC"/>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A8546C"/>
    <w:rsid w:val="7AC019FF"/>
    <w:rsid w:val="7ACA6FB9"/>
    <w:rsid w:val="7AE11278"/>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542B7E"/>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4D81"/>
    <w:rsid w:val="7DC37DE3"/>
    <w:rsid w:val="7DCA783A"/>
    <w:rsid w:val="7DD45912"/>
    <w:rsid w:val="7DD93D26"/>
    <w:rsid w:val="7DF51E1E"/>
    <w:rsid w:val="7E0D4E8F"/>
    <w:rsid w:val="7E107D04"/>
    <w:rsid w:val="7E202441"/>
    <w:rsid w:val="7E214E29"/>
    <w:rsid w:val="7E2E0E57"/>
    <w:rsid w:val="7E304C9A"/>
    <w:rsid w:val="7E3A2967"/>
    <w:rsid w:val="7E3E411D"/>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2F3A2C"/>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4242</Words>
  <Characters>4603</Characters>
  <Lines>0</Lines>
  <Paragraphs>0</Paragraphs>
  <TotalTime>11</TotalTime>
  <ScaleCrop>false</ScaleCrop>
  <LinksUpToDate>false</LinksUpToDate>
  <CharactersWithSpaces>4659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2025-07-14T07:32:25Z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