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BC5F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drawing>
          <wp:inline distT="0" distB="0" distL="114300" distR="114300">
            <wp:extent cx="5367020" cy="7341870"/>
            <wp:effectExtent l="0" t="0" r="12700" b="3810"/>
            <wp:docPr id="1" name="图片 1" descr="市三幼儿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三幼儿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734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F8EA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岳阳市三幼儿园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F4093C2">
      <w:pPr>
        <w:spacing w:line="283" w:lineRule="auto"/>
        <w:rPr>
          <w:rFonts w:ascii="Arial"/>
          <w:sz w:val="21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759F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1118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1、实行保育与教育相结合的原则，对幼儿实施体、智、德、美诸方面全面发展的教育，促进其身心和谐发展。幼儿园同时为家长参加工作、学习提供便利条件。</w:t>
      </w:r>
    </w:p>
    <w:p w14:paraId="1982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2、促进幼儿身体正常发育和机能的协调发展，增强体质。培养良好的生活习惯、卫生习惯和参加体育活动的兴趣。</w:t>
      </w:r>
    </w:p>
    <w:p w14:paraId="592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3、发展幼儿智力培养正确运用感官和运用语言交往的基本能力，增进对环境的认识 培养有益的兴趣和求知欲望，培养初步的动手能力。</w:t>
      </w:r>
    </w:p>
    <w:p w14:paraId="56F0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1C58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5、培养幼儿初步的感受美和表现美的情趣和能力。</w:t>
      </w:r>
    </w:p>
    <w:p w14:paraId="73FC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1FB8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本部门内设机构包括：办公室，财务室，后勤室。根据编办核定，我校共有教职工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BF8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33744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每学期开学组织教职工签订清廉承诺书，要求教师严格遵守廉洁纪律，不接收家长礼品，公平对待每一个孩子。在每学期初的教职工培训会上，重点开展师德师风培训，学习幼儿教师职业道德规范及行为准则，培养教职工对幼儿的爱心和对工作的热情。</w:t>
      </w:r>
    </w:p>
    <w:p w14:paraId="33AD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定期开展安全知识培训，强化全体教职工安全意识，制定完善的安全事故制度和应急预案，并通过每月安全工作会议持续巩固。加强门卫管理，配备充足警备器材，严格执行出入来访登记制度和幼儿接送制度，把好校园安全第一关。</w:t>
      </w:r>
    </w:p>
    <w:p w14:paraId="75F0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3：为提升教师专业素养，园所积极组织各类教研与培训活动。在园内，定期开展教研活动，针对教育实践中的困惑与问题，分年级组进行讨论、分享，如针对《幼儿消极等待时的有效策略》《如何有效开展自主游戏》等话题展开深入探讨，并邀请游戏活动开展优秀的班级分享案例，促进教师间相互学习。</w:t>
      </w:r>
    </w:p>
    <w:p w14:paraId="34F5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4：在后勤管理方面，认真做好传染病预防工作。传染病多发期，后勤人员严格执行晨检制度，上下午不定时到班级随检，落实因病缺勤病因追查与登记制度，做到早发现、早报告、早处置。制定完善的卫生消毒制度，班级、食堂严格按照规定对幼儿玩具、餐具、生活用品等进行消毒，并做好记录。保健老师不定期抽查卫生保健工作，督促保育教师做好每一个环节，保障幼儿健康成长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4DE1FE6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361.18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0EB8D65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260.01万元：包括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69.38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7.25万元；奖金36.58万元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绩效工资57.20万元；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24.99万元；职工基本医疗保险缴费10.16万元；其他社会保障缴费1.90万元；住房公积金18.82万元；退休费31.47万元；抚恤金1.96万元；奖励金0.30万元。</w:t>
      </w:r>
    </w:p>
    <w:p w14:paraId="5565AB25">
      <w:pPr>
        <w:spacing w:line="240" w:lineRule="auto"/>
        <w:ind w:firstLine="60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101.17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0.73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0.30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0.52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1.58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邮电费0.22万元；差旅费0.03万元；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4.99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会议费0.47万元；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1.24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84.22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0.89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5.53万元；办公设备购置0.45万元。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34290211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161.36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0.68万元；津贴补贴64.21万元；奖金0.30万元；绩效工资0.45万元；其他社会保障缴费0.21万元；其他工资福利支出27.09万元；办公费2.12万元；印刷费1.53万元；水费0.10万元；电费0.51万元；邮电费0.29万元；物业管理费6.00万元；差旅费0.02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6.32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1.51万元；培训费3.51万元；专用材料费10.93万元；劳务费5.42万元；工会经费8.81万元；其他交通费用1.55万元；其他商品和服务支出11.29万元；生活补助3.89万元；奖励金0.96万元；其他对个人和家庭的补助0.55万元；办公设备购置3.11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6782FCD7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6899A62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51B5CACB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8ED0A1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岳阳市三幼儿园单位整体支出绩效情况进行全面剖析。旨在清晰呈现学校资金使用的全过程及效果，为后续优化管理提供有力依据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E371FAB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0A93CBE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积极创设丰富适宜、富有童趣、有利于支持幼儿学习探索的教育环境，有效支持保育教育工作科学实施。</w:t>
      </w:r>
    </w:p>
    <w:p w14:paraId="27AF3295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（一）筹措专项资金、构建温馨舒适的园所环境。打造了孩子们喜欢的种植区，采购了一整套教玩具万能工匠，二楼平台损坏的地面进行更换和幼儿教玩具保管室改造，总计投入6万多元。</w:t>
      </w:r>
    </w:p>
    <w:p w14:paraId="6D6E9461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更新环创理念，增强幼儿与环境的有效互动。让环境成为幼儿的教师，让幼儿成为环境创设的主人。通过自主准备丰富的游戏材料、自主设计有趣的游戏活动、师幼共同创设主题墙等方式，激发幼儿的学习兴趣和探索欲望，更好发挥环境的育人价值。</w:t>
      </w:r>
    </w:p>
    <w:p w14:paraId="31F5328F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3CE6468F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三步走有效落实幼小科学衔接，聚焦幼儿习惯养成，强化家校社协同育人，不断提高保育教育质量。</w:t>
      </w:r>
    </w:p>
    <w:p w14:paraId="0132D6B3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（一）一探背景:多方式带领教师学习幼小科学衔接的文件精神；通过园级教研、年级组教研、年级共读等多种方式，开展幼小科学衔接指导意见学习，强化教师将政策学习的内容与教育教学有效结合。</w:t>
      </w:r>
    </w:p>
    <w:p w14:paraId="67C0C756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二聚焦点:以习惯养成为抓手促进幼儿全面发展；例如结合幼儿年龄特点的不同，分年级组开展不同形式的晨间签到，把图形认知、前书写等能力培养融入到签到活动中，用更科学的方法帮助幼儿度过幼小衔接期。</w:t>
      </w:r>
    </w:p>
    <w:p w14:paraId="2607850C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（三）三拓路径:家校社多路径开展协同育人；通过微信、公众号等网络平台及时发布育儿知识等，家长护校，家长进课堂、家长开放日活动加强家园联系，形成家园共育的良好氛围。</w:t>
      </w:r>
    </w:p>
    <w:p w14:paraId="43BD3868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0C39FC51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及时发放教职工的工资及福利待遇。</w:t>
      </w:r>
    </w:p>
    <w:p w14:paraId="6C6868F9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6E9DCA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044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0834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6ED3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2A81E25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更新发展理念，规范服务意识。将规范服务行为作为促进园所高质量发展、办好家长满意教育的重要举措，纳入园所发展内容。把教育教学质量放在首位，办人民满意的教育，得到社会大众的肯定和好评。 </w:t>
      </w:r>
    </w:p>
    <w:p w14:paraId="0718D80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3FDC6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通过开展垃圾分类活动，培养幼儿的生态环保意识。</w:t>
      </w:r>
    </w:p>
    <w:p w14:paraId="42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1CAA10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6859104E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家长满意度95%，社会公众满意度97%。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483F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（一）教师队伍整体趋于中青年化，教师队伍的活力与创新还需唤醒。​</w:t>
      </w:r>
    </w:p>
    <w:p w14:paraId="408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（二）幼儿游戏观察记录呈现形式化，游戏行为的观察与指导还需加强。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4E2D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（一）加强师资队伍建设</w:t>
      </w:r>
    </w:p>
    <w:p w14:paraId="7B99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优化教师队伍，加强教师培训，提高教师的教学和育人水平，从而切实保障幼儿园教育质量。</w:t>
      </w:r>
    </w:p>
    <w:p w14:paraId="001B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（二）加强游戏行为的观察</w:t>
      </w:r>
    </w:p>
    <w:p w14:paraId="039F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提升教师观察能力，做到细致、持续记录幼儿在游戏中的行为，为幼儿成长提供有效的支持。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部门整体支出绩效评价指标体系，在2024年度取得了较好的评价结果。体现在资金使用、教育教学成果等多个方面的出色表现。在资金使用上，学校严格按照预算安排进行支出，确保资金使用的合理性和合规性。我们也深刻认识到学校在绩效评价方面还存在一些问题和不足。在今后的工作中，我们将以问题为导向，采取切实有效的改进措施，不断完善学校的管理机制，为学校的可持续发展和学生的全面成长提供有力保障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1E42136">
      <w:pPr>
        <w:pStyle w:val="2"/>
        <w:rPr>
          <w:rFonts w:ascii="Arial"/>
          <w:sz w:val="21"/>
        </w:rPr>
      </w:pPr>
    </w:p>
    <w:p w14:paraId="1E063AC7">
      <w:pPr>
        <w:pStyle w:val="2"/>
        <w:rPr>
          <w:rFonts w:ascii="Arial"/>
          <w:sz w:val="21"/>
        </w:rPr>
      </w:pPr>
    </w:p>
    <w:p w14:paraId="6E4AF6A6">
      <w:pPr>
        <w:pStyle w:val="2"/>
        <w:rPr>
          <w:rFonts w:ascii="Arial"/>
          <w:sz w:val="21"/>
        </w:rPr>
      </w:pPr>
    </w:p>
    <w:p w14:paraId="074A0A4F">
      <w:pPr>
        <w:pStyle w:val="2"/>
        <w:rPr>
          <w:rFonts w:ascii="Arial"/>
          <w:sz w:val="21"/>
        </w:rPr>
      </w:pPr>
    </w:p>
    <w:p w14:paraId="4FFE2821">
      <w:pPr>
        <w:pStyle w:val="2"/>
        <w:rPr>
          <w:rFonts w:ascii="Arial"/>
          <w:sz w:val="21"/>
        </w:rPr>
      </w:pPr>
    </w:p>
    <w:p w14:paraId="0C0E1D15">
      <w:pPr>
        <w:pStyle w:val="2"/>
        <w:rPr>
          <w:rFonts w:ascii="Arial"/>
          <w:sz w:val="21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spacing w:val="8"/>
        </w:rPr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630F1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hint="eastAsia"/>
          <w:spacing w:val="8"/>
          <w:lang w:eastAsia="zh-CN"/>
        </w:rPr>
      </w:pPr>
    </w:p>
    <w:p w14:paraId="4D3F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46A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6E5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3983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33816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E7D8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6458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8FC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3A79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3433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D7E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1A9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9A9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554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11BF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E924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AAB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0997FD5D">
      <w:pPr>
        <w:spacing w:line="115" w:lineRule="exact"/>
        <w:rPr>
          <w:color w:val="000000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岳阳市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三幼儿园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231.25%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37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161.36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6A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161.36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07D7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6043F62B">
            <w:pPr>
              <w:spacing w:before="85" w:line="220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FBB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63C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C2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8E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114.62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72DF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A7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101.17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97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5.12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28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E9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0.73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21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2.97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FB4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F6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2.13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5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7.70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0A6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CE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1.71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96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57.12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D2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30.59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5C2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43.72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坚持开展宣传教育、建全工作机制、建章立制、监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督检查、加强管理</w:t>
            </w:r>
          </w:p>
        </w:tc>
      </w:tr>
    </w:tbl>
    <w:p w14:paraId="121D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14:paraId="61E2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刘琴 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联系电话：15007300804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2025年7月5日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年度预算单位整体支出绩效自评表</w:t>
      </w:r>
    </w:p>
    <w:p w14:paraId="42B8247D">
      <w:pPr>
        <w:spacing w:line="132" w:lineRule="exact"/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332"/>
        <w:gridCol w:w="1584"/>
        <w:gridCol w:w="1164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岳阳市三幼儿园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584" w:type="dxa"/>
            <w:noWrap w:val="0"/>
            <w:vAlign w:val="top"/>
          </w:tcPr>
          <w:p w14:paraId="224AB50B">
            <w:pPr>
              <w:spacing w:before="20" w:line="208" w:lineRule="auto"/>
              <w:ind w:left="159" w:firstLine="196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164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年度资金总额</w:t>
            </w:r>
          </w:p>
        </w:tc>
        <w:tc>
          <w:tcPr>
            <w:tcW w:w="1332" w:type="dxa"/>
            <w:noWrap w:val="0"/>
            <w:vAlign w:val="center"/>
          </w:tcPr>
          <w:p w14:paraId="4EBABD1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290.57</w:t>
            </w:r>
          </w:p>
        </w:tc>
        <w:tc>
          <w:tcPr>
            <w:tcW w:w="1584" w:type="dxa"/>
            <w:noWrap w:val="0"/>
            <w:vAlign w:val="center"/>
          </w:tcPr>
          <w:p w14:paraId="1894813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528.54</w:t>
            </w:r>
          </w:p>
        </w:tc>
        <w:tc>
          <w:tcPr>
            <w:tcW w:w="1164" w:type="dxa"/>
            <w:noWrap w:val="0"/>
            <w:vAlign w:val="center"/>
          </w:tcPr>
          <w:p w14:paraId="19B4ED8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522.54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98.86%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9.89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24DD533E">
            <w:pPr>
              <w:spacing w:line="193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446.24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1245705">
            <w:pPr>
              <w:spacing w:line="194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361.18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6A066E16">
            <w:pPr>
              <w:spacing w:line="20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9FA3FE7">
            <w:pPr>
              <w:spacing w:line="201" w:lineRule="auto"/>
              <w:ind w:firstLine="720" w:firstLineChars="4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161.36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03DEC4D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36CFBBEE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5A62EA7F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82.30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C4263E1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6386DE3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249CA2D5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  <w:t>年度总体目标</w:t>
            </w:r>
          </w:p>
        </w:tc>
        <w:tc>
          <w:tcPr>
            <w:tcW w:w="5004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33D37BFB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：以《3-6 岁儿童学习与发展指南》为指引，进一步完善课程体系，深化特色课程（如民间游戏课程、食育课程）的实施，确保幼儿在语言、认知、动手操作等方面的综合素质测评优秀率较上一年度提升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 w14:paraId="2DBD9393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：加强师资队伍专业化建设，全年组织教师参加校外培训不少于30人次，园内教研活动每月至少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次，确保教师专业素养显著提升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 w14:paraId="5A143808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：严格执行预算管理制度，确保年度整体支出预算完成率达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到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95%以上，基本支出与项目支出均控制在预算范围内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 w14:paraId="58BC91F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：通过设施设备更新改造和信息化建设投入，改善办园条件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36CDEDE2">
            <w:pPr>
              <w:pStyle w:val="6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幼儿在语言、认知、动手操作等方面的综合素质测评优秀率较上一年度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显著提升；</w:t>
            </w:r>
          </w:p>
          <w:p w14:paraId="45E45907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：青蓝结对培训促进教师成长。充分发挥岳阳楼区“梧桐花开”实践基地的引领示范作用，建立教师培训内训机制和青蓝师徒结对工程，制定教师三年发展规划，通过传帮带达成教师的专业发展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；</w:t>
            </w:r>
          </w:p>
          <w:p w14:paraId="10B4B624">
            <w:pPr>
              <w:pStyle w:val="6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支出控制在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预算范围内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及时更新多媒体设备。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332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584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164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2596CDB">
            <w:pPr>
              <w:spacing w:before="274" w:line="226" w:lineRule="auto"/>
              <w:ind w:firstLine="192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09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足额发放教职工工资及福利待遇</w:t>
            </w:r>
          </w:p>
        </w:tc>
        <w:tc>
          <w:tcPr>
            <w:tcW w:w="1584" w:type="dxa"/>
            <w:noWrap w:val="0"/>
            <w:vAlign w:val="center"/>
          </w:tcPr>
          <w:p w14:paraId="327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64" w:type="dxa"/>
            <w:noWrap w:val="0"/>
            <w:vAlign w:val="center"/>
          </w:tcPr>
          <w:p w14:paraId="5BB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6110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5131A158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完成在幼儿园幼儿的智体美劳全面培养与教育</w:t>
            </w:r>
          </w:p>
        </w:tc>
        <w:tc>
          <w:tcPr>
            <w:tcW w:w="1584" w:type="dxa"/>
            <w:noWrap w:val="0"/>
            <w:vAlign w:val="center"/>
          </w:tcPr>
          <w:p w14:paraId="2EC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264人</w:t>
            </w:r>
          </w:p>
        </w:tc>
        <w:tc>
          <w:tcPr>
            <w:tcW w:w="1164" w:type="dxa"/>
            <w:noWrap w:val="0"/>
            <w:vAlign w:val="center"/>
          </w:tcPr>
          <w:p w14:paraId="044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264人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1AC86AE">
            <w:pPr>
              <w:spacing w:before="273" w:line="226" w:lineRule="auto"/>
              <w:ind w:firstLine="194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332" w:type="dxa"/>
            <w:noWrap w:val="0"/>
            <w:vAlign w:val="top"/>
          </w:tcPr>
          <w:p w14:paraId="29DF4AD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584" w:type="dxa"/>
            <w:noWrap w:val="0"/>
            <w:vAlign w:val="center"/>
          </w:tcPr>
          <w:p w14:paraId="0F0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  <w:tc>
          <w:tcPr>
            <w:tcW w:w="1164" w:type="dxa"/>
            <w:noWrap w:val="0"/>
            <w:vAlign w:val="center"/>
          </w:tcPr>
          <w:p w14:paraId="01D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F1A3D0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安全事故发生率</w:t>
            </w:r>
          </w:p>
        </w:tc>
        <w:tc>
          <w:tcPr>
            <w:tcW w:w="1584" w:type="dxa"/>
            <w:noWrap w:val="0"/>
            <w:vAlign w:val="center"/>
          </w:tcPr>
          <w:p w14:paraId="34C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≤0%</w:t>
            </w:r>
          </w:p>
        </w:tc>
        <w:tc>
          <w:tcPr>
            <w:tcW w:w="1164" w:type="dxa"/>
            <w:noWrap w:val="0"/>
            <w:vAlign w:val="center"/>
          </w:tcPr>
          <w:p w14:paraId="009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ind w:firstLine="186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520A59A">
            <w:pPr>
              <w:pStyle w:val="11"/>
              <w:spacing w:line="235" w:lineRule="exact"/>
              <w:jc w:val="left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毕业率完成时间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2024.6.30</w:t>
            </w:r>
          </w:p>
        </w:tc>
        <w:tc>
          <w:tcPr>
            <w:tcW w:w="1164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2024.6.30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教育经费控制在预算内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1164" w:type="dxa"/>
            <w:noWrap w:val="0"/>
            <w:vAlign w:val="center"/>
          </w:tcPr>
          <w:p w14:paraId="66E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B7C48">
            <w:pPr>
              <w:spacing w:before="154" w:line="233" w:lineRule="auto"/>
              <w:ind w:firstLine="19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经济效</w:t>
            </w:r>
          </w:p>
          <w:p w14:paraId="530E938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FE2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FD012B2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7813E8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top"/>
          </w:tcPr>
          <w:p w14:paraId="1358A0F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top"/>
          </w:tcPr>
          <w:p w14:paraId="4333451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26376D2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19C1264">
            <w:pPr>
              <w:spacing w:before="153" w:line="233" w:lineRule="auto"/>
              <w:ind w:firstLine="192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社会效</w:t>
            </w:r>
          </w:p>
          <w:p w14:paraId="185BD49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提高教师队伍建设，提高教育教学质量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ED89E5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较上年提升</w:t>
            </w:r>
          </w:p>
        </w:tc>
        <w:tc>
          <w:tcPr>
            <w:tcW w:w="1164" w:type="dxa"/>
            <w:noWrap w:val="0"/>
            <w:vAlign w:val="top"/>
          </w:tcPr>
          <w:p w14:paraId="194F3DA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较上年提升</w:t>
            </w:r>
          </w:p>
        </w:tc>
        <w:tc>
          <w:tcPr>
            <w:tcW w:w="576" w:type="dxa"/>
            <w:noWrap w:val="0"/>
            <w:vAlign w:val="top"/>
          </w:tcPr>
          <w:p w14:paraId="2C47933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B23C24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4C5305">
            <w:pPr>
              <w:spacing w:before="154" w:line="233" w:lineRule="auto"/>
              <w:ind w:firstLine="186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生态效</w:t>
            </w:r>
          </w:p>
          <w:p w14:paraId="62D8831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83A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通过开展垃圾分类活动，培养幼儿的生态环保意识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7D2E80A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64" w:type="dxa"/>
            <w:noWrap w:val="0"/>
            <w:vAlign w:val="top"/>
          </w:tcPr>
          <w:p w14:paraId="348B217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576" w:type="dxa"/>
            <w:noWrap w:val="0"/>
            <w:vAlign w:val="top"/>
          </w:tcPr>
          <w:p w14:paraId="7448B84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632A8EA0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9.3</w:t>
            </w: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right="116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522D2">
            <w:pPr>
              <w:pStyle w:val="11"/>
              <w:spacing w:line="235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7C7AE0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培养儿童良好习惯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长期坚持</w:t>
            </w:r>
          </w:p>
        </w:tc>
        <w:tc>
          <w:tcPr>
            <w:tcW w:w="1164" w:type="dxa"/>
            <w:noWrap w:val="0"/>
            <w:vAlign w:val="center"/>
          </w:tcPr>
          <w:p w14:paraId="3DD9F3E5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长期坚持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firstLine="188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B1F57">
            <w:pPr>
              <w:spacing w:before="110" w:line="22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服务对象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满意度指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A71E38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3E06374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584" w:type="dxa"/>
            <w:noWrap w:val="0"/>
            <w:vAlign w:val="top"/>
          </w:tcPr>
          <w:p w14:paraId="58E03F9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4C2A64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1E686B7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30A41A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76" w:type="dxa"/>
            <w:noWrap w:val="0"/>
            <w:vAlign w:val="top"/>
          </w:tcPr>
          <w:p w14:paraId="3CA2860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57441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6DB642F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A97FA7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512AD629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D7AC8A5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584" w:type="dxa"/>
            <w:noWrap w:val="0"/>
            <w:vAlign w:val="top"/>
          </w:tcPr>
          <w:p w14:paraId="03305D7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2B70D2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159FDAA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58E6F5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576" w:type="dxa"/>
            <w:noWrap w:val="0"/>
            <w:vAlign w:val="top"/>
          </w:tcPr>
          <w:p w14:paraId="376F5D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86947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6C6FC37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ACFC4B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97.39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3FA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p w14:paraId="6D4D349D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刘琴 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联系电话：15007300804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2025年7月5日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87C0B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1E2EEE"/>
    <w:rsid w:val="06286BB6"/>
    <w:rsid w:val="062C52C2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852C2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0121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56A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3B0151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3F08F1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13FFC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EFE3C43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4ED7226"/>
    <w:rsid w:val="25010438"/>
    <w:rsid w:val="250F44FD"/>
    <w:rsid w:val="2514288A"/>
    <w:rsid w:val="25174EE8"/>
    <w:rsid w:val="251A2540"/>
    <w:rsid w:val="254B095F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1573ED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20414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CE1E1E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13DC3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BE19E1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5E06B2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1B601B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8D0AC8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7306A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92282"/>
    <w:rsid w:val="55301CB3"/>
    <w:rsid w:val="55327054"/>
    <w:rsid w:val="55377506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5FB747E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5791F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7924BC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677189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C07E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42DDF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A6532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1DB7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895767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AB6039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156456"/>
    <w:rsid w:val="73216743"/>
    <w:rsid w:val="732D5C49"/>
    <w:rsid w:val="733155C8"/>
    <w:rsid w:val="73403A1F"/>
    <w:rsid w:val="73407A23"/>
    <w:rsid w:val="73422D3C"/>
    <w:rsid w:val="735171FE"/>
    <w:rsid w:val="73625723"/>
    <w:rsid w:val="73661E78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3F12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23449"/>
    <w:rsid w:val="793E4F07"/>
    <w:rsid w:val="79420C91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A8546C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4D81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4357</Words>
  <Characters>4820</Characters>
  <Lines>0</Lines>
  <Paragraphs>0</Paragraphs>
  <TotalTime>0</TotalTime>
  <ScaleCrop>false</ScaleCrop>
  <LinksUpToDate>false</LinksUpToDate>
  <CharactersWithSpaces>4880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2025-07-14T00:50:41Z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