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89905" cy="7407275"/>
            <wp:effectExtent l="0" t="0" r="3175" b="14605"/>
            <wp:docPr id="1" name="图片 1" descr="市十二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十二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193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21D24CE">
      <w:pPr>
        <w:pStyle w:val="3"/>
        <w:spacing w:before="102" w:line="224" w:lineRule="auto"/>
        <w:ind w:left="3216"/>
      </w:pPr>
    </w:p>
    <w:p w14:paraId="25F941E0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80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岳阳市第十二中学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AD6A214">
      <w:pPr>
        <w:spacing w:line="283" w:lineRule="auto"/>
        <w:rPr>
          <w:rFonts w:ascii="Arial"/>
          <w:sz w:val="21"/>
        </w:rPr>
      </w:pPr>
    </w:p>
    <w:p w14:paraId="1413A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D9FB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5B56A72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1、贯彻执行国家教育方针政策，深化教育改革，发展素质教育，稳步提高教学质量，促进教育事业发展。</w:t>
      </w:r>
    </w:p>
    <w:p w14:paraId="3225952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2、保障人员经费，提高教师队伍幸福感。</w:t>
      </w:r>
    </w:p>
    <w:p w14:paraId="4C5CE6B3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3、管好用好预算内资金，改善和优化学校的办学条件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 w14:paraId="6AEB8FE4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4、促进学生全面发展，把教育教学质量放在首位，办人民满意的教育。</w:t>
      </w:r>
    </w:p>
    <w:p w14:paraId="7B968352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137ED8DF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本部门内设机构包括：办公室、教务处、政教处、总务处。根据编办核定，我校共有教职工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284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183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101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183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2E36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75D7E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1：完成年初既定学生招生工作，引进优质教师，开展教师培训工作，建立优质的师资队伍；落实“双减”任务，减轻学生过重作业负担和校外培训负担。</w:t>
      </w:r>
    </w:p>
    <w:p w14:paraId="2B98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2：严格按照国家课程标准，开足开齐各类课程，确保学生获得全面的知识体系。同时，结合学校实际和学生特点，积极开发特色课程。</w:t>
      </w:r>
    </w:p>
    <w:p w14:paraId="3229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3：开展各项教研活动，持续提高教学质量。积极开展课题为主的教研活动和教学竞赛，完成论文的撰写，提升教师整体素质。</w:t>
      </w:r>
    </w:p>
    <w:p w14:paraId="3F69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4：组织开展各类教学实践活动，如公开课、示范课、观摩课等，为教师提供交流学习的平台。通过教学实践活动，促进教师之间的相互学习和借鉴，不断提升教师的教学水平和教学能力。</w:t>
      </w:r>
    </w:p>
    <w:p w14:paraId="345B4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5：建立健全教学质量监测体系，定期组织单元测试、期中期末考试等，及时了解学生的学习情况和教学效果。通过对监测数据的分析和研究，找出教学中存在的问题和不足，为教学改进提供依据。</w:t>
      </w:r>
    </w:p>
    <w:p w14:paraId="6067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EC0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D4DC5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3031.46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33D8AC1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2792.17万元：包括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824.68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5.80万元；奖金539.99万元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伙食补助费66.54万元；绩效工资461.00万元；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276.36万元；职工基本医疗保险缴费114.24万元；其他社会保障缴费20.84万元；住房公积金207.29万元；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退休费264.90万元；奖励金10.53万元。</w:t>
      </w:r>
    </w:p>
    <w:p w14:paraId="5743E148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239.29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7.00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4.00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19.00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21.00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物业管理费24.00万元；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23.99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10.00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97.50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劳务费20.00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万元；其他交通费用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2.00万元；办公设备购置10.80万元。</w:t>
      </w:r>
    </w:p>
    <w:p w14:paraId="1FABB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E498AB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1831.17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3EA431F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145.17万元；津贴补贴1.06万元；奖金56.04万元；绩效工资31.66万元；机关事业单位基本养老保险缴费17.84万元；职工基本医疗保险缴费7.26万元；其他社会保障缴费42.27万元；住房公积金15.32万元；专用材料费844.60万元；退休费30.65万元；奖励金5.10万元；办公设备购置214.13万元；专用设备购置420.07万元。</w:t>
      </w:r>
    </w:p>
    <w:p w14:paraId="1CE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2E553FA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601227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7587925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25D83B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23791F7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4F60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257D9D91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学校在2024年积极采取多元化成本控制措施，全方位降低办学成本，确保资金使用的经济性。​</w:t>
      </w:r>
    </w:p>
    <w:p w14:paraId="45C124F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在人员经费方面，学校通过科学分析各学科教学需求和学生数量，合理优化教师队伍结构。对各年级、各学科的教师配置进行动态调整，避免出现人员冗余的情况。同时，建立了以教学成果和学生评价为核心的绩效考核机制，充分调动教师的工作积极性，提高教师工作效率，从而在保证教学质量的前提下，有效控制人员经费支出。​</w:t>
      </w:r>
    </w:p>
    <w:p w14:paraId="72D5DD7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教学业务支出控制上，学校加强对教学材料采购的精细化管理。成立专门的采购小组，对教学材料的采购进行统一规划和集中采购。通过与供应商建立长期合作关系、进行多方比价等方式，降低采购成本。在教师培训方面，学校根据教师的实际需求和学校的发展规划，合理安排培训计划，优先选择性价比高的培训项目，避免不必要的培训支出，确保每一笔培训费用都能发挥最大效益。</w:t>
      </w:r>
    </w:p>
    <w:p w14:paraId="78875C1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3D60345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0CB978AC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过去的一年，全体教师脚踏实地、辛勤耕耘，以实际行动践行教书育人使命，成果丰硕。学校先后获得岳阳楼区中学学科命题大赛优秀组织单位，岳阳楼区初中教育教学质量先进单位，岳阳楼区优秀教研团队，岳阳楼区“梧桐花开”青年教师系列培训优秀基地校，岳阳楼区教育系统双重预防体系示范校，岳阳市初中教育教学质量先进学校等多项荣誉。学校被省市级主流媒体正面宣传报道24次。</w:t>
      </w:r>
    </w:p>
    <w:p w14:paraId="1A9133ED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4BEDC15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学工作是学校的中心工作，教学质量是学校的生命线。学校落实常规教学督查，激励教师改进工作；实施教学质量讲评，帮助教师分析得失，补短板提质量。规范集体备课，发挥骨干教师作用，提升整体教学质量。开展听评课活动，促进教师专业成长和课堂教学提升。同时，举办学科竞赛，如语文新闻小报、英语书写赛等，激发学生兴趣，培养学科特长。2024届中考，学校总体评价稳居第二，与第一差距显著缩小，地理学科荣获第一，全面达成考前目标，向社会交出了一份合格的、来之不易的好答卷。</w:t>
      </w:r>
    </w:p>
    <w:p w14:paraId="5353698A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423FBA8F">
      <w:pPr>
        <w:numPr>
          <w:ilvl w:val="0"/>
          <w:numId w:val="0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及时完成春、秋两季的教学计划。</w:t>
      </w:r>
    </w:p>
    <w:p w14:paraId="569210CD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386DD3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7669E23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8AD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65B9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2B6D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009DD6E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校全面实施党组织领导的校长负责制，以党建引领，把思想政治建设摆在首位，拧紧思想“总阀门”。一是重视党员学习教育，通过“三会一课”、主题党日活动等深入开展党纪学习，及时组织学习习近平总书记的重要讲话和指示批示精神，学习贯彻党的二十届三中全会精神，开展师德大讲堂，提升教师的政治素养和师德水平。二是以“党建+成长”模式打造教师成长共同体，把党建与练就教师基本功深度融合，激发教师自觉成长意识，通过“党建+读书”“党建+培训”等多种形式，从学校制度、每日常规、班主任工作、青年教师培养等方面助推教师专业成长。</w:t>
      </w:r>
    </w:p>
    <w:p w14:paraId="6AB4CA6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学工作是学校的中心工作，教学质量是学校的生命线。学校落实常规教学督查，激励教师改进工作；实施教学质量讲评，帮助教师分析得失，补短板提质量。规范集体备课，发挥骨干教师作用，提升整体教学质量。开展听评课活动，促进教师专业成长和课堂教学提升。同时，举办学科竞赛，如语文新闻小报、英语书写赛等，激发学生兴趣，培养学科特长。2024届中考，学校总体评价稳居第二，与第一差距显著缩小，地理学科荣获第一，全面达成考前目标，向社会交出了一份合格的、来之不易的好答卷。</w:t>
      </w:r>
    </w:p>
    <w:p w14:paraId="57A7678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550DB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无污染。</w:t>
      </w:r>
    </w:p>
    <w:p w14:paraId="323C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72B14B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2FF53524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35EF2B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学生满意度98%，家长满意度99%，教职工满意度98%。</w:t>
      </w:r>
    </w:p>
    <w:p w14:paraId="5C916C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985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1.预算编制准确性有待提高：虽然学校在预算编制过程中，充分考虑了各项工作的实际需求，但由于教育教学工作的复杂性和不确定性，部分预算项目的编制仍存在一定偏差。</w:t>
      </w:r>
    </w:p>
    <w:p w14:paraId="79D9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2.预算项目细化程度不够：部分预算项目在编制时，没有进行充分的细化和分解，导致在预算执行过程中，难以对具体支出进行有效的控制和管理。</w:t>
      </w:r>
    </w:p>
    <w:p w14:paraId="7BE8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23C2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加强预算编制的准确性：在预算编制前，组织相关部门对教育教学工作进行深入调研和分析，充分考虑各项工作的实际需求和可能出现的变化因素，提高预算编制的科学性和准确性。同时，加强与财政部门的沟通协调，及时了解财政政策和资金安排情况，确保预算编制与财政政策相衔接。</w:t>
      </w:r>
    </w:p>
    <w:p w14:paraId="4D1E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细化预算项目编制：对所有预算项目进行充分的细化和分解，明确各项支出的具体内容、标准和金额，为预算执行和控制提供详细的依据。在编制教学业务费预算时，要根据教学活动的实际情况，制定详细的费用标准和支出明细，严格控制各项教学活动的费用支出。</w:t>
      </w:r>
    </w:p>
    <w:p w14:paraId="55E7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22F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部门整体支出绩效评价指标体系，在2024年度取得了较好的评价结果。体现在资金使用、项目管理、教育教学成果等多个方面的出色表现。在资金使用上，学校严格按照预算安排进行支出，确保资金使用的合理性和合规性。资产管理制度健全性、资产配置合理性、资产使用效率等指标表现良好。教学任务完成情况、师资队伍建设成果、校园建设与管理成效等方面均取得了显著成绩。同时将部门整体支出绩效自评报告在单位门户网站上进行公开，广泛接受社会监督。</w:t>
      </w:r>
    </w:p>
    <w:p w14:paraId="39B116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94E0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99FC4E6">
      <w:pPr>
        <w:pStyle w:val="2"/>
        <w:rPr>
          <w:rFonts w:ascii="Arial"/>
          <w:sz w:val="21"/>
        </w:rPr>
      </w:pPr>
    </w:p>
    <w:p w14:paraId="66CCC475">
      <w:pPr>
        <w:pStyle w:val="2"/>
        <w:rPr>
          <w:rFonts w:ascii="Arial"/>
          <w:sz w:val="21"/>
        </w:rPr>
      </w:pPr>
    </w:p>
    <w:p w14:paraId="23150FE2">
      <w:pPr>
        <w:pStyle w:val="2"/>
        <w:rPr>
          <w:rFonts w:ascii="Arial"/>
          <w:sz w:val="21"/>
        </w:rPr>
      </w:pPr>
    </w:p>
    <w:p w14:paraId="6CF861D2">
      <w:pPr>
        <w:pStyle w:val="2"/>
        <w:rPr>
          <w:rFonts w:ascii="Arial"/>
          <w:sz w:val="21"/>
        </w:rPr>
      </w:pPr>
    </w:p>
    <w:p w14:paraId="04C620A8">
      <w:pPr>
        <w:pStyle w:val="2"/>
        <w:rPr>
          <w:rFonts w:ascii="Arial"/>
          <w:sz w:val="21"/>
        </w:rPr>
      </w:pPr>
    </w:p>
    <w:p w14:paraId="78850892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C8FBD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67C3EA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3C4C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8E4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D22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E1D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832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CD1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171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3175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1DD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7D2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C4E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514D10B8">
      <w:pPr>
        <w:spacing w:line="115" w:lineRule="exact"/>
        <w:rPr>
          <w:color w:val="000000"/>
        </w:rPr>
      </w:pPr>
    </w:p>
    <w:tbl>
      <w:tblPr>
        <w:tblStyle w:val="9"/>
        <w:tblW w:w="9900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1116"/>
        <w:gridCol w:w="996"/>
        <w:gridCol w:w="912"/>
        <w:gridCol w:w="1188"/>
        <w:gridCol w:w="960"/>
        <w:gridCol w:w="1020"/>
      </w:tblGrid>
      <w:tr w14:paraId="3DC9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08" w:type="dxa"/>
            <w:tcBorders>
              <w:bottom w:val="nil"/>
            </w:tcBorders>
            <w:noWrap w:val="0"/>
            <w:vAlign w:val="center"/>
          </w:tcPr>
          <w:p w14:paraId="29ED3E1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295C3AB0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第十二中学</w:t>
            </w:r>
          </w:p>
        </w:tc>
      </w:tr>
      <w:tr w14:paraId="30B3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top"/>
          </w:tcPr>
          <w:p w14:paraId="1BD3454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财政供养人员情况(人)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15CF70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64AEE1D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年实际在职人数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DE9F87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控制率</w:t>
            </w:r>
          </w:p>
        </w:tc>
      </w:tr>
      <w:tr w14:paraId="3FC5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201153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22C28A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2296DEA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AA2E50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103.83%</w:t>
            </w:r>
          </w:p>
        </w:tc>
      </w:tr>
      <w:tr w14:paraId="1ECB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708" w:type="dxa"/>
            <w:noWrap w:val="0"/>
            <w:vAlign w:val="top"/>
          </w:tcPr>
          <w:p w14:paraId="7341AD2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6C1477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年决算数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CE7FC4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年预算数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9E80EE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年决算数</w:t>
            </w:r>
          </w:p>
        </w:tc>
      </w:tr>
      <w:tr w14:paraId="4C54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173442F4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三公经费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26A61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58672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1A7EA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221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708" w:type="dxa"/>
            <w:noWrap w:val="0"/>
            <w:vAlign w:val="top"/>
          </w:tcPr>
          <w:p w14:paraId="289E0DCA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1、公务用车购置和维护经费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0E65E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153C3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EF889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F4F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26FA01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53E9A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8A22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D5E62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62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2F6D6F8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B90E8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04D60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E308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9B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708" w:type="dxa"/>
            <w:noWrap w:val="0"/>
            <w:vAlign w:val="top"/>
          </w:tcPr>
          <w:p w14:paraId="4D3AB6C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95F0B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7BA74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A9585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E7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263BD60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3、公务接待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9BD4A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48825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8551C3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91A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D3963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0"/>
                <w:szCs w:val="20"/>
              </w:rPr>
              <w:t>项目支出：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C5FED1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7231B93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5074C00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1831.17</w:t>
            </w:r>
          </w:p>
        </w:tc>
      </w:tr>
      <w:tr w14:paraId="3D84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0D561EC9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9CEB2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75732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E4DDA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1831.17</w:t>
            </w:r>
          </w:p>
        </w:tc>
      </w:tr>
      <w:tr w14:paraId="6DDC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7C76D17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73196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A70A0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D85D5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A5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53168A9A">
            <w:pPr>
              <w:spacing w:before="93" w:line="219" w:lineRule="auto"/>
              <w:ind w:firstLine="408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级专项资金(一个专项一行)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6A7D6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400BB3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5ADD2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19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7DD8D9F5">
            <w:pPr>
              <w:spacing w:before="85" w:line="220" w:lineRule="auto"/>
              <w:ind w:firstLine="41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635FC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B876F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7181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6A4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12C821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公用经费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88849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282.75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92B71D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222.59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80A3B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239.29</w:t>
            </w:r>
          </w:p>
        </w:tc>
      </w:tr>
      <w:tr w14:paraId="323D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4A3CC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015075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A90FF5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CF57AAD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7.00</w:t>
            </w:r>
          </w:p>
        </w:tc>
      </w:tr>
      <w:tr w14:paraId="3615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53ECD10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864091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38.57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5873B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FC8444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40.00</w:t>
            </w:r>
          </w:p>
        </w:tc>
      </w:tr>
      <w:tr w14:paraId="43FB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0C80F6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30ACF8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6.15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EDB7C54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B33783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10.00</w:t>
            </w:r>
          </w:p>
        </w:tc>
      </w:tr>
      <w:tr w14:paraId="486B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187AF4E3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1C540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194.90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6505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201.28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209AB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191.9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775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708" w:type="dxa"/>
            <w:noWrap w:val="0"/>
            <w:vAlign w:val="top"/>
          </w:tcPr>
          <w:p w14:paraId="01252032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483BD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CE124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51494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48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center"/>
          </w:tcPr>
          <w:p w14:paraId="4D9CB2B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0"/>
                <w:szCs w:val="20"/>
              </w:rPr>
              <w:t>楼堂馆所控制情况</w:t>
            </w:r>
          </w:p>
          <w:p w14:paraId="05D2AB41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年完工项目)</w:t>
            </w:r>
          </w:p>
        </w:tc>
        <w:tc>
          <w:tcPr>
            <w:tcW w:w="1116" w:type="dxa"/>
            <w:noWrap w:val="0"/>
            <w:vAlign w:val="center"/>
          </w:tcPr>
          <w:p w14:paraId="3656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B27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6" w:type="dxa"/>
            <w:noWrap w:val="0"/>
            <w:vAlign w:val="center"/>
          </w:tcPr>
          <w:p w14:paraId="3F5B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A75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912" w:type="dxa"/>
            <w:noWrap w:val="0"/>
            <w:vAlign w:val="center"/>
          </w:tcPr>
          <w:p w14:paraId="3084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8" w:type="dxa"/>
            <w:noWrap w:val="0"/>
            <w:vAlign w:val="center"/>
          </w:tcPr>
          <w:p w14:paraId="2F50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208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960" w:type="dxa"/>
            <w:noWrap w:val="0"/>
            <w:vAlign w:val="center"/>
          </w:tcPr>
          <w:p w14:paraId="55AC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实际投资</w:t>
            </w:r>
          </w:p>
          <w:p w14:paraId="0A8E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1020" w:type="dxa"/>
            <w:noWrap w:val="0"/>
            <w:vAlign w:val="center"/>
          </w:tcPr>
          <w:p w14:paraId="6622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1005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算控制率</w:t>
            </w:r>
          </w:p>
        </w:tc>
      </w:tr>
      <w:tr w14:paraId="516A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31C51A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3F0A70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top"/>
          </w:tcPr>
          <w:p w14:paraId="7B71E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 w14:paraId="3646FB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42E64B7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top"/>
          </w:tcPr>
          <w:p w14:paraId="7CB11C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noWrap w:val="0"/>
            <w:vAlign w:val="top"/>
          </w:tcPr>
          <w:p w14:paraId="6FB5DC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A0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4081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0FEE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坚持开展宣传教育、建全工作机制、建章立制、监督检查、加强管理</w:t>
            </w:r>
          </w:p>
        </w:tc>
      </w:tr>
    </w:tbl>
    <w:p w14:paraId="75EF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p w14:paraId="72C3D8A3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</w:p>
    <w:p w14:paraId="2840624A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黄丽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联系电话：13507306926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2025年7月8日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64D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66014BE5">
      <w:pPr>
        <w:spacing w:line="132" w:lineRule="exact"/>
      </w:pPr>
    </w:p>
    <w:tbl>
      <w:tblPr>
        <w:tblStyle w:val="9"/>
        <w:tblW w:w="9948" w:type="dxa"/>
        <w:tblInd w:w="-7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04"/>
        <w:gridCol w:w="1020"/>
        <w:gridCol w:w="1212"/>
        <w:gridCol w:w="1332"/>
        <w:gridCol w:w="1200"/>
        <w:gridCol w:w="636"/>
        <w:gridCol w:w="948"/>
        <w:gridCol w:w="1536"/>
      </w:tblGrid>
      <w:tr w14:paraId="1305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84" w:type="dxa"/>
            <w:gridSpan w:val="3"/>
            <w:noWrap w:val="0"/>
            <w:vAlign w:val="top"/>
          </w:tcPr>
          <w:p w14:paraId="5C7AD8C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64" w:type="dxa"/>
            <w:gridSpan w:val="6"/>
            <w:noWrap w:val="0"/>
            <w:vAlign w:val="top"/>
          </w:tcPr>
          <w:p w14:paraId="11524593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岳阳市第十二中学</w:t>
            </w:r>
          </w:p>
        </w:tc>
      </w:tr>
      <w:tr w14:paraId="2F7A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0EC1474A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DDAACF5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74B1466A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5464F741">
            <w:pPr>
              <w:spacing w:before="62" w:line="232" w:lineRule="auto"/>
              <w:ind w:right="144" w:firstLine="194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ED5E35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5D414DE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32" w:type="dxa"/>
            <w:noWrap w:val="0"/>
            <w:vAlign w:val="top"/>
          </w:tcPr>
          <w:p w14:paraId="7C9B64D4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00" w:type="dxa"/>
            <w:noWrap w:val="0"/>
            <w:vAlign w:val="top"/>
          </w:tcPr>
          <w:p w14:paraId="6C400F7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36" w:type="dxa"/>
            <w:noWrap w:val="0"/>
            <w:vAlign w:val="top"/>
          </w:tcPr>
          <w:p w14:paraId="425A8A78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2437F10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536" w:type="dxa"/>
            <w:noWrap w:val="0"/>
            <w:vAlign w:val="top"/>
          </w:tcPr>
          <w:p w14:paraId="6BBF08D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264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7C18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64D61441">
            <w:pPr>
              <w:spacing w:before="20" w:line="208" w:lineRule="auto"/>
              <w:ind w:left="46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12" w:type="dxa"/>
            <w:noWrap w:val="0"/>
            <w:vAlign w:val="top"/>
          </w:tcPr>
          <w:p w14:paraId="6B8D900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3090.51</w:t>
            </w:r>
          </w:p>
        </w:tc>
        <w:tc>
          <w:tcPr>
            <w:tcW w:w="1332" w:type="dxa"/>
            <w:noWrap w:val="0"/>
            <w:vAlign w:val="top"/>
          </w:tcPr>
          <w:p w14:paraId="5E98804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4869.63</w:t>
            </w:r>
          </w:p>
        </w:tc>
        <w:tc>
          <w:tcPr>
            <w:tcW w:w="1200" w:type="dxa"/>
            <w:noWrap w:val="0"/>
            <w:vAlign w:val="top"/>
          </w:tcPr>
          <w:p w14:paraId="0C2A1C8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4862.63</w:t>
            </w:r>
          </w:p>
        </w:tc>
        <w:tc>
          <w:tcPr>
            <w:tcW w:w="636" w:type="dxa"/>
            <w:noWrap w:val="0"/>
            <w:vAlign w:val="top"/>
          </w:tcPr>
          <w:p w14:paraId="66F9AC7B">
            <w:pPr>
              <w:pStyle w:val="10"/>
              <w:spacing w:before="54" w:line="194" w:lineRule="auto"/>
              <w:ind w:left="270"/>
              <w:jc w:val="both"/>
              <w:rPr>
                <w:rFonts w:hint="default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53CE796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99.86%</w:t>
            </w:r>
          </w:p>
        </w:tc>
        <w:tc>
          <w:tcPr>
            <w:tcW w:w="1536" w:type="dxa"/>
            <w:noWrap w:val="0"/>
            <w:vAlign w:val="top"/>
          </w:tcPr>
          <w:p w14:paraId="3C10AB0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9.99</w:t>
            </w:r>
          </w:p>
        </w:tc>
      </w:tr>
      <w:tr w14:paraId="4728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B656A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8987E00">
            <w:pPr>
              <w:spacing w:before="22" w:line="206" w:lineRule="auto"/>
              <w:ind w:left="111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26213A82">
            <w:pPr>
              <w:spacing w:before="22" w:line="206" w:lineRule="auto"/>
              <w:ind w:left="116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B8E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378E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29941CCF">
            <w:pPr>
              <w:spacing w:before="21" w:line="207" w:lineRule="auto"/>
              <w:ind w:left="312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一般公共预算：4171.32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3E6AF96B">
            <w:pPr>
              <w:spacing w:before="21" w:line="207" w:lineRule="auto"/>
              <w:ind w:left="115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其中：基本支出：3031.46</w:t>
            </w:r>
          </w:p>
        </w:tc>
      </w:tr>
      <w:tr w14:paraId="622EE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880885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F84E992">
            <w:pPr>
              <w:spacing w:before="21" w:line="207" w:lineRule="auto"/>
              <w:ind w:left="916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6C7146AA">
            <w:pPr>
              <w:spacing w:before="21" w:line="207" w:lineRule="auto"/>
              <w:ind w:left="717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项目支出：1831.17</w:t>
            </w:r>
          </w:p>
        </w:tc>
      </w:tr>
      <w:tr w14:paraId="5621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149A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4FF684AC">
            <w:pPr>
              <w:spacing w:before="20" w:line="208" w:lineRule="auto"/>
              <w:ind w:left="115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7D031E8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F6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12F798F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5E121BA7">
            <w:pPr>
              <w:spacing w:before="20" w:line="208" w:lineRule="auto"/>
              <w:ind w:left="1512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其他资金：698.31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04102E4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B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34FBD2E2">
            <w:pPr>
              <w:pStyle w:val="10"/>
              <w:spacing w:line="24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8D83DC4">
            <w:pPr>
              <w:pStyle w:val="10"/>
              <w:spacing w:line="24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1BBB678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5CD6955C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01392327">
            <w:pPr>
              <w:spacing w:before="62" w:line="230" w:lineRule="auto"/>
              <w:ind w:right="13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68" w:type="dxa"/>
            <w:gridSpan w:val="4"/>
            <w:noWrap w:val="0"/>
            <w:vAlign w:val="top"/>
          </w:tcPr>
          <w:p w14:paraId="35040126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300246A0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6ED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0E8ED82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6AFB8B8D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目标1：购置相关仪器设备，保证教学质量。</w:t>
            </w:r>
          </w:p>
          <w:p w14:paraId="1BBD6E2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目标2：做好后勤保障管理工作，解决师生后顾之忧，为师生提供良好的教学环境。</w:t>
            </w:r>
          </w:p>
          <w:p w14:paraId="03CD51E5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目标3：引进优质教师，开展教师培训工作，建立优质的师资队伍。</w:t>
            </w:r>
          </w:p>
          <w:p w14:paraId="0C2E4481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目标4：丰富学生课外活动，拓展学生课外知识，调整学生学习心态，秉持以人为本的教育方式。</w:t>
            </w:r>
          </w:p>
          <w:p w14:paraId="73A5A230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目标5：落实“双减”任务，减轻学生过重作业负担和校外培训负担。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581ACDBC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目标1：及时购置教学设备，保证教学质量。</w:t>
            </w:r>
          </w:p>
          <w:p w14:paraId="5D0ADE84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目标2：我校后勤工作得到进一步的规范，严格落实收费规定，无违规收费现象。做好学校经费收支管理，量入为出，收支平衡，保障重点。</w:t>
            </w:r>
          </w:p>
          <w:p w14:paraId="4DB916E9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3：以“党建+成长”模式打造教师成长共同体，把党建与练就教师基本功深度融合，激发教师自觉成长意识，通过“党建+读书”“党建+培训”等多种形式，从学校制度、每日常规、班主任工作、青年教师培养等方面助推教师专业成长。</w:t>
            </w:r>
          </w:p>
          <w:p w14:paraId="3C3FD43F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目标4：德育活动丰富多彩，如雷锋月活动、武术操比赛、守护一江碧水环保行动、清明节缅怀先烈等，旨在培养学生集体与团队精神及社会责任感。</w:t>
            </w:r>
          </w:p>
          <w:p w14:paraId="39332E57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目标5：积极落实“双减”政策，严格控制学生作业总量。</w:t>
            </w:r>
          </w:p>
        </w:tc>
      </w:tr>
      <w:tr w14:paraId="7FD1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FD7276A">
            <w:pPr>
              <w:pStyle w:val="10"/>
              <w:spacing w:line="364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C00D9DE"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7A4002ED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20" w:type="dxa"/>
            <w:noWrap w:val="0"/>
            <w:vAlign w:val="top"/>
          </w:tcPr>
          <w:p w14:paraId="4E7B83BD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12" w:type="dxa"/>
            <w:noWrap w:val="0"/>
            <w:vAlign w:val="top"/>
          </w:tcPr>
          <w:p w14:paraId="232E72AF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32" w:type="dxa"/>
            <w:noWrap w:val="0"/>
            <w:vAlign w:val="top"/>
          </w:tcPr>
          <w:p w14:paraId="27F09F8B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00" w:type="dxa"/>
            <w:noWrap w:val="0"/>
            <w:vAlign w:val="top"/>
          </w:tcPr>
          <w:p w14:paraId="6D4E1CA8"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36" w:type="dxa"/>
            <w:noWrap w:val="0"/>
            <w:vAlign w:val="top"/>
          </w:tcPr>
          <w:p w14:paraId="7C59B40D"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433EE910"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自评得分</w:t>
            </w:r>
          </w:p>
        </w:tc>
        <w:tc>
          <w:tcPr>
            <w:tcW w:w="1536" w:type="dxa"/>
            <w:noWrap w:val="0"/>
            <w:vAlign w:val="top"/>
          </w:tcPr>
          <w:p w14:paraId="435C8AAE"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42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C14A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0F1A448F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485D1A1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F7F6CB7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41C609C">
            <w:pPr>
              <w:pStyle w:val="10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E4AF7D1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C8617A4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6269C1B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6BC47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12" w:type="dxa"/>
            <w:noWrap w:val="0"/>
            <w:vAlign w:val="top"/>
          </w:tcPr>
          <w:p w14:paraId="598C13A8">
            <w:pPr>
              <w:spacing w:before="273" w:line="226" w:lineRule="auto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学生招生数量</w:t>
            </w:r>
          </w:p>
        </w:tc>
        <w:tc>
          <w:tcPr>
            <w:tcW w:w="1332" w:type="dxa"/>
            <w:noWrap w:val="0"/>
            <w:vAlign w:val="top"/>
          </w:tcPr>
          <w:p w14:paraId="3544A454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2368人</w:t>
            </w:r>
          </w:p>
        </w:tc>
        <w:tc>
          <w:tcPr>
            <w:tcW w:w="1200" w:type="dxa"/>
            <w:noWrap w:val="0"/>
            <w:vAlign w:val="top"/>
          </w:tcPr>
          <w:p w14:paraId="45AC86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2368人</w:t>
            </w:r>
          </w:p>
        </w:tc>
        <w:tc>
          <w:tcPr>
            <w:tcW w:w="636" w:type="dxa"/>
            <w:noWrap w:val="0"/>
            <w:vAlign w:val="top"/>
          </w:tcPr>
          <w:p w14:paraId="2CDF9C4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145ED2F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38215BE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1A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180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6A56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609E9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18297F0B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教师培训次数</w:t>
            </w:r>
          </w:p>
        </w:tc>
        <w:tc>
          <w:tcPr>
            <w:tcW w:w="1332" w:type="dxa"/>
            <w:noWrap w:val="0"/>
            <w:vAlign w:val="top"/>
          </w:tcPr>
          <w:p w14:paraId="290092C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≥3次</w:t>
            </w:r>
          </w:p>
        </w:tc>
        <w:tc>
          <w:tcPr>
            <w:tcW w:w="1200" w:type="dxa"/>
            <w:noWrap w:val="0"/>
            <w:vAlign w:val="top"/>
          </w:tcPr>
          <w:p w14:paraId="378B7353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4次</w:t>
            </w:r>
          </w:p>
        </w:tc>
        <w:tc>
          <w:tcPr>
            <w:tcW w:w="636" w:type="dxa"/>
            <w:noWrap w:val="0"/>
            <w:vAlign w:val="top"/>
          </w:tcPr>
          <w:p w14:paraId="792871C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7374934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62C85B5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9DC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EDB6B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611D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23ED046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927D13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质量指标</w:t>
            </w:r>
          </w:p>
        </w:tc>
        <w:tc>
          <w:tcPr>
            <w:tcW w:w="1212" w:type="dxa"/>
            <w:noWrap w:val="0"/>
            <w:vAlign w:val="top"/>
          </w:tcPr>
          <w:p w14:paraId="54DDCD6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校园修缮完成率</w:t>
            </w:r>
          </w:p>
        </w:tc>
        <w:tc>
          <w:tcPr>
            <w:tcW w:w="1332" w:type="dxa"/>
            <w:noWrap w:val="0"/>
            <w:vAlign w:val="top"/>
          </w:tcPr>
          <w:p w14:paraId="457F3CE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≤100%</w:t>
            </w:r>
          </w:p>
        </w:tc>
        <w:tc>
          <w:tcPr>
            <w:tcW w:w="1200" w:type="dxa"/>
            <w:noWrap w:val="0"/>
            <w:vAlign w:val="top"/>
          </w:tcPr>
          <w:p w14:paraId="0C99666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96%</w:t>
            </w:r>
          </w:p>
        </w:tc>
        <w:tc>
          <w:tcPr>
            <w:tcW w:w="636" w:type="dxa"/>
            <w:noWrap w:val="0"/>
            <w:vAlign w:val="top"/>
          </w:tcPr>
          <w:p w14:paraId="45FE559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948" w:type="dxa"/>
            <w:noWrap w:val="0"/>
            <w:vAlign w:val="top"/>
          </w:tcPr>
          <w:p w14:paraId="0E9857F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5.6</w:t>
            </w:r>
          </w:p>
        </w:tc>
        <w:tc>
          <w:tcPr>
            <w:tcW w:w="1536" w:type="dxa"/>
            <w:noWrap w:val="0"/>
            <w:vAlign w:val="top"/>
          </w:tcPr>
          <w:p w14:paraId="484BF83E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7EF1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A1C613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4BB64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D09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37BDFDB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安全教育宣传覆盖率</w:t>
            </w:r>
          </w:p>
        </w:tc>
        <w:tc>
          <w:tcPr>
            <w:tcW w:w="1332" w:type="dxa"/>
            <w:noWrap w:val="0"/>
            <w:vAlign w:val="top"/>
          </w:tcPr>
          <w:p w14:paraId="22C406EF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≧100%</w:t>
            </w:r>
          </w:p>
        </w:tc>
        <w:tc>
          <w:tcPr>
            <w:tcW w:w="1200" w:type="dxa"/>
            <w:noWrap w:val="0"/>
            <w:vAlign w:val="top"/>
          </w:tcPr>
          <w:p w14:paraId="3129CFE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0E3594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5FF9E5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255EA37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DDC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E584B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B8B6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6A786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212" w:type="dxa"/>
            <w:noWrap w:val="0"/>
            <w:vAlign w:val="top"/>
          </w:tcPr>
          <w:p w14:paraId="1F793481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及时完成在校学生的春、秋两季教学计划</w:t>
            </w:r>
          </w:p>
        </w:tc>
        <w:tc>
          <w:tcPr>
            <w:tcW w:w="1332" w:type="dxa"/>
            <w:noWrap w:val="0"/>
            <w:vAlign w:val="top"/>
          </w:tcPr>
          <w:p w14:paraId="0B6216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1200" w:type="dxa"/>
            <w:noWrap w:val="0"/>
            <w:vAlign w:val="top"/>
          </w:tcPr>
          <w:p w14:paraId="739422B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636" w:type="dxa"/>
            <w:noWrap w:val="0"/>
            <w:vAlign w:val="top"/>
          </w:tcPr>
          <w:p w14:paraId="37042BE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489D5A5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4F7469B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2C1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D4108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E3DE6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19D01E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12" w:type="dxa"/>
            <w:noWrap w:val="0"/>
            <w:vAlign w:val="top"/>
          </w:tcPr>
          <w:p w14:paraId="26DBE27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全年经费开支控制在预算内</w:t>
            </w:r>
          </w:p>
        </w:tc>
        <w:tc>
          <w:tcPr>
            <w:tcW w:w="1332" w:type="dxa"/>
            <w:noWrap w:val="0"/>
            <w:vAlign w:val="top"/>
          </w:tcPr>
          <w:p w14:paraId="5F69A9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控制在预算</w:t>
            </w:r>
          </w:p>
        </w:tc>
        <w:tc>
          <w:tcPr>
            <w:tcW w:w="1200" w:type="dxa"/>
            <w:noWrap w:val="0"/>
            <w:vAlign w:val="top"/>
          </w:tcPr>
          <w:p w14:paraId="390BB3C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控制在预算</w:t>
            </w:r>
          </w:p>
        </w:tc>
        <w:tc>
          <w:tcPr>
            <w:tcW w:w="636" w:type="dxa"/>
            <w:noWrap w:val="0"/>
            <w:vAlign w:val="top"/>
          </w:tcPr>
          <w:p w14:paraId="059905B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6472550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14EB059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5B2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0A48C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5DCEC46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3E5D2DC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4A8B7D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DDCE00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68BAE4A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EABF5A3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D7DD8E9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经济效益指标</w:t>
            </w:r>
          </w:p>
        </w:tc>
        <w:tc>
          <w:tcPr>
            <w:tcW w:w="1212" w:type="dxa"/>
            <w:noWrap w:val="0"/>
            <w:vAlign w:val="top"/>
          </w:tcPr>
          <w:p w14:paraId="57E785D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332" w:type="dxa"/>
            <w:noWrap w:val="0"/>
            <w:vAlign w:val="top"/>
          </w:tcPr>
          <w:p w14:paraId="6FFDF22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00" w:type="dxa"/>
            <w:noWrap w:val="0"/>
            <w:vAlign w:val="top"/>
          </w:tcPr>
          <w:p w14:paraId="4DC2894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636" w:type="dxa"/>
            <w:noWrap w:val="0"/>
            <w:vAlign w:val="top"/>
          </w:tcPr>
          <w:p w14:paraId="6E892A1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top"/>
          </w:tcPr>
          <w:p w14:paraId="391FE6F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536" w:type="dxa"/>
            <w:noWrap w:val="0"/>
            <w:vAlign w:val="top"/>
          </w:tcPr>
          <w:p w14:paraId="513BFE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248D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03D45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8CD0A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65B1B8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社会效益指标</w:t>
            </w:r>
          </w:p>
        </w:tc>
        <w:tc>
          <w:tcPr>
            <w:tcW w:w="1212" w:type="dxa"/>
            <w:noWrap w:val="0"/>
            <w:vAlign w:val="top"/>
          </w:tcPr>
          <w:p w14:paraId="6539E9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改善城区教育教学水平</w:t>
            </w:r>
          </w:p>
        </w:tc>
        <w:tc>
          <w:tcPr>
            <w:tcW w:w="1332" w:type="dxa"/>
            <w:noWrap w:val="0"/>
            <w:vAlign w:val="top"/>
          </w:tcPr>
          <w:p w14:paraId="3338AC9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有所提升</w:t>
            </w:r>
          </w:p>
        </w:tc>
        <w:tc>
          <w:tcPr>
            <w:tcW w:w="1200" w:type="dxa"/>
            <w:noWrap w:val="0"/>
            <w:vAlign w:val="top"/>
          </w:tcPr>
          <w:p w14:paraId="586DF25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有所提升</w:t>
            </w:r>
          </w:p>
        </w:tc>
        <w:tc>
          <w:tcPr>
            <w:tcW w:w="636" w:type="dxa"/>
            <w:noWrap w:val="0"/>
            <w:vAlign w:val="top"/>
          </w:tcPr>
          <w:p w14:paraId="67D046D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02799E8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9.8</w:t>
            </w:r>
          </w:p>
        </w:tc>
        <w:tc>
          <w:tcPr>
            <w:tcW w:w="1536" w:type="dxa"/>
            <w:noWrap w:val="0"/>
            <w:vAlign w:val="top"/>
          </w:tcPr>
          <w:p w14:paraId="62C0A36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2C5E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7AFE4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609D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65C11577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生态效益指标</w:t>
            </w:r>
          </w:p>
        </w:tc>
        <w:tc>
          <w:tcPr>
            <w:tcW w:w="1212" w:type="dxa"/>
            <w:noWrap w:val="0"/>
            <w:vAlign w:val="top"/>
          </w:tcPr>
          <w:p w14:paraId="2E909DB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无污染</w:t>
            </w:r>
          </w:p>
        </w:tc>
        <w:tc>
          <w:tcPr>
            <w:tcW w:w="1332" w:type="dxa"/>
            <w:noWrap w:val="0"/>
            <w:vAlign w:val="top"/>
          </w:tcPr>
          <w:p w14:paraId="1E980DA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无污染</w:t>
            </w:r>
          </w:p>
        </w:tc>
        <w:tc>
          <w:tcPr>
            <w:tcW w:w="1200" w:type="dxa"/>
            <w:noWrap w:val="0"/>
            <w:vAlign w:val="top"/>
          </w:tcPr>
          <w:p w14:paraId="652DBF5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无污染</w:t>
            </w:r>
          </w:p>
        </w:tc>
        <w:tc>
          <w:tcPr>
            <w:tcW w:w="636" w:type="dxa"/>
            <w:noWrap w:val="0"/>
            <w:vAlign w:val="top"/>
          </w:tcPr>
          <w:p w14:paraId="7029037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45F6830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019CCD4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97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705C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F29A9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078675B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可持续影响指标</w:t>
            </w:r>
          </w:p>
        </w:tc>
        <w:tc>
          <w:tcPr>
            <w:tcW w:w="1212" w:type="dxa"/>
            <w:noWrap w:val="0"/>
            <w:vAlign w:val="top"/>
          </w:tcPr>
          <w:p w14:paraId="48FEC9A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教育事业持续发展</w:t>
            </w:r>
          </w:p>
        </w:tc>
        <w:tc>
          <w:tcPr>
            <w:tcW w:w="1332" w:type="dxa"/>
            <w:noWrap w:val="0"/>
            <w:vAlign w:val="top"/>
          </w:tcPr>
          <w:p w14:paraId="2785A2B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1200" w:type="dxa"/>
            <w:noWrap w:val="0"/>
            <w:vAlign w:val="top"/>
          </w:tcPr>
          <w:p w14:paraId="35547E3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持续发展</w:t>
            </w:r>
          </w:p>
        </w:tc>
        <w:tc>
          <w:tcPr>
            <w:tcW w:w="636" w:type="dxa"/>
            <w:noWrap w:val="0"/>
            <w:vAlign w:val="top"/>
          </w:tcPr>
          <w:p w14:paraId="6F3E464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53BADB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9.6</w:t>
            </w:r>
          </w:p>
        </w:tc>
        <w:tc>
          <w:tcPr>
            <w:tcW w:w="1536" w:type="dxa"/>
            <w:noWrap w:val="0"/>
            <w:vAlign w:val="top"/>
          </w:tcPr>
          <w:p w14:paraId="1F1EAC4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602C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BF7E0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5F3F8102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4BED2B9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A878D5A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3155F76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35C881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服务对象</w:t>
            </w:r>
          </w:p>
          <w:p w14:paraId="67BC0CE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满意度指标</w:t>
            </w:r>
          </w:p>
        </w:tc>
        <w:tc>
          <w:tcPr>
            <w:tcW w:w="1212" w:type="dxa"/>
            <w:noWrap w:val="0"/>
            <w:vAlign w:val="top"/>
          </w:tcPr>
          <w:p w14:paraId="2200BB3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学生满意度</w:t>
            </w:r>
          </w:p>
        </w:tc>
        <w:tc>
          <w:tcPr>
            <w:tcW w:w="1332" w:type="dxa"/>
            <w:noWrap w:val="0"/>
            <w:vAlign w:val="top"/>
          </w:tcPr>
          <w:p w14:paraId="56C985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6C31883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17DC1D1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6FD0F8E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0BEA06D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443A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D5F10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416D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423C5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6F400FA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家长满意度</w:t>
            </w:r>
          </w:p>
        </w:tc>
        <w:tc>
          <w:tcPr>
            <w:tcW w:w="1332" w:type="dxa"/>
            <w:noWrap w:val="0"/>
            <w:vAlign w:val="top"/>
          </w:tcPr>
          <w:p w14:paraId="399925F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34F9FD5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53120AD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948" w:type="dxa"/>
            <w:noWrap w:val="0"/>
            <w:vAlign w:val="top"/>
          </w:tcPr>
          <w:p w14:paraId="7360B27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536" w:type="dxa"/>
            <w:noWrap w:val="0"/>
            <w:vAlign w:val="top"/>
          </w:tcPr>
          <w:p w14:paraId="6E33314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77A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EA95B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57F3B4B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 w14:paraId="5CF416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2BE6CDF2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教职工满意度</w:t>
            </w:r>
          </w:p>
        </w:tc>
        <w:tc>
          <w:tcPr>
            <w:tcW w:w="1332" w:type="dxa"/>
            <w:noWrap w:val="0"/>
            <w:vAlign w:val="top"/>
          </w:tcPr>
          <w:p w14:paraId="55C2FB0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763DBC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98%</w:t>
            </w:r>
          </w:p>
        </w:tc>
        <w:tc>
          <w:tcPr>
            <w:tcW w:w="636" w:type="dxa"/>
            <w:noWrap w:val="0"/>
            <w:vAlign w:val="top"/>
          </w:tcPr>
          <w:p w14:paraId="2318D6F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0AC7AC6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6D5AEE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7E1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28" w:type="dxa"/>
            <w:gridSpan w:val="6"/>
            <w:noWrap w:val="0"/>
            <w:vAlign w:val="top"/>
          </w:tcPr>
          <w:p w14:paraId="3A7A847C"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36" w:type="dxa"/>
            <w:noWrap w:val="0"/>
            <w:vAlign w:val="top"/>
          </w:tcPr>
          <w:p w14:paraId="6DD598D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948" w:type="dxa"/>
            <w:noWrap w:val="0"/>
            <w:vAlign w:val="top"/>
          </w:tcPr>
          <w:p w14:paraId="7A0695B9">
            <w:pPr>
              <w:spacing w:before="75" w:line="195" w:lineRule="auto"/>
              <w:ind w:left="23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98.99</w:t>
            </w:r>
          </w:p>
        </w:tc>
        <w:tc>
          <w:tcPr>
            <w:tcW w:w="1536" w:type="dxa"/>
            <w:noWrap w:val="0"/>
            <w:vAlign w:val="top"/>
          </w:tcPr>
          <w:p w14:paraId="16D98A12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6B79C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p w14:paraId="4FB12411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黄丽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联系电话：13507306926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2025年7月8日</w:t>
      </w:r>
    </w:p>
    <w:p w14:paraId="50362F15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p w14:paraId="43E6CD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D19D4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17304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9B7776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40CDA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A94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92D1C9E"/>
    <w:rsid w:val="09377E5E"/>
    <w:rsid w:val="09383E9F"/>
    <w:rsid w:val="0939426E"/>
    <w:rsid w:val="093F4975"/>
    <w:rsid w:val="09504F8C"/>
    <w:rsid w:val="095C52F4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733B6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17312"/>
    <w:rsid w:val="0E4822EE"/>
    <w:rsid w:val="0E4E185D"/>
    <w:rsid w:val="0E522FBE"/>
    <w:rsid w:val="0E5D141B"/>
    <w:rsid w:val="0E6110B0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5177D9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016AC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33E26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50189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7125D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6C71A5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236E9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7B22D6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06C63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10CD1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06343"/>
    <w:rsid w:val="2CF24D2C"/>
    <w:rsid w:val="2CF756B7"/>
    <w:rsid w:val="2CF9252D"/>
    <w:rsid w:val="2CF97782"/>
    <w:rsid w:val="2CFE30EF"/>
    <w:rsid w:val="2CFE33A0"/>
    <w:rsid w:val="2D020858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E58FD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132621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91FB3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7C3728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22142B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1A46AF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6355B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03A3D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E5581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92BA4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18109D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5508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35BE4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6B0507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454DCE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43E81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43E59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602DE"/>
    <w:rsid w:val="635D4427"/>
    <w:rsid w:val="635F082F"/>
    <w:rsid w:val="63710CD7"/>
    <w:rsid w:val="637D427E"/>
    <w:rsid w:val="639114B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44326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8FD373A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DE182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818FA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80DE9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8224D"/>
    <w:rsid w:val="6CDF0F3A"/>
    <w:rsid w:val="6CE47854"/>
    <w:rsid w:val="6CE72999"/>
    <w:rsid w:val="6CF879E8"/>
    <w:rsid w:val="6D011AA2"/>
    <w:rsid w:val="6D0D25B8"/>
    <w:rsid w:val="6D181856"/>
    <w:rsid w:val="6D1A2893"/>
    <w:rsid w:val="6D2A2544"/>
    <w:rsid w:val="6D490A6B"/>
    <w:rsid w:val="6D4E3368"/>
    <w:rsid w:val="6D560CEB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C5358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0D6F7C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1C1033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14065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033F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60E8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106AB"/>
    <w:rsid w:val="7CDF4250"/>
    <w:rsid w:val="7CFB4344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4640</Words>
  <Characters>5119</Characters>
  <Lines>0</Lines>
  <Paragraphs>0</Paragraphs>
  <TotalTime>17</TotalTime>
  <ScaleCrop>false</ScaleCrop>
  <LinksUpToDate>false</LinksUpToDate>
  <CharactersWithSpaces>5186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2025-07-14T00:44:45Z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