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1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岳阳楼区西塘中心小学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default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部门(单位)名称：岳阳市岳阳楼区西塘中心小学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2025年07月08日</w:t>
      </w:r>
    </w:p>
    <w:p w14:paraId="5C39BC5F">
      <w:pPr>
        <w:pStyle w:val="1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5B32C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岳阳市岳阳楼区西塘中心小学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单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1BB5C7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00" w:firstLineChars="20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1、宣传贯彻执行党和国家的教育方针、政策、法律法规等，坚持依法治教、依法治学，贯彻执行岳阳楼区教育局的行政规章制度。</w:t>
      </w:r>
    </w:p>
    <w:p w14:paraId="7C52B11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2、维护学校的教学秩序，为学生创造良好的学习环境。</w:t>
      </w:r>
    </w:p>
    <w:p w14:paraId="41DBB2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3、极稳妥地推进教育改革，按教育规律办事，不断提高教育质量。</w:t>
      </w:r>
    </w:p>
    <w:p w14:paraId="1E5985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4、根据学校规模，设置学校管理机构，建立健全各项规章制度和岗位责任制。</w:t>
      </w:r>
    </w:p>
    <w:p w14:paraId="1E34442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5B8352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6、抓好教师队伍建设，使每个教师都热心于教育事业。</w:t>
      </w:r>
    </w:p>
    <w:p w14:paraId="24E5F6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7、做好安全防范，保证学生的人身安全。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本单位内设机构包括：教导处、德育处、后勤处、工会、办公室。根据编办核定，我校共有教职工63人，其中：在职编制31人；离退休32人。年末学生人数495人。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（三）年度工作内容</w:t>
      </w:r>
    </w:p>
    <w:p w14:paraId="3B8C1CA4">
      <w:pPr>
        <w:pStyle w:val="13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创建“和美”党建品牌，党的全面领导引领学校健康发展。我校党支部坚持从严治党、规矩规范，扎实推进“四红行动”，夯实党建主题“四亮”行动、扎实开展“师德师风建设”系列活动，全力打造“清廉校园、清正教风、清新学风”，营造风清气正的教育氛围。</w:t>
      </w:r>
    </w:p>
    <w:p w14:paraId="2221A7AF">
      <w:pPr>
        <w:pStyle w:val="13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2、创建农村最温馨校园，为全体师生打造“和美”人生。西塘中心小学以“以‘和’促发展  以‘美’成人生”为教育理念；以“诚信、感恩、励志、自强”为校训；以“团结、奋进、求实、创新”为校风；以创办面向未来的农村现代化小学为目标，努力打造教师爱教、学生爱学、行为至上的优质乡村学校。</w:t>
      </w:r>
    </w:p>
    <w:p w14:paraId="0704E2BB">
      <w:pPr>
        <w:pStyle w:val="13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3、借助“城乡教育一体化”，有效提升农村学校教育教学质量。我校借助城乡教育一体化模式，与城区优质学校东城小学分工细致;列行事历;教研创新;青蓝结对;落实常规；同步教研；城乡切磋；一月一评；同步提质等方式，努力促进城乡教育均衡发展，实现与城区学校优质资源、管理共享。</w:t>
      </w:r>
    </w:p>
    <w:p w14:paraId="52E633FA">
      <w:pPr>
        <w:pStyle w:val="13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4、努力巩固扶贫政策控辍保学，用尽一切力量扶助寒门学子。2024年，我校积极联系岳阳市妇联、经开区妇联、残联和湖南富凯针织、不二家等企业开展了"情暖童心，筑梦成长"爱心捐赠活动。</w:t>
      </w:r>
    </w:p>
    <w:p w14:paraId="758F7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5、认真抓好课后服务落实“双减”，切实为学生及家长服务。</w:t>
      </w:r>
    </w:p>
    <w:p w14:paraId="02D2F574">
      <w:pPr>
        <w:pStyle w:val="13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我校不断提升学校课后服务水平，满足学生多样化需求，开展了多项专业班课程供学生自主选择，开足“5+2”课时要求；对学生的发展进行“德智体美劳”五项指标综合考核评价。</w:t>
      </w:r>
    </w:p>
    <w:p w14:paraId="754FCCD7">
      <w:pPr>
        <w:pStyle w:val="13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6、和风拂座书香隽；美卷怡人俗气无，阅读教育润乡村促成长。落实“四个一”：每天一节午读课、每周一节阅读课、每月一张阅读报告单、每学年一次阅读活动。</w:t>
      </w:r>
    </w:p>
    <w:p w14:paraId="7BF4DDA0">
      <w:pPr>
        <w:pStyle w:val="13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7、严防死守悉心安排，将师生安全永远排在首位。每周进行校车、安保工作培训会议，每周定期做好消防安全常规检查，每周进行一次安全教育，严格落实1530制度等。</w:t>
      </w:r>
    </w:p>
    <w:p w14:paraId="488C3D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393.87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393.87万元：包括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89.84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20.49万元；奖金149.19万元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绩效工资51.89万元；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28.93万元；职工基本医疗保险缴费11.55万元；其他社会保障缴费0.87万元；住房公积金23.72万元；其他工资福利支出17.39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148.60万元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1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5576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2024年，我校各项工作稳步提升，现将情况汇报如下：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35C6FA80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1）西塘中心小学现有13个教学班，学生495人，教职工63人。其中在职在编教师31人，高级职称教师3人，中级职称教师4人，初级教师14人；离退休32人。</w:t>
      </w:r>
    </w:p>
    <w:p w14:paraId="2BF3CFC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2024年，我校积极联系岳阳市妇联、经开区妇联、残联和湖南富凯针织、不二家等企业开展了"情暖童心，筑梦成长"爱心捐赠活动。为我校特困学生胡江、黎乐、任雨枫等送去资助款共计10000余元，并为我校306名留守儿童争取到书包、彩色笔、玩偶等物资。同时积极为因家长或家庭原因致贫的学生，呼吁社会力量捐资助学，无条件接受残疾儿童入学，解决学籍问题。</w:t>
      </w:r>
    </w:p>
    <w:p w14:paraId="1B8B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1FD21392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1）坚持进行师生安全教育、爱国教育、习惯教育、个性展示、阅读习惯、实践创新、快乐体验、心灵火花、爱心互助、阳光体育、美育教育等，努力打造教师爱教、学生爱学、行为至上的优质乡村学校。</w:t>
      </w:r>
    </w:p>
    <w:p w14:paraId="6520EBA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我校不断提升学校课后服务水平，满足学生多样化需求，开展了多项专业班课程供学生自主选择，开足“5+2”课时要求。开展球类（篮球、排球、乒乓球、羽毛球）、书法、美术（高级班、中级班）等社团活动，开设足球专业班。在全区小学生运动会上，获得小学乙组足球：男子组第一名、女子组第二名；篮球：男子组第二名。</w:t>
      </w:r>
    </w:p>
    <w:p w14:paraId="23C64A05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）邀请西塘派出所开展法制进校园活动；开展了消防应急疏散演练和消防培训。严格落实1530制度，从防性侵、防溺水、防校园欺凌、预防传染病和网络诈骗等安全知识出发，增加学生的安全知识储量，增强学生的安全意识。</w:t>
      </w:r>
    </w:p>
    <w:p w14:paraId="37EB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765D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20CF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全年教育投入经费746.43万元。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731BE3E0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1）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2024上半年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创建“和美书屋”并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举行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开幕式，六一国际儿童节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“悦读童年，爱心六一”文艺汇演暨阅读活动展示。10月24日阅读梦飞翔领导来我校回访，对我校阅读工作进行细致点评。</w:t>
      </w:r>
    </w:p>
    <w:p w14:paraId="2F3B9DA2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2）我校借助城乡教育一体化模式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与城区优质学校东城小学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分工细致;列行事历;教研创新;青蓝结对;落实常规；同步教研；城乡切磋；一月一评；同步提质等方式，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努力</w:t>
      </w:r>
      <w:r>
        <w:rPr>
          <w:rFonts w:hint="eastAsia" w:ascii="仿宋" w:hAnsi="仿宋" w:eastAsia="仿宋" w:cs="仿宋"/>
          <w:snapToGrid/>
          <w:color w:val="auto"/>
          <w:sz w:val="30"/>
          <w:szCs w:val="30"/>
          <w:highlight w:val="none"/>
          <w:lang w:val="en-US" w:eastAsia="zh-CN"/>
        </w:rPr>
        <w:t>促进城乡教育均衡发展，实现与城区学校优质资源、管理共享。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着力加强“师资、课堂、课程”建设，努力打造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农村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优质品牌学校。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2024年度获得“城乡教育一体化”先进单位。本年度我校教师获得省市区荣誉共77项。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4307801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1）2024年与湖南省民族职业学院建立合作关系，成为民院挂牌实习基地，进行艺体及教育教学援教。</w:t>
      </w:r>
    </w:p>
    <w:p w14:paraId="4FAC8681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2）从2020年开始，积极开展城乡教育一体化工作，教学质量显著提高，2022年中心小学申报的市级课题课题《借助城乡教育一体有效提升农村教育教学质量途径研究》今年结题，2024年被评为优秀课题。</w:t>
      </w:r>
    </w:p>
    <w:p w14:paraId="234529BF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3）西塘中心小学2023年2024年被选为市区教育基金会创办的“‘美在田野’乡村儿童美育素养提升公益项目”实践基地，通过两年的努力，美育工作成为特色，并作为经开区美育典型案例向市教体局进行了工作汇报。  </w:t>
      </w:r>
    </w:p>
    <w:p w14:paraId="1798FA33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4）今年12月13日，我校非遗文化传承《楚鼓舞》走上了由岳阳楼区文旅广电体育局主办的“冬季村晚”活动，获得上级和老百姓好评。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师生对学校管理满意度98%，家长对学校管理满意度98%。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0F9FA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绩效自评工作不够规范，指标项目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不够明确和细化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7A64A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强化绩效目标管理，规范绩效目标编制。绩效目标是项目设立和实施的前提，是做好绩效评价等各项预算绩效管理工作的基础。下年度编制预算时要结合单位职责、项目实施实际，分解细化工作要求，科学设置绩效目标和相关指标，规范绩效目标编制，加强绩效目标审核，提升绩效目标编制质量</w:t>
      </w:r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2B89316E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11"/>
        <w:rPr>
          <w:rFonts w:ascii="Arial"/>
          <w:color w:val="auto"/>
          <w:sz w:val="21"/>
          <w:highlight w:val="none"/>
        </w:rPr>
      </w:pPr>
    </w:p>
    <w:p w14:paraId="587796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  <w:highlight w:val="none"/>
        </w:rPr>
      </w:pPr>
    </w:p>
    <w:p w14:paraId="68E15C18">
      <w:pPr>
        <w:pStyle w:val="4"/>
        <w:rPr>
          <w:color w:val="auto"/>
          <w:spacing w:val="6"/>
          <w:highlight w:val="none"/>
        </w:rPr>
      </w:pPr>
    </w:p>
    <w:p w14:paraId="0734FBDB">
      <w:pPr>
        <w:rPr>
          <w:color w:val="auto"/>
          <w:spacing w:val="6"/>
          <w:highlight w:val="none"/>
        </w:rPr>
      </w:pPr>
    </w:p>
    <w:p w14:paraId="565BBFFB">
      <w:pPr>
        <w:pStyle w:val="2"/>
        <w:rPr>
          <w:color w:val="auto"/>
          <w:spacing w:val="6"/>
          <w:highlight w:val="none"/>
        </w:rPr>
      </w:pPr>
    </w:p>
    <w:p w14:paraId="78F1C24B">
      <w:pPr>
        <w:rPr>
          <w:color w:val="auto"/>
          <w:spacing w:val="6"/>
          <w:highlight w:val="none"/>
        </w:rPr>
      </w:pPr>
    </w:p>
    <w:p w14:paraId="2A9F6EEE">
      <w:pPr>
        <w:pStyle w:val="2"/>
        <w:rPr>
          <w:color w:val="auto"/>
          <w:spacing w:val="6"/>
          <w:highlight w:val="none"/>
        </w:rPr>
      </w:pPr>
    </w:p>
    <w:p w14:paraId="1199C805">
      <w:pPr>
        <w:rPr>
          <w:color w:val="auto"/>
          <w:spacing w:val="6"/>
          <w:highlight w:val="none"/>
        </w:rPr>
      </w:pPr>
    </w:p>
    <w:p w14:paraId="02B7DC95">
      <w:pPr>
        <w:rPr>
          <w:color w:val="auto"/>
          <w:spacing w:val="6"/>
          <w:highlight w:val="none"/>
        </w:rPr>
      </w:pPr>
    </w:p>
    <w:p w14:paraId="57B19077">
      <w:pPr>
        <w:rPr>
          <w:color w:val="auto"/>
          <w:spacing w:val="6"/>
          <w:highlight w:val="none"/>
        </w:rPr>
      </w:pPr>
    </w:p>
    <w:p w14:paraId="1411553F">
      <w:pPr>
        <w:rPr>
          <w:color w:val="auto"/>
          <w:spacing w:val="6"/>
          <w:highlight w:val="none"/>
        </w:rPr>
      </w:pPr>
    </w:p>
    <w:p w14:paraId="20830667">
      <w:pPr>
        <w:rPr>
          <w:color w:val="auto"/>
          <w:spacing w:val="6"/>
          <w:highlight w:val="none"/>
        </w:rPr>
      </w:pPr>
    </w:p>
    <w:p w14:paraId="04314D7A">
      <w:pPr>
        <w:rPr>
          <w:color w:val="auto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72C3D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630A2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D583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67FDE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D4FB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514B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588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5728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209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2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岳阳市岳阳楼区西塘中心小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148.6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34A5E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148.6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118.54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118.54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36.34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36.34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13.25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13.25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3.32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3.32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08" w:type="dxa"/>
            <w:gridSpan w:val="2"/>
            <w:shd w:val="clear" w:color="auto" w:fill="FFFFFF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44.60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孙艳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15773015186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2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3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岳阳市岳阳楼区西塘中心小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3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496.54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752.43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746.43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3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99.20%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9.92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542.46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597.83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148.60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203.97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3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4E1DE843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从严治党，夯实基层党建工作。</w:t>
            </w:r>
          </w:p>
          <w:p w14:paraId="4BA7D6D3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抓好教学教育工作，不断提高教育质量。</w:t>
            </w:r>
          </w:p>
          <w:p w14:paraId="093735F4">
            <w:pPr>
              <w:pStyle w:val="13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3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落实“双减”，加强安全教育，提高学生身体和心理素质。</w:t>
            </w:r>
          </w:p>
          <w:p w14:paraId="755F9061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4、加强后勤管理和服务，改善办学条件，保障教育教学工作正常开展，保证校园无重大安全事故发生。</w:t>
            </w:r>
          </w:p>
          <w:p w14:paraId="53FF674A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5、保障教职工工资福利待遇及时足额发放，提升教师幸福感，保持教师队伍稳定。</w:t>
            </w:r>
          </w:p>
          <w:p w14:paraId="67CC86C6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6、完成上级交办的其它工作。</w:t>
            </w:r>
          </w:p>
          <w:p w14:paraId="2AD6AD55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6FFB9E63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我校党支部坚持从严治党、规矩规范，从活动、行动上全力打造“清廉校园、清正教风、清新学风”，营造风清气正的教育氛围。</w:t>
            </w:r>
          </w:p>
          <w:p w14:paraId="335FF598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我校借助城乡教育一体化模式，与城区优质学校东城小学分工细致;列行事历;教研创新;青蓝结对;落实常规；同步教研；城乡切磋；一月一评；同步提质等方式，努力促进城乡教育均衡发展，实现与城区学校优质资源、管理共享。</w:t>
            </w:r>
          </w:p>
          <w:p w14:paraId="43FCBB95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认真抓好课后服务落实“双减”，开足“5+2”课时要求，切实为学生及家长服务。每周进行一次安全教育，严格落实1530制度。</w:t>
            </w:r>
          </w:p>
          <w:p w14:paraId="41E3FC7D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每周定期做好消防安全常规检查、重大安全隐患排查以及落实晨午检、通风消毒和因病缺勤制度，发现问题及时上报，及时整改。</w:t>
            </w:r>
          </w:p>
          <w:p w14:paraId="089AA614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按时足额发放教师职工工资及福利待遇。</w:t>
            </w:r>
          </w:p>
          <w:p w14:paraId="416598E5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我校非遗文化传承《楚鼓舞》走上了由岳阳楼区文旅广电体育局主办的“冬季村晚”活动，获得上级和老百姓好评。2024年度获得“城乡教育一体化”先进单位。本年度我校教师获得省市区荣誉共77项。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3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3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完成在校学生智体美劳全面培养与教育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495人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495人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8次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5人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5人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按时足额发放教师及退休人员工资奖金及福利待遇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≧63人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63人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校园修缮完成率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752.43万元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746.43万元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1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促进学生全面发展,提高教学质量,办人民满意教育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3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师生满意度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98.92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EE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455F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孙艳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15773015186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B82BC52E"/>
    <w:multiLevelType w:val="singleLevel"/>
    <w:tmpl w:val="B82BC52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0CE99F2"/>
    <w:multiLevelType w:val="singleLevel"/>
    <w:tmpl w:val="D0CE99F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322A8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47189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EC276D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C07DD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21A79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40045"/>
    <w:rsid w:val="1B051CF0"/>
    <w:rsid w:val="1B107EC2"/>
    <w:rsid w:val="1B113A6D"/>
    <w:rsid w:val="1B144B8D"/>
    <w:rsid w:val="1B17013D"/>
    <w:rsid w:val="1B1B14D3"/>
    <w:rsid w:val="1B1F6AF1"/>
    <w:rsid w:val="1B200D4B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702C6A"/>
    <w:rsid w:val="2974318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0A4A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1228B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1F97F74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BC363C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7538E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4E1C1D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879ED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F18DB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15658D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4218B3"/>
    <w:rsid w:val="74525628"/>
    <w:rsid w:val="74562CF1"/>
    <w:rsid w:val="745F06BF"/>
    <w:rsid w:val="746C713B"/>
    <w:rsid w:val="746E36DA"/>
    <w:rsid w:val="747D4344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格文字"/>
    <w:next w:val="3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4651</Words>
  <Characters>5037</Characters>
  <Lines>0</Lines>
  <Paragraphs>0</Paragraphs>
  <TotalTime>16</TotalTime>
  <ScaleCrop>false</ScaleCrop>
  <LinksUpToDate>false</LinksUpToDate>
  <CharactersWithSpaces>5114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2025-10-09T11:18:59Z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ED747BC37B894D16A557CCBAA781A944_13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