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10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10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10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年度岳阳市岳阳楼区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朝阳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小学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部门(单位)名称：岳阳市岳阳楼区朝阳小学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2025年07月08日</w:t>
      </w:r>
    </w:p>
    <w:p w14:paraId="5C39BC5F">
      <w:pPr>
        <w:pStyle w:val="10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3CEF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岳阳市岳阳楼区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朝阳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小学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单位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  <w:highlight w:val="none"/>
        </w:rPr>
        <w:t>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5517F06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00" w:firstLineChars="20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1、宣传贯彻执行党和国家的教育方针、政策、法律法规等，坚持依法治教、依法治学，贯彻执行岳阳楼区教育局的行政规章制度。</w:t>
      </w:r>
    </w:p>
    <w:p w14:paraId="6ECD142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2、维护学校的教学秩序，为学生创造良好的学习环境。</w:t>
      </w:r>
    </w:p>
    <w:p w14:paraId="0B1D6C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3、积极稳妥地推进教育改革，按教育规律办事，不断提高教育质量。</w:t>
      </w:r>
    </w:p>
    <w:p w14:paraId="1FF690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4、根据学校规模，设置学校管理机构，建立健全各项规章制度和岗位责任制。</w:t>
      </w:r>
    </w:p>
    <w:p w14:paraId="063E50A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2F6DDC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6、抓好教师队伍建设，使每个教师都热心于教育事业。</w:t>
      </w:r>
    </w:p>
    <w:p w14:paraId="663B2B5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7、做好安全防范，保证学生的人身安全。</w:t>
      </w:r>
    </w:p>
    <w:p w14:paraId="107A47A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0F4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我单位性质为全额拨款的事业单位，隶属于岳阳市岳阳楼区教育局，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本单位内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设机构包括：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校长室、学校办公室、教导处、政教处、后勤处。根据编办核定，我校共有教职工271人，其中：在职编制216人；离退休55人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年末学生人数4090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（三）年度工作内容</w:t>
      </w:r>
    </w:p>
    <w:p w14:paraId="6CE5357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1、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师德为首，逐步提升教师专业素养。通过师徒制和示范课等方式提升教素质，强化专业队伍建设。邀请专家授课，支持青年教师参加培训，提升研训能力，并开展学科培训活动，为教师成长搭建平台。学校推行“名师工程”，成立“德育名师工作室”，选拔并培养优秀班主任，以提高班主任队伍素质。学校通过“成长课堂”强化核心素养，规范教学，提高教研质量，建立名师团队，加强师资，提升教师专业素养。</w:t>
      </w:r>
    </w:p>
    <w:p w14:paraId="644DA19E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、立德树人，稳步推进“彩虹德育”体系。依托“七彩”主题活动，丰富学生课余生活，促进健康成长。学校制作了针对不同场合的行为习惯引导视频，分时段、分层次抓实学生行为习惯养成教育。实施“德育彩虹”课程，设立“红领巾奖章”彩虹章，并开展争章活动，提升了队员们的积极意识和光荣感。</w:t>
      </w:r>
    </w:p>
    <w:p w14:paraId="5CD801F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3、落实双减，整体提升教学质量。实施“双减”政策，优化课程体系，鼓励教师使用多元教学方法，结合数据技术的课堂评价体系，激发学生求知欲，提高学习主动性，构建高效课堂。强化鼓号队、啦啦操等课程培训，开展丰富活动，提升学生综合素养。</w:t>
      </w:r>
    </w:p>
    <w:p w14:paraId="08A1A93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4、校家共育，借力聚力合力促成长。学校创办家长学校，班级成立家委会，构建协同育人体系，注入活力于学生健康成长。家校合力加强安全教育，落实“1530”安全工作制度。通过专题讲座、升旗仪式和班队活动等开展安全教育。</w:t>
      </w:r>
    </w:p>
    <w:p w14:paraId="11264EAA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五、打造品牌，渗透朝阳育人文化。今年，学校启动全国文明校园创建验收工作，成立领导小组，依照“六个好”标准推进建设，形成全员参与的文明创建格局。近期学校完成了全国文明先进校园市级验收。学校先后获得“湖南省文明标兵单位”和“文明标兵校园”、全国“红领巾奖章”五星章、“湖南省体育传统特色学校”等综合性荣誉12项，参加岳阳市中小学生运动会等竞赛类荣誉15项，教师竞赛、论文、课题、案例等获奖100余人次，学生参加各类竞赛获奖200余人次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学校加强与校外媒体合作，扩大学校知名度和影响力。学校今年获评区宣传工作先进单位。</w:t>
      </w:r>
    </w:p>
    <w:p w14:paraId="488C3DD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2" w:firstLineChars="200"/>
        <w:jc w:val="both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38DE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3702.45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6CA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3446.40万元：包括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1064.63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9.48万元；奖金497.79万元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伙食补助费86.40万元；绩效工资810.88万元；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358.11万元；职工基本医疗保险缴费147.77万元；其他社会保障缴费28.52万元；住房公积金269.34万元；其他工资福利支出28.48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生活补助145万元。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256.05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办公费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23.53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万元；印刷费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10.92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7.55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16.93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邮电费2.00万元；物业管理费24.03万元；差旅费0.52万元；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74.58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会议费22.35万元；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培训费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8.06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专用材料费7.15万元；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劳务费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0.60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工会经费13.69万元；其他交通费用2.32万元；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其他商品和服务支出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26.35万元；办公设备购置14.47万元。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366.15万元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非重点绩效项目支出，未开展项目绩效自评，无项目绩效自评结果。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10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本单位2024年年度政府性基金预算支出4.50万元。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10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10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07A6E5CD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bidi="ar-SA"/>
        </w:rPr>
        <w:t>朝阳小学，位于南湖之滨，是一所充满活力的学校。在习近平新时代中国特色社会主义思想指导下，学校以“以人为本，呵护生命”为核心理念，推动素质教育，实施课程改革，将核心素养融入“成长课堂”，贯彻落实党的二十大精神，培育身心健康、品德优良、能力超强的学生。现将2024年度学校工作进行全面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汇报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bidi="ar-SA"/>
        </w:rPr>
        <w:t>：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数量指标</w:t>
      </w:r>
    </w:p>
    <w:p w14:paraId="25D3A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我校共有教职工271人，其中：在职编制216人；离退休55人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年末学生人数4090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人。</w:t>
      </w:r>
    </w:p>
    <w:p w14:paraId="6D70A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2）</w:t>
      </w:r>
      <w:r>
        <w:rPr>
          <w:rFonts w:ascii="仿宋_GB2312" w:hAnsi="宋体" w:eastAsia="仿宋_GB2312" w:cs="宋体"/>
          <w:color w:val="auto"/>
          <w:kern w:val="2"/>
          <w:sz w:val="32"/>
          <w:szCs w:val="32"/>
          <w:highlight w:val="none"/>
          <w:lang w:bidi="ar-SA"/>
        </w:rPr>
        <w:t>在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岳阳楼区教育基金会的支持下，2024年学校成立了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“岳阳楼区朝阳小学教育基金分会”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并通过募捐活动筹集了126万多元。这些资金用于资助教师培训、学术交流，推动教学改革，提升教学质量，支持贫困学生完成学业，并通过举办活动促进学生创新与实践能力，全面提高学生素质。</w:t>
      </w:r>
    </w:p>
    <w:p w14:paraId="0C07D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举办校园篮球、足球联赛、亲子运动会及阳光体育大课间等活动，促进孩子们快乐运动，健康成长。</w:t>
      </w:r>
    </w:p>
    <w:p w14:paraId="1B8B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2、质量指标</w:t>
      </w:r>
    </w:p>
    <w:p w14:paraId="69003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安全至关重要，我们严格管理校园安全，构建安全管理体系和应急预案。建立了保卫、安全检查、隐患排查和校园巡逻制度，全面实施人力、技术和物质防范措施。通过排查隐患、疏散演练和与部门合作，优化校园环境，确保学生安全。实施“1530”安全工作制度，开展安全教育活动，普及各类安全知识。家校合作，利用多种渠道加强沟通，共同维护校园安全。警校合作，法治教育深入人心，学校法治副校长许定艳同志参与安全管理，完善制度，处理事故纠纷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同时，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充分利用致家长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一封信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、家长会、微信公众号等途径，加强与家长的沟通与合作，共同营造安全、和谐的校园环境。</w:t>
      </w:r>
    </w:p>
    <w:p w14:paraId="2DC6E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实施“双减”政策，优化课程体系，鼓励教师使用多元教学方法，结合数据技术的课堂评价体系，如教学评融合、项目式学习等，激发学生求知欲，提高学习主动性，构建高效课堂。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学校原六年级语文组、英语组和现五年级体育组被评为2023-2024年度教学质量“先进学科组”。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加强课后服务，引入编程、陶笛、啦啦操等课程，并举办比赛活动，促进学生实践与展示。今年市运会，我校六支队伍参赛，啦啦操队和篮球队均获第一名，其他队伍也取得佳绩。</w:t>
      </w:r>
    </w:p>
    <w:p w14:paraId="37EB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765D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春、秋两季教育教学计划按时完成。</w:t>
      </w:r>
    </w:p>
    <w:p w14:paraId="20CF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6E9D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严格控制“三公”经费列支，做到“三公”经费支出0万元；全年教育投入经费5056.62万元。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604488A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54F17C8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59E786F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6143E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本学期，学校以“立德树人”为根本任务，构建“德育彩虹”课程体系。利用校内基地如雷锋志愿者岗亭、孔子文化广场，创新并开展多样化的“七彩”德育活动，丰富学生课余生活，促进健康成长。今年开展的“七彩”活动，如学雷锋、环保行动、拜师礼、经典诵读等，让朝阳学子在实践中锻炼能力，促进全面发展。在一系列活动中，涌现了一批优秀的学生。陈泊明同学获评“新时代湖南好少年”；陈炳翰同学获评湖南省“三好学生”。</w:t>
      </w:r>
    </w:p>
    <w:p w14:paraId="3958AF7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生态效益</w:t>
      </w:r>
    </w:p>
    <w:p w14:paraId="7A9E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23DA3D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可持续影响</w:t>
      </w:r>
    </w:p>
    <w:p w14:paraId="7D931306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本学年，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bidi="ar-SA"/>
        </w:rPr>
        <w:t>学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校制作了针对不同场合的行为习惯引导视频，如卫生、用餐、课堂等，并按阶段实施教育。已完成《卫生礼》《岗亭礼》《用餐礼》《学习礼》等视频，学生反馈良好。</w:t>
      </w:r>
    </w:p>
    <w:p w14:paraId="3C8B6FB0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2）学校成立校级“德育名师工作室”，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选拔并培养优秀班主任，以提高班主任队伍素质。工作室成员如刘文静、朱群等老师已进行多次培训，获得积极反馈。同时，定期举办班主任培训，工作室成员担任培训者，这不仅拓宽了德育培训途径，也提升了班主任的育人技能。学校通过“成长课堂”强化核心素养，规范教学，提高教研质量，建立名师团队，加强师资，提升教师专业素养。实施有效措施，持续改善教学质量。与奇家小学继续对口帮扶，共同进步。集团每学期至少举办两次办学办公会，深入交流办学理念、管理及教学经验。在师资上相互支持，每年派遣2名骨干教师至分校，开展“师徒结对”和定期“送教”活动。通过教研活动，全面提升两校教学质量。</w:t>
      </w:r>
    </w:p>
    <w:p w14:paraId="7ABA8D4B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3）今年，学校启动全国文明校园创建验收工作，成立领导小组，依照“六个好”标准推进建设，形成全员参与的文明创建格局。近期学校完成了全国文明先进校园市级验收。学校先后获得“湖南省文明标兵单位”和“文明标兵校园”、全国“红领巾奖章”五星章、“湖南省体育传统特色学校”等综合性荣誉12项，参加岳阳市中小学生运动会等竞赛类荣誉15项，教师竞赛、论文、课题、案例等获奖100余人次，学生参加各类竞赛获奖200余人次。学校加强与校外媒体合作，扩大学校知名度和影响力。学校今年获评区宣传工作先进单位。</w:t>
      </w:r>
    </w:p>
    <w:p w14:paraId="6F7703A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学生对学校管理满意度100%，家长对学校管理满意度100%。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3E5CA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绩效自评工作不够规范。个别项目绩效指标年初未设定目标值，仅自评时填写实际结果；个别项目支出预算数与实际支出不一致，未完成年初设定的绩效目标等问题。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6881E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强化绩效目标管理，规范绩效目标编制。绩效目标是项目设立和实施的前提，是做好绩效评价等各项预算绩效管理工作的基础。下年度编制预算时要结合单位职责、项目实施实际，分解细化工作要求，科学设置绩效目标和相关指标，规范绩效目标编制，加强绩效目标审核，提升绩效目标编制质量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2B893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根据部门整体支出绩效评价指标体系，朝阳小学在2024年度取得了较好的评价结果。学校将绩效自评结果作为本部门、本单位完善政策和改进管理的重要依据。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0C0E1D15">
      <w:pPr>
        <w:pStyle w:val="10"/>
        <w:rPr>
          <w:rFonts w:ascii="Arial"/>
          <w:color w:val="auto"/>
          <w:sz w:val="21"/>
          <w:highlight w:val="none"/>
        </w:rPr>
      </w:pPr>
    </w:p>
    <w:p w14:paraId="6E375B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7E886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1D9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0D0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A392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5499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61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D48B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0883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CD74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DF0C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91BE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9662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5B23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23B5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1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朝阳</w:t>
            </w:r>
            <w:r>
              <w:rPr>
                <w:color w:val="auto"/>
                <w:highlight w:val="none"/>
                <w:lang w:val="en-US" w:eastAsia="zh-CN"/>
              </w:rPr>
              <w:t>小学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216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216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0FC8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371.55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4A5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356.55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D824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3E30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442.64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299.01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1168.30 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27.79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41.26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23.73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9.69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31.48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30.76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36.23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269.63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195.52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245.76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江志华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18873005599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1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2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岳阳市岳阳楼区朝阳</w:t>
            </w:r>
            <w:r>
              <w:rPr>
                <w:color w:val="auto"/>
                <w:highlight w:val="none"/>
                <w:lang w:val="en-US" w:eastAsia="zh-CN"/>
              </w:rPr>
              <w:t>小学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2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2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3827.55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5064.62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5056.62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2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99.84%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9.98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4068.60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4685.07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4.50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371.55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2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983.52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2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2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4BA7D6D3">
            <w:pPr>
              <w:pStyle w:val="12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抓好教学教育工作，开展各项教研活动，狠抓教师队伍建设，不断提高教育质量。</w:t>
            </w:r>
          </w:p>
          <w:p w14:paraId="6429A2A9">
            <w:pPr>
              <w:pStyle w:val="12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2、加强对学生的思想品德教育，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落实“双减”，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使学生的德智体全面发展。</w:t>
            </w:r>
          </w:p>
          <w:p w14:paraId="2C7C93DD">
            <w:pPr>
              <w:pStyle w:val="12"/>
              <w:jc w:val="both"/>
              <w:rPr>
                <w:rFonts w:hint="default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3、做好后勤保障工作，加强学校安全教育，全方位保障校园安全。</w:t>
            </w:r>
          </w:p>
          <w:p w14:paraId="2E595872">
            <w:pPr>
              <w:pStyle w:val="12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4、从严治党，夯实基层党建工作。</w:t>
            </w:r>
          </w:p>
          <w:p w14:paraId="67CC86C6">
            <w:pPr>
              <w:pStyle w:val="12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5、完成上级部门交给的其他工作，按时完成上级部门交给的创文创卫工作和其他工作。</w:t>
            </w:r>
          </w:p>
          <w:p w14:paraId="2AD6AD55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69" w:type="dxa"/>
            <w:gridSpan w:val="4"/>
            <w:noWrap w:val="0"/>
            <w:vAlign w:val="center"/>
          </w:tcPr>
          <w:p w14:paraId="6E4A5A61">
            <w:pPr>
              <w:pStyle w:val="12"/>
              <w:numPr>
                <w:ilvl w:val="0"/>
                <w:numId w:val="7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师德为首，逐步提升教师专业素养。通过师徒制和示范课等方式提升教师素质，强化专业队伍建设。邀请专家授课，支持青年教师参加培训，提升研训能力，并开展学科培训活动，为教师成长搭建平台。学校推行“名师工程”，成立“德育名师工作室”，选拔并培养优秀班主任，以提高班主任队伍素质。学校通过“成长课堂”强化核心素养，规范教学，提高教研质量，建立名师团队，加强师资，提升教师专业素养。</w:t>
            </w:r>
          </w:p>
          <w:p w14:paraId="4649EC70">
            <w:pPr>
              <w:pStyle w:val="12"/>
              <w:numPr>
                <w:ilvl w:val="0"/>
                <w:numId w:val="7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实施“双减”政策，优化课程体系，鼓励教师使用多元教学方法，结合数据技术的课堂评价体系，激发学生求知欲，提高学习主动性，构建高效课堂。强化鼓号队、啦啦操等课程培训，开展丰富活动，提升学生综合素养。</w:t>
            </w:r>
          </w:p>
          <w:p w14:paraId="335FF598">
            <w:pPr>
              <w:pStyle w:val="12"/>
              <w:numPr>
                <w:ilvl w:val="0"/>
                <w:numId w:val="7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家校合力加强安全教育，落实“1530”安全工作制度。通过专题讲座、升旗仪式和班队活动等开展安全教育。</w:t>
            </w:r>
          </w:p>
          <w:p w14:paraId="1D50869B">
            <w:pPr>
              <w:pStyle w:val="12"/>
              <w:numPr>
                <w:ilvl w:val="0"/>
                <w:numId w:val="7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学校党支部开展系列党员活动，如“点对点上门送教”和“书记上党课”，以推进主题教育和强化支部建设。</w:t>
            </w:r>
          </w:p>
          <w:p w14:paraId="3728C6BA">
            <w:pPr>
              <w:pStyle w:val="12"/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今年，学校启动全国文明校园创建验收工作，成立领导小组，依照“六个好”标准推进建设，形成全员参与的文明创建格局。近期学校完成了全国文明先进校园市级验收，先后获得“湖南省文明标兵单位”和“文明标兵校园”的称号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2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2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2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2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2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2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小学</w:t>
            </w: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义务教育在校生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4050人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4090人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2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2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50人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78人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2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220人次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356人次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2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2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学生课外活动数量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≧10次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15次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2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校园安全教育宣传覆盖率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2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购置设备投入使用率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2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落实“双减”政策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3C1107E0">
            <w:pPr>
              <w:pStyle w:val="12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春、秋两季教育教学计划按时完成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2CB0A72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1297" w:type="dxa"/>
            <w:noWrap w:val="0"/>
            <w:vAlign w:val="center"/>
          </w:tcPr>
          <w:p w14:paraId="17882C38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2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5064.62万元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5056.62万元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2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2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2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2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12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促进学生全面发展，提高教育教学质量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较上年提升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2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2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2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2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2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2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2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2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E06374">
            <w:pPr>
              <w:pStyle w:val="12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学生满意度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2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2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2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2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 w14:paraId="5D7AC8A5">
            <w:pPr>
              <w:pStyle w:val="12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家长满意度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2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2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2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2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99.98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0EEF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1DD0F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Arial"/>
          <w:color w:val="auto"/>
          <w:sz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江志华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18873005599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</w:p>
    <w:p w14:paraId="611B6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Arial"/>
          <w:color w:val="auto"/>
          <w:sz w:val="21"/>
          <w:highlight w:val="none"/>
          <w:lang w:val="en-US"/>
        </w:rPr>
      </w:pPr>
    </w:p>
    <w:p w14:paraId="455F4B3C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B82BC52E"/>
    <w:multiLevelType w:val="singleLevel"/>
    <w:tmpl w:val="B82BC52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27605D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B7D21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177E0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73051E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C7275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3F7310"/>
    <w:rsid w:val="294D5371"/>
    <w:rsid w:val="295867A0"/>
    <w:rsid w:val="295A0917"/>
    <w:rsid w:val="295A5964"/>
    <w:rsid w:val="296248B4"/>
    <w:rsid w:val="29626133"/>
    <w:rsid w:val="29647C56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B94208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3283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2378C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55DF9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159A8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261F8E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957DB3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001F4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27CDE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066B4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25F04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A2AC1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7CC3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3BDE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表格文字"/>
    <w:next w:val="2"/>
    <w:qFormat/>
    <w:uiPriority w:val="0"/>
    <w:pPr>
      <w:widowControl w:val="0"/>
      <w:jc w:val="both"/>
    </w:pPr>
    <w:rPr>
      <w:rFonts w:ascii="等线" w:hAnsi="等线" w:eastAsia="楷体_GB2312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5534</Words>
  <Characters>6037</Characters>
  <Lines>0</Lines>
  <Paragraphs>0</Paragraphs>
  <TotalTime>12</TotalTime>
  <ScaleCrop>false</ScaleCrop>
  <LinksUpToDate>false</LinksUpToDate>
  <CharactersWithSpaces>6097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2025-10-10T00:07:06Z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34E34268CA8E4E609A0CED70BD565146_13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