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5B4A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14:paraId="0FCC1AF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2024年度</w:t>
      </w:r>
      <w:r>
        <w:rPr>
          <w:rFonts w:hint="eastAsia" w:ascii="方正小标宋简体" w:hAnsi="方正小标宋简体" w:eastAsia="方正小标宋简体" w:cs="方正小标宋简体"/>
          <w:color w:val="000000" w:themeColor="text1"/>
          <w:spacing w:val="0"/>
          <w:position w:val="0"/>
          <w:sz w:val="44"/>
          <w:szCs w:val="44"/>
          <w:highlight w:val="none"/>
          <w:lang w:val="en-US" w:eastAsia="zh-CN"/>
          <w14:textFill>
            <w14:solidFill>
              <w14:schemeClr w14:val="tx1"/>
            </w14:solidFill>
          </w14:textFill>
        </w:rPr>
        <w:t>岳阳市岳阳楼区旭日小学</w:t>
      </w:r>
    </w:p>
    <w:p w14:paraId="3692B1C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32FFC44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523B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CBFE5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CB00D6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bCs/>
          <w:sz w:val="30"/>
          <w:szCs w:val="30"/>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1C2CDB4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（一）职能职责</w:t>
      </w:r>
    </w:p>
    <w:p w14:paraId="3D8FC804">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1.</w:t>
      </w:r>
      <w:r>
        <w:rPr>
          <w:rFonts w:hint="eastAsia" w:ascii="仿宋" w:hAnsi="仿宋" w:eastAsia="仿宋" w:cs="仿宋"/>
          <w:bCs/>
          <w:sz w:val="30"/>
          <w:szCs w:val="30"/>
          <w:highlight w:val="none"/>
        </w:rPr>
        <w:t>宣传贯彻执行党和国家的教育方针、政策、法律法规等，坚持依法治教、依法治学，贯彻执行岳阳楼区教育局的行政规章制度。</w:t>
      </w:r>
    </w:p>
    <w:p w14:paraId="1CF5138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2.</w:t>
      </w:r>
      <w:r>
        <w:rPr>
          <w:rFonts w:hint="eastAsia" w:ascii="仿宋" w:hAnsi="仿宋" w:eastAsia="仿宋" w:cs="仿宋"/>
          <w:bCs/>
          <w:sz w:val="30"/>
          <w:szCs w:val="30"/>
          <w:highlight w:val="none"/>
        </w:rPr>
        <w:t>维护学校的教学秩序，为学生创造良好的学习环境。</w:t>
      </w:r>
    </w:p>
    <w:p w14:paraId="6BD2DF7B">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3.</w:t>
      </w:r>
      <w:r>
        <w:rPr>
          <w:rFonts w:hint="eastAsia" w:ascii="仿宋" w:hAnsi="仿宋" w:eastAsia="仿宋" w:cs="仿宋"/>
          <w:bCs/>
          <w:sz w:val="30"/>
          <w:szCs w:val="30"/>
          <w:highlight w:val="none"/>
        </w:rPr>
        <w:t>积极稳妥地推进教育改革，按教育规律办事，不断提高教育质量。</w:t>
      </w:r>
    </w:p>
    <w:p w14:paraId="3675EA0B">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4.</w:t>
      </w:r>
      <w:r>
        <w:rPr>
          <w:rFonts w:hint="eastAsia" w:ascii="仿宋" w:hAnsi="仿宋" w:eastAsia="仿宋" w:cs="仿宋"/>
          <w:bCs/>
          <w:sz w:val="30"/>
          <w:szCs w:val="30"/>
          <w:highlight w:val="none"/>
        </w:rPr>
        <w:t>根据学校规模，设置学校管理机构，建立健全各项规章制度和岗位责任制。</w:t>
      </w:r>
    </w:p>
    <w:p w14:paraId="6C1786B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5.</w:t>
      </w:r>
      <w:r>
        <w:rPr>
          <w:rFonts w:hint="eastAsia" w:ascii="仿宋" w:hAnsi="仿宋" w:eastAsia="仿宋" w:cs="仿宋"/>
          <w:bCs/>
          <w:sz w:val="30"/>
          <w:szCs w:val="30"/>
          <w:highlight w:val="none"/>
        </w:rPr>
        <w:t>坚持教书育人，服务育人，环境育人方针，加强对学生的思想品德教育，使学生的德智体全面发展。</w:t>
      </w:r>
    </w:p>
    <w:p w14:paraId="45933B97">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lang w:val="en-US" w:eastAsia="zh-CN"/>
        </w:rPr>
        <w:t>6.</w:t>
      </w:r>
      <w:r>
        <w:rPr>
          <w:rFonts w:hint="eastAsia" w:ascii="仿宋" w:hAnsi="仿宋" w:eastAsia="仿宋" w:cs="仿宋"/>
          <w:bCs/>
          <w:sz w:val="30"/>
          <w:szCs w:val="30"/>
          <w:highlight w:val="none"/>
        </w:rPr>
        <w:t>抓好教师队伍建设，使每个教师都热心于教育事业。</w:t>
      </w:r>
    </w:p>
    <w:p w14:paraId="7BAD941E">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cyan"/>
        </w:rPr>
      </w:pPr>
      <w:r>
        <w:rPr>
          <w:rFonts w:hint="eastAsia" w:ascii="仿宋" w:hAnsi="仿宋" w:eastAsia="仿宋" w:cs="仿宋"/>
          <w:bCs/>
          <w:sz w:val="30"/>
          <w:szCs w:val="30"/>
          <w:highlight w:val="none"/>
          <w:lang w:val="en-US" w:eastAsia="zh-CN"/>
        </w:rPr>
        <w:t>7.</w:t>
      </w:r>
      <w:r>
        <w:rPr>
          <w:rFonts w:hint="eastAsia" w:ascii="仿宋" w:hAnsi="仿宋" w:eastAsia="仿宋" w:cs="仿宋"/>
          <w:bCs/>
          <w:sz w:val="30"/>
          <w:szCs w:val="30"/>
          <w:highlight w:val="none"/>
        </w:rPr>
        <w:t>做好安全防范，保证学生的人身安全。</w:t>
      </w:r>
    </w:p>
    <w:p w14:paraId="7C9794AB">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（二）机构设置</w:t>
      </w:r>
    </w:p>
    <w:p w14:paraId="48014D59">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本单位内设机构包括：后勤处，教导处，办公室，工会。根据编办核定，我校共有教职工</w:t>
      </w:r>
      <w:r>
        <w:rPr>
          <w:rFonts w:hint="eastAsia" w:ascii="仿宋" w:hAnsi="仿宋" w:eastAsia="仿宋" w:cs="仿宋"/>
          <w:bCs/>
          <w:sz w:val="30"/>
          <w:szCs w:val="30"/>
          <w:highlight w:val="none"/>
          <w:lang w:val="en-US" w:eastAsia="zh-CN"/>
        </w:rPr>
        <w:t>94</w:t>
      </w:r>
      <w:r>
        <w:rPr>
          <w:rFonts w:hint="eastAsia" w:ascii="仿宋" w:hAnsi="仿宋" w:eastAsia="仿宋" w:cs="仿宋"/>
          <w:bCs/>
          <w:sz w:val="30"/>
          <w:szCs w:val="30"/>
          <w:highlight w:val="none"/>
        </w:rPr>
        <w:t>人，其中：在职</w:t>
      </w:r>
      <w:r>
        <w:rPr>
          <w:rFonts w:hint="eastAsia" w:ascii="仿宋" w:hAnsi="仿宋" w:eastAsia="仿宋" w:cs="仿宋"/>
          <w:bCs/>
          <w:sz w:val="30"/>
          <w:szCs w:val="30"/>
          <w:highlight w:val="none"/>
          <w:lang w:val="en-US" w:eastAsia="zh-CN"/>
        </w:rPr>
        <w:t>事业</w:t>
      </w:r>
      <w:r>
        <w:rPr>
          <w:rFonts w:hint="eastAsia" w:ascii="仿宋" w:hAnsi="仿宋" w:eastAsia="仿宋" w:cs="仿宋"/>
          <w:bCs/>
          <w:sz w:val="30"/>
          <w:szCs w:val="30"/>
          <w:highlight w:val="none"/>
        </w:rPr>
        <w:t>编制</w:t>
      </w:r>
      <w:r>
        <w:rPr>
          <w:rFonts w:hint="eastAsia" w:ascii="仿宋" w:hAnsi="仿宋" w:eastAsia="仿宋" w:cs="仿宋"/>
          <w:bCs/>
          <w:sz w:val="30"/>
          <w:szCs w:val="30"/>
          <w:highlight w:val="none"/>
          <w:lang w:val="en-US" w:eastAsia="zh-CN"/>
        </w:rPr>
        <w:t>19</w:t>
      </w:r>
      <w:r>
        <w:rPr>
          <w:rFonts w:hint="eastAsia" w:ascii="仿宋" w:hAnsi="仿宋" w:eastAsia="仿宋" w:cs="仿宋"/>
          <w:bCs/>
          <w:sz w:val="30"/>
          <w:szCs w:val="30"/>
          <w:highlight w:val="none"/>
        </w:rPr>
        <w:t>人；离退休</w:t>
      </w:r>
      <w:r>
        <w:rPr>
          <w:rFonts w:hint="eastAsia" w:ascii="仿宋" w:hAnsi="仿宋" w:eastAsia="仿宋" w:cs="仿宋"/>
          <w:bCs/>
          <w:sz w:val="30"/>
          <w:szCs w:val="30"/>
          <w:highlight w:val="none"/>
          <w:lang w:val="en-US" w:eastAsia="zh-CN"/>
        </w:rPr>
        <w:t>75</w:t>
      </w:r>
      <w:r>
        <w:rPr>
          <w:rFonts w:hint="eastAsia" w:ascii="仿宋" w:hAnsi="仿宋" w:eastAsia="仿宋" w:cs="仿宋"/>
          <w:bCs/>
          <w:sz w:val="30"/>
          <w:szCs w:val="30"/>
          <w:highlight w:val="none"/>
        </w:rPr>
        <w:t>人。</w:t>
      </w:r>
    </w:p>
    <w:p w14:paraId="7FBEA6AB">
      <w:pPr>
        <w:keepNext w:val="0"/>
        <w:keepLines w:val="0"/>
        <w:pageBreakBefore w:val="0"/>
        <w:numPr>
          <w:ilvl w:val="0"/>
          <w:numId w:val="2"/>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kern w:val="2"/>
          <w:sz w:val="30"/>
          <w:szCs w:val="30"/>
          <w:highlight w:val="none"/>
          <w:lang w:val="en-US" w:eastAsia="zh-CN" w:bidi="ar-SA"/>
        </w:rPr>
      </w:pPr>
      <w:r>
        <w:rPr>
          <w:rFonts w:hint="eastAsia" w:ascii="仿宋" w:hAnsi="仿宋" w:eastAsia="仿宋" w:cs="仿宋"/>
          <w:bCs/>
          <w:sz w:val="30"/>
          <w:szCs w:val="30"/>
        </w:rPr>
        <w:t>年度工作内容</w:t>
      </w:r>
    </w:p>
    <w:p w14:paraId="19AFEDDC">
      <w:pPr>
        <w:keepNext w:val="0"/>
        <w:keepLines w:val="0"/>
        <w:pageBreakBefore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kern w:val="2"/>
          <w:sz w:val="30"/>
          <w:szCs w:val="30"/>
          <w:highlight w:val="none"/>
          <w:lang w:val="en-US" w:eastAsia="zh-CN" w:bidi="ar-SA"/>
        </w:rPr>
      </w:pPr>
      <w:r>
        <w:rPr>
          <w:rFonts w:hint="eastAsia" w:ascii="仿宋" w:hAnsi="仿宋" w:eastAsia="仿宋" w:cs="仿宋"/>
          <w:bCs/>
          <w:sz w:val="30"/>
          <w:szCs w:val="30"/>
          <w:lang w:val="en-US" w:eastAsia="zh-CN"/>
        </w:rPr>
        <w:t>1.</w:t>
      </w:r>
      <w:r>
        <w:rPr>
          <w:rFonts w:hint="default" w:ascii="仿宋" w:hAnsi="仿宋" w:eastAsia="仿宋" w:cs="仿宋"/>
          <w:b w:val="0"/>
          <w:bCs/>
          <w:kern w:val="2"/>
          <w:sz w:val="30"/>
          <w:szCs w:val="30"/>
          <w:highlight w:val="none"/>
          <w:lang w:val="en-US" w:eastAsia="zh-CN" w:bidi="ar-SA"/>
        </w:rPr>
        <w:t>教师队伍建设</w:t>
      </w:r>
    </w:p>
    <w:p w14:paraId="73CF487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eastAsia"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党建引领：签订廉政承诺书4类，开展党纪专题学习6次。</w:t>
      </w:r>
    </w:p>
    <w:p w14:paraId="666449D9">
      <w:pPr>
        <w:pStyle w:val="5"/>
        <w:keepNext w:val="0"/>
        <w:keepLines w:val="0"/>
        <w:widowControl/>
        <w:suppressLineNumbers w:val="0"/>
        <w:spacing w:before="0" w:beforeAutospacing="0" w:after="48"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安全保障：护学岗每日3人值守；消防/防欺凌专题讲座覆盖全体学生。</w:t>
      </w:r>
    </w:p>
    <w:p w14:paraId="70825C62">
      <w:pPr>
        <w:pStyle w:val="5"/>
        <w:keepNext w:val="0"/>
        <w:keepLines w:val="0"/>
        <w:widowControl/>
        <w:suppressLineNumbers w:val="0"/>
        <w:spacing w:before="0" w:beforeAutospacing="0" w:after="0"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专业成长：教师培训160人次（含远程、校本）。</w:t>
      </w:r>
    </w:p>
    <w:p w14:paraId="3DFF6BE4">
      <w:pPr>
        <w:pStyle w:val="5"/>
        <w:keepNext w:val="0"/>
        <w:keepLines w:val="0"/>
        <w:widowControl/>
        <w:suppressLineNumbers w:val="0"/>
        <w:spacing w:before="0" w:beforeAutospacing="0" w:after="0" w:afterAutospacing="0" w:line="343" w:lineRule="atLeast"/>
        <w:ind w:left="0" w:right="0" w:firstLine="600" w:firstLineChars="200"/>
        <w:rPr>
          <w:rFonts w:hint="default"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团队凝聚：工会组织三八节、教师节观影等活动。</w:t>
      </w:r>
    </w:p>
    <w:p w14:paraId="75B55142">
      <w:pPr>
        <w:pStyle w:val="5"/>
        <w:keepNext w:val="0"/>
        <w:keepLines w:val="0"/>
        <w:widowControl/>
        <w:suppressLineNumbers w:val="0"/>
        <w:spacing w:before="0" w:beforeAutospacing="0" w:after="0" w:afterAutospacing="0" w:line="343" w:lineRule="atLeast"/>
        <w:ind w:left="0" w:right="0" w:firstLine="600" w:firstLineChars="200"/>
        <w:rPr>
          <w:rFonts w:hint="default" w:ascii="仿宋" w:hAnsi="仿宋" w:eastAsia="仿宋" w:cs="仿宋"/>
          <w:b w:val="0"/>
          <w:bCs/>
          <w:kern w:val="2"/>
          <w:sz w:val="30"/>
          <w:szCs w:val="30"/>
          <w:highlight w:val="none"/>
          <w:lang w:val="en-US" w:eastAsia="zh-CN" w:bidi="ar-SA"/>
        </w:rPr>
      </w:pPr>
      <w:r>
        <w:rPr>
          <w:rFonts w:hint="eastAsia" w:ascii="仿宋" w:hAnsi="仿宋" w:eastAsia="仿宋" w:cs="仿宋"/>
          <w:b w:val="0"/>
          <w:bCs/>
          <w:kern w:val="2"/>
          <w:sz w:val="30"/>
          <w:szCs w:val="30"/>
          <w:highlight w:val="none"/>
          <w:lang w:val="en-US" w:eastAsia="zh-CN" w:bidi="ar-SA"/>
        </w:rPr>
        <w:t>2.</w:t>
      </w:r>
      <w:r>
        <w:rPr>
          <w:rFonts w:hint="default" w:ascii="仿宋" w:hAnsi="仿宋" w:eastAsia="仿宋" w:cs="仿宋"/>
          <w:b w:val="0"/>
          <w:bCs/>
          <w:kern w:val="2"/>
          <w:sz w:val="30"/>
          <w:szCs w:val="30"/>
          <w:highlight w:val="none"/>
          <w:lang w:val="en-US" w:eastAsia="zh-CN" w:bidi="ar-SA"/>
        </w:rPr>
        <w:t>教学提质行动</w:t>
      </w:r>
    </w:p>
    <w:p w14:paraId="18F046DC">
      <w:pPr>
        <w:pStyle w:val="5"/>
        <w:keepNext w:val="0"/>
        <w:keepLines w:val="0"/>
        <w:widowControl/>
        <w:suppressLineNumbers w:val="0"/>
        <w:spacing w:before="0" w:beforeAutospacing="0" w:after="0" w:afterAutospacing="0" w:line="343" w:lineRule="atLeast"/>
        <w:ind w:left="0" w:right="0" w:firstLine="600" w:firstLineChars="200"/>
        <w:rPr>
          <w:rFonts w:hint="default"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常规管理：强化备课督查+课后服务落实；推门听课、公开课促进课堂优化。</w:t>
      </w:r>
    </w:p>
    <w:p w14:paraId="5D7A807B">
      <w:pPr>
        <w:pStyle w:val="5"/>
        <w:keepNext w:val="0"/>
        <w:keepLines w:val="0"/>
        <w:widowControl/>
        <w:suppressLineNumbers w:val="0"/>
        <w:spacing w:before="0" w:beforeAutospacing="0" w:after="0" w:afterAutospacing="0" w:line="343" w:lineRule="atLeast"/>
        <w:ind w:left="0" w:right="0" w:firstLine="600" w:firstLineChars="200"/>
        <w:rPr>
          <w:rFonts w:hint="default"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诚信治学：将</w:t>
      </w:r>
      <w:r>
        <w:rPr>
          <w:rFonts w:hint="eastAsia" w:ascii="仿宋" w:hAnsi="仿宋" w:eastAsia="仿宋" w:cs="仿宋"/>
          <w:b w:val="0"/>
          <w:bCs/>
          <w:kern w:val="2"/>
          <w:sz w:val="30"/>
          <w:szCs w:val="30"/>
          <w:highlight w:val="none"/>
          <w:lang w:val="en-US" w:eastAsia="zh-CN" w:bidi="ar-SA"/>
        </w:rPr>
        <w:t>“诚</w:t>
      </w:r>
      <w:r>
        <w:rPr>
          <w:rFonts w:hint="default" w:ascii="仿宋" w:hAnsi="仿宋" w:eastAsia="仿宋" w:cs="仿宋"/>
          <w:b w:val="0"/>
          <w:bCs/>
          <w:kern w:val="2"/>
          <w:sz w:val="30"/>
          <w:szCs w:val="30"/>
          <w:highlight w:val="none"/>
          <w:lang w:val="en-US" w:eastAsia="zh-CN" w:bidi="ar-SA"/>
        </w:rPr>
        <w:t>信</w:t>
      </w:r>
      <w:r>
        <w:rPr>
          <w:rFonts w:hint="eastAsia" w:ascii="仿宋" w:hAnsi="仿宋" w:eastAsia="仿宋" w:cs="仿宋"/>
          <w:b w:val="0"/>
          <w:bCs/>
          <w:kern w:val="2"/>
          <w:sz w:val="30"/>
          <w:szCs w:val="30"/>
          <w:highlight w:val="none"/>
          <w:lang w:val="en-US" w:eastAsia="zh-CN" w:bidi="ar-SA"/>
        </w:rPr>
        <w:t>”</w:t>
      </w:r>
      <w:r>
        <w:rPr>
          <w:rFonts w:hint="default" w:ascii="仿宋" w:hAnsi="仿宋" w:eastAsia="仿宋" w:cs="仿宋"/>
          <w:b w:val="0"/>
          <w:bCs/>
          <w:kern w:val="2"/>
          <w:sz w:val="30"/>
          <w:szCs w:val="30"/>
          <w:highlight w:val="none"/>
          <w:lang w:val="en-US" w:eastAsia="zh-CN" w:bidi="ar-SA"/>
        </w:rPr>
        <w:t>文化融入教学（诚信考试、诚信故事会）；打造“书香校园”，强化学科核心素养。</w:t>
      </w:r>
    </w:p>
    <w:p w14:paraId="6A620185">
      <w:pPr>
        <w:pStyle w:val="5"/>
        <w:keepNext w:val="0"/>
        <w:keepLines w:val="0"/>
        <w:widowControl/>
        <w:suppressLineNumbers w:val="0"/>
        <w:spacing w:before="0" w:beforeAutospacing="0" w:after="0"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eastAsia" w:ascii="仿宋" w:hAnsi="仿宋" w:eastAsia="仿宋" w:cs="仿宋"/>
          <w:b w:val="0"/>
          <w:bCs/>
          <w:kern w:val="2"/>
          <w:sz w:val="30"/>
          <w:szCs w:val="30"/>
          <w:highlight w:val="none"/>
          <w:lang w:val="en-US" w:eastAsia="zh-CN" w:bidi="ar-SA"/>
        </w:rPr>
        <w:t>3.</w:t>
      </w:r>
      <w:r>
        <w:rPr>
          <w:rFonts w:hint="default" w:ascii="仿宋" w:hAnsi="仿宋" w:eastAsia="仿宋" w:cs="仿宋"/>
          <w:b w:val="0"/>
          <w:bCs/>
          <w:kern w:val="2"/>
          <w:sz w:val="30"/>
          <w:szCs w:val="30"/>
          <w:highlight w:val="none"/>
          <w:lang w:val="en-US" w:eastAsia="zh-CN" w:bidi="ar-SA"/>
        </w:rPr>
        <w:t>德育特色深化</w:t>
      </w:r>
    </w:p>
    <w:p w14:paraId="4230DBA6">
      <w:pPr>
        <w:pStyle w:val="5"/>
        <w:keepNext w:val="0"/>
        <w:keepLines w:val="0"/>
        <w:widowControl/>
        <w:suppressLineNumbers w:val="0"/>
        <w:spacing w:before="0" w:beforeAutospacing="0" w:after="0"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少先队建设：规范中队管理，优化辅导员选拔机制。</w:t>
      </w:r>
    </w:p>
    <w:p w14:paraId="0572D026">
      <w:pPr>
        <w:pStyle w:val="5"/>
        <w:keepNext w:val="0"/>
        <w:keepLines w:val="0"/>
        <w:widowControl/>
        <w:suppressLineNumbers w:val="0"/>
        <w:spacing w:before="0" w:beforeAutospacing="0" w:after="48"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主题教育：以重要节日节点开展爱国教育（雷锋日、国庆等）；社区公益实践10余次（文艺汇演、老城区参观）。</w:t>
      </w:r>
    </w:p>
    <w:p w14:paraId="64FFE163">
      <w:pPr>
        <w:pStyle w:val="5"/>
        <w:keepNext w:val="0"/>
        <w:keepLines w:val="0"/>
        <w:widowControl/>
        <w:suppressLineNumbers w:val="0"/>
        <w:spacing w:before="0" w:beforeAutospacing="0" w:after="48" w:afterAutospacing="0" w:line="343" w:lineRule="atLeast"/>
        <w:ind w:left="0" w:right="0" w:firstLine="600" w:firstLineChars="200"/>
        <w:rPr>
          <w:rFonts w:hint="default"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诚信育人：开展诚信宣誓、手抄报、艺术展；评选“诚信学生/家长”，校务公开透明。</w:t>
      </w:r>
    </w:p>
    <w:p w14:paraId="403C8FA4">
      <w:pPr>
        <w:pStyle w:val="5"/>
        <w:keepNext w:val="0"/>
        <w:keepLines w:val="0"/>
        <w:widowControl/>
        <w:suppressLineNumbers w:val="0"/>
        <w:spacing w:before="0" w:beforeAutospacing="0" w:after="48"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eastAsia" w:ascii="仿宋" w:hAnsi="仿宋" w:eastAsia="仿宋" w:cs="仿宋"/>
          <w:b w:val="0"/>
          <w:bCs/>
          <w:kern w:val="2"/>
          <w:sz w:val="30"/>
          <w:szCs w:val="30"/>
          <w:highlight w:val="none"/>
          <w:lang w:val="en-US" w:eastAsia="zh-CN" w:bidi="ar-SA"/>
        </w:rPr>
        <w:t>4.</w:t>
      </w:r>
      <w:r>
        <w:rPr>
          <w:rFonts w:hint="default" w:ascii="仿宋" w:hAnsi="仿宋" w:eastAsia="仿宋" w:cs="仿宋"/>
          <w:b w:val="0"/>
          <w:bCs/>
          <w:kern w:val="2"/>
          <w:sz w:val="30"/>
          <w:szCs w:val="30"/>
          <w:highlight w:val="none"/>
          <w:lang w:val="en-US" w:eastAsia="zh-CN" w:bidi="ar-SA"/>
        </w:rPr>
        <w:t>品牌影响力提升</w:t>
      </w:r>
    </w:p>
    <w:p w14:paraId="3DBAB48E">
      <w:pPr>
        <w:pStyle w:val="5"/>
        <w:keepNext w:val="0"/>
        <w:keepLines w:val="0"/>
        <w:widowControl/>
        <w:suppressLineNumbers w:val="0"/>
        <w:spacing w:before="0" w:beforeAutospacing="0" w:after="0" w:afterAutospacing="0" w:line="343" w:lineRule="atLeast"/>
        <w:ind w:left="0" w:right="0" w:firstLine="600" w:firstLineChars="200"/>
        <w:rPr>
          <w:rFonts w:hint="default"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外宣成果：30篇报道聚焦诚信教育、民族团结。</w:t>
      </w:r>
    </w:p>
    <w:p w14:paraId="2B26D919">
      <w:pPr>
        <w:pStyle w:val="5"/>
        <w:keepNext w:val="0"/>
        <w:keepLines w:val="0"/>
        <w:widowControl/>
        <w:suppressLineNumbers w:val="0"/>
        <w:spacing w:before="0" w:beforeAutospacing="0" w:after="0" w:afterAutospacing="0" w:line="343" w:lineRule="atLeast"/>
        <w:ind w:left="0" w:right="0" w:firstLine="600" w:firstLineChars="200"/>
        <w:rPr>
          <w:rFonts w:hint="eastAsia" w:ascii="仿宋" w:hAnsi="仿宋" w:eastAsia="仿宋" w:cs="仿宋"/>
          <w:b w:val="0"/>
          <w:bCs/>
          <w:kern w:val="2"/>
          <w:sz w:val="30"/>
          <w:szCs w:val="30"/>
          <w:highlight w:val="none"/>
          <w:lang w:val="en-US" w:eastAsia="zh-CN" w:bidi="ar-SA"/>
        </w:rPr>
      </w:pPr>
      <w:r>
        <w:rPr>
          <w:rFonts w:hint="default" w:ascii="仿宋" w:hAnsi="仿宋" w:eastAsia="仿宋" w:cs="仿宋"/>
          <w:b w:val="0"/>
          <w:bCs/>
          <w:kern w:val="2"/>
          <w:sz w:val="30"/>
          <w:szCs w:val="30"/>
          <w:highlight w:val="none"/>
          <w:lang w:val="en-US" w:eastAsia="zh-CN" w:bidi="ar-SA"/>
        </w:rPr>
        <w:t>资源联动：联合楼区志联开展劳动实践与文化传承活动；家校社共育诚信理念（诚信家访、家长沙龙）。</w:t>
      </w:r>
    </w:p>
    <w:p w14:paraId="464090B5">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二、</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一般公共预算支出情况</w:t>
      </w:r>
    </w:p>
    <w:p w14:paraId="613B8B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900" w:firstLineChars="3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(一)基本支出情况</w:t>
      </w:r>
    </w:p>
    <w:p w14:paraId="2F7900A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一般公共预算基本支出2024年度总支出528.29万元，其中：</w:t>
      </w:r>
    </w:p>
    <w:p w14:paraId="123ECE7F">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rPr>
        <w:t>人员经费481.07万元：包括基本工资94.64万元；津贴补贴5.42万元；奖金60.44万元；伙食补助费8</w:t>
      </w:r>
      <w:r>
        <w:rPr>
          <w:rFonts w:hint="eastAsia" w:ascii="仿宋" w:hAnsi="仿宋" w:eastAsia="仿宋" w:cs="仿宋"/>
          <w:bCs/>
          <w:sz w:val="30"/>
          <w:szCs w:val="30"/>
          <w:lang w:val="en-US" w:eastAsia="zh-CN"/>
        </w:rPr>
        <w:t>.00</w:t>
      </w:r>
      <w:r>
        <w:rPr>
          <w:rFonts w:hint="eastAsia" w:ascii="仿宋" w:hAnsi="仿宋" w:eastAsia="仿宋" w:cs="仿宋"/>
          <w:bCs/>
          <w:sz w:val="30"/>
          <w:szCs w:val="30"/>
        </w:rPr>
        <w:t>万元；绩效工资39.31万元；机关事业单位基本养老保险缴费30.45万元；职工基本医疗保险缴费12.27万元；其他社会保障缴费2.65万元；住房公积金22.82万元；其他工资福利支出0.05万元；退休费205.02万元</w:t>
      </w:r>
      <w:r>
        <w:rPr>
          <w:rFonts w:hint="eastAsia" w:ascii="仿宋" w:hAnsi="仿宋" w:eastAsia="仿宋" w:cs="仿宋"/>
          <w:bCs/>
          <w:sz w:val="30"/>
          <w:szCs w:val="30"/>
          <w:lang w:val="en-US" w:eastAsia="zh-CN"/>
        </w:rPr>
        <w:t xml:space="preserve">。 </w:t>
      </w:r>
    </w:p>
    <w:p w14:paraId="27A6CBB8">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楷体_GB2312" w:hAnsi="楷体_GB2312" w:eastAsia="楷体_GB2312" w:cs="楷体_GB2312"/>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Cs/>
          <w:sz w:val="30"/>
          <w:szCs w:val="30"/>
          <w:highlight w:val="none"/>
          <w:lang w:val="en-US" w:eastAsia="zh-CN"/>
        </w:rPr>
        <w:t>公用经费47.22万元：包括办公费3.40万元；印刷费0.99万元；水费0.57万元；电费2.43万元；邮电费0.04万元；维修（护）费3.07万元；培训费0.20万元；专用材料费33.62万元；劳务费0.19万元；工会经费1.28万元；其他商品和服务支出0.43万元；办公设备购置1.00万元</w:t>
      </w:r>
      <w:r>
        <w:rPr>
          <w:rFonts w:hint="eastAsia" w:ascii="仿宋" w:hAnsi="仿宋" w:eastAsia="仿宋" w:cs="仿宋"/>
          <w:bCs/>
          <w:sz w:val="30"/>
          <w:szCs w:val="30"/>
          <w:lang w:val="en-US" w:eastAsia="zh-CN"/>
        </w:rPr>
        <w:t>。</w:t>
      </w:r>
    </w:p>
    <w:p w14:paraId="3B20EF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00" w:firstLineChars="200"/>
        <w:jc w:val="both"/>
        <w:textAlignment w:val="auto"/>
        <w:rPr>
          <w:rFonts w:hint="eastAsia" w:ascii="仿宋" w:hAnsi="仿宋" w:eastAsia="仿宋" w:cs="仿宋"/>
          <w:color w:val="333333"/>
          <w:kern w:val="2"/>
          <w:sz w:val="30"/>
          <w:szCs w:val="30"/>
          <w:lang w:val="en-US" w:eastAsia="zh-CN" w:bidi="ar-SA"/>
        </w:rPr>
      </w:pPr>
      <w:r>
        <w:rPr>
          <w:rFonts w:hint="eastAsia" w:ascii="仿宋" w:hAnsi="仿宋" w:eastAsia="仿宋" w:cs="仿宋"/>
          <w:color w:val="333333"/>
          <w:kern w:val="2"/>
          <w:sz w:val="30"/>
          <w:szCs w:val="30"/>
          <w:lang w:val="en-US" w:eastAsia="zh-CN" w:bidi="ar-SA"/>
        </w:rPr>
        <w:t>（二）项目支出情况</w:t>
      </w:r>
    </w:p>
    <w:p w14:paraId="21AF61BA">
      <w:pPr>
        <w:pStyle w:val="9"/>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Cs/>
          <w:sz w:val="30"/>
          <w:szCs w:val="30"/>
        </w:rPr>
      </w:pPr>
      <w:r>
        <w:rPr>
          <w:rFonts w:hint="eastAsia" w:ascii="仿宋" w:hAnsi="仿宋" w:eastAsia="仿宋" w:cs="仿宋"/>
          <w:bCs/>
          <w:sz w:val="30"/>
          <w:szCs w:val="30"/>
        </w:rPr>
        <w:t>一般公共预算项目支出2024年度总支出144.99万元，其中：</w:t>
      </w:r>
    </w:p>
    <w:p w14:paraId="4C19802B">
      <w:pPr>
        <w:pStyle w:val="9"/>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
          <w:bCs/>
          <w:sz w:val="30"/>
          <w:szCs w:val="30"/>
          <w:lang w:val="en-US" w:eastAsia="zh-CN"/>
        </w:rPr>
      </w:pPr>
      <w:r>
        <w:rPr>
          <w:rFonts w:hint="eastAsia" w:ascii="仿宋" w:hAnsi="仿宋" w:eastAsia="仿宋" w:cs="仿宋"/>
          <w:bCs/>
          <w:sz w:val="30"/>
          <w:szCs w:val="30"/>
        </w:rPr>
        <w:t>基本工资17.16万元；津贴补贴0.44万元；奖金3.23万元；绩效工资16.72万元；机关事业单位基本养老保险缴费1.82万元；职工基本医疗保险缴费1.04万元；其他社会保障缴费0.27万元；住房公积金1.52万元；其他工资福利支出7.01万元；办公费1.57万元；印刷费1.56万元；水费0.33万元；电费0.42万元；维修（护）费5.35万元；会议费5.04万元；专用材料费3.69万元；工会经费2.85万元；其他商品和服务支出0.62万元；退休费30.14万元；抚恤金36.59万元；生活补助3.75万元；奖励金3.79万元；其他对个人和家庭的补助0.05</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办公设备购置0.03万元</w:t>
      </w:r>
      <w:r>
        <w:rPr>
          <w:rFonts w:hint="eastAsia" w:ascii="仿宋" w:hAnsi="仿宋" w:eastAsia="仿宋" w:cs="仿宋"/>
          <w:bCs/>
          <w:sz w:val="30"/>
          <w:szCs w:val="30"/>
          <w:lang w:val="en-US" w:eastAsia="zh-CN"/>
        </w:rPr>
        <w:t>。</w:t>
      </w:r>
    </w:p>
    <w:p w14:paraId="31CF34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573218BD">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本单位2024年度政府性</w:t>
      </w:r>
      <w:r>
        <w:rPr>
          <w:rFonts w:hint="eastAsia" w:ascii="仿宋" w:hAnsi="仿宋" w:eastAsia="仿宋" w:cs="仿宋"/>
          <w:bCs/>
          <w:sz w:val="30"/>
          <w:szCs w:val="30"/>
          <w:highlight w:val="none"/>
          <w:lang w:val="en-US" w:eastAsia="zh-CN"/>
        </w:rPr>
        <w:t>基金预算支出0</w:t>
      </w:r>
      <w:r>
        <w:rPr>
          <w:rFonts w:hint="eastAsia" w:ascii="仿宋" w:hAnsi="仿宋" w:eastAsia="仿宋" w:cs="仿宋"/>
          <w:bCs/>
          <w:sz w:val="30"/>
          <w:szCs w:val="30"/>
          <w:lang w:val="en-US" w:eastAsia="zh-CN"/>
        </w:rPr>
        <w:t>万元。</w:t>
      </w:r>
    </w:p>
    <w:p w14:paraId="03985A9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1BD261B3">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本单位2024年度国有资本经营预算支出0万元。</w:t>
      </w:r>
    </w:p>
    <w:p w14:paraId="04DA8EF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2C863F34">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本单位2024年度社会保险基金预算支出0万元。</w:t>
      </w:r>
    </w:p>
    <w:p w14:paraId="0F99522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14:paraId="73455AA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2024年，我校在楼区教育局党委的坚强领导下，不忘初心，砥砺前行，学校各项工作平稳有序，取得高质量的发展和进步。下面，结合我校2024年学校自主发展目标向各位领导汇报如下：</w:t>
      </w:r>
    </w:p>
    <w:p w14:paraId="12BC0C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rPr>
        <w:t>产出指标完成情况分析</w:t>
      </w:r>
    </w:p>
    <w:p w14:paraId="6C4F57C1">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1、数量指标</w:t>
      </w:r>
    </w:p>
    <w:p w14:paraId="06D460B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_GB2312" w:cs="仿宋"/>
          <w:bCs/>
          <w:sz w:val="30"/>
          <w:szCs w:val="30"/>
          <w:highlight w:val="none"/>
          <w:lang w:val="en-US" w:eastAsia="zh-CN"/>
        </w:rPr>
      </w:pPr>
      <w:r>
        <w:rPr>
          <w:rFonts w:hint="eastAsia" w:ascii="仿宋" w:hAnsi="仿宋" w:eastAsia="仿宋" w:cs="仿宋"/>
          <w:bCs/>
          <w:sz w:val="30"/>
          <w:szCs w:val="30"/>
          <w:highlight w:val="none"/>
          <w:lang w:val="en-US" w:eastAsia="zh-CN"/>
        </w:rPr>
        <w:t>一年来，我校通过围绕学校制订的质量提升对策、集团化办学和教师“悦”读活动等目标，组织老师外出听课、远程培训和校本培训160余人次，努力造就一支师德高尚、业务精良的教师队伍。先后在《学习强国》、《岳阳晚报》、《今日头条》、岳阳广电和学校公众号等平台上发表了相关文章共30篇，内容涉及到教师队伍建设、丰富多彩的德育活动、先进典型推介等；</w:t>
      </w:r>
      <w:r>
        <w:rPr>
          <w:rFonts w:hint="eastAsia" w:ascii="仿宋_GB2312" w:eastAsia="仿宋_GB2312"/>
          <w:sz w:val="32"/>
          <w:szCs w:val="32"/>
        </w:rPr>
        <w:t>一年</w:t>
      </w:r>
      <w:r>
        <w:rPr>
          <w:rFonts w:ascii="仿宋_GB2312" w:eastAsia="仿宋_GB2312"/>
          <w:sz w:val="32"/>
          <w:szCs w:val="32"/>
        </w:rPr>
        <w:t>来，学校</w:t>
      </w:r>
      <w:r>
        <w:rPr>
          <w:rFonts w:hint="eastAsia" w:ascii="仿宋_GB2312" w:eastAsia="仿宋_GB2312"/>
          <w:sz w:val="32"/>
          <w:szCs w:val="32"/>
        </w:rPr>
        <w:t>邀请</w:t>
      </w:r>
      <w:r>
        <w:rPr>
          <w:rFonts w:ascii="仿宋_GB2312" w:eastAsia="仿宋_GB2312"/>
          <w:sz w:val="32"/>
          <w:szCs w:val="32"/>
        </w:rPr>
        <w:t>楼区志联</w:t>
      </w:r>
      <w:r>
        <w:rPr>
          <w:rFonts w:hint="eastAsia" w:ascii="仿宋_GB2312" w:eastAsia="仿宋_GB2312"/>
          <w:sz w:val="32"/>
          <w:szCs w:val="32"/>
        </w:rPr>
        <w:t>成员来</w:t>
      </w:r>
      <w:r>
        <w:rPr>
          <w:rFonts w:ascii="仿宋_GB2312" w:eastAsia="仿宋_GB2312"/>
          <w:sz w:val="32"/>
          <w:szCs w:val="32"/>
        </w:rPr>
        <w:t>校开展劳动实践和文化传承学习</w:t>
      </w:r>
      <w:r>
        <w:rPr>
          <w:rFonts w:hint="eastAsia" w:ascii="仿宋_GB2312" w:eastAsia="仿宋_GB2312"/>
          <w:sz w:val="32"/>
          <w:szCs w:val="32"/>
        </w:rPr>
        <w:t>10余</w:t>
      </w:r>
      <w:r>
        <w:rPr>
          <w:rFonts w:ascii="仿宋_GB2312" w:eastAsia="仿宋_GB2312"/>
          <w:sz w:val="32"/>
          <w:szCs w:val="32"/>
        </w:rPr>
        <w:t>次</w:t>
      </w:r>
      <w:r>
        <w:rPr>
          <w:rFonts w:hint="eastAsia" w:ascii="仿宋_GB2312" w:eastAsia="仿宋_GB2312"/>
          <w:sz w:val="32"/>
          <w:szCs w:val="32"/>
          <w:lang w:eastAsia="zh-CN"/>
        </w:rPr>
        <w:t>。</w:t>
      </w:r>
    </w:p>
    <w:p w14:paraId="1FD00D6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2、质量指标</w:t>
      </w:r>
    </w:p>
    <w:p w14:paraId="66BDC04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邀请专家给我校学生进行消防安全、防性侵、防校园欺凌的专题讲座，收到很好的教育效果。</w:t>
      </w:r>
    </w:p>
    <w:p w14:paraId="6893FE9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通过围绕学校制订的质量提升对策、集团化办学和教师“悦”读活动等目标，组织老师外出听课、远程培训和校本培训，努力造就一支师德高尚、业务精良的教师队伍。</w:t>
      </w:r>
    </w:p>
    <w:p w14:paraId="2FFC1134">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通过推门听课、随堂课、研讨课和公开课等方式，促进教师的交流和学习，提高课堂教学水平。</w:t>
      </w:r>
    </w:p>
    <w:p w14:paraId="1183B91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3、时效指标</w:t>
      </w:r>
    </w:p>
    <w:p w14:paraId="555F2DE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及时完成在校学生的春、秋两季教学计划，及时发放教职工的工资及福利待遇，一年内圆满完成了各项工作。</w:t>
      </w:r>
    </w:p>
    <w:p w14:paraId="748CFCC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4、成本指标</w:t>
      </w:r>
    </w:p>
    <w:p w14:paraId="231FC26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全年运行经费控制在673.28万元。</w:t>
      </w:r>
    </w:p>
    <w:p w14:paraId="5120D232">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A0E97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1、经济效益</w:t>
      </w:r>
    </w:p>
    <w:p w14:paraId="2B71D43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不适用。 </w:t>
      </w:r>
    </w:p>
    <w:p w14:paraId="0B53C355">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2、社会效益</w:t>
      </w:r>
    </w:p>
    <w:p w14:paraId="00956C2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_GB2312" w:cs="仿宋"/>
          <w:bCs/>
          <w:sz w:val="30"/>
          <w:szCs w:val="30"/>
          <w:highlight w:val="none"/>
          <w:lang w:val="en-US" w:eastAsia="zh-CN"/>
        </w:rPr>
      </w:pPr>
      <w:r>
        <w:rPr>
          <w:rFonts w:hint="eastAsia" w:ascii="仿宋" w:hAnsi="仿宋" w:eastAsia="仿宋" w:cs="仿宋"/>
          <w:bCs/>
          <w:sz w:val="30"/>
          <w:szCs w:val="30"/>
          <w:highlight w:val="none"/>
          <w:lang w:val="en-US" w:eastAsia="zh-CN"/>
        </w:rPr>
        <w:t>一年来，学校先后有岳阳市统战部来校举行的铸牢中华民族共同体意识教育现场交流会、岳阳楼区妇联举行的爱心公益活动，岳阳市民族团结进步促进会举行的健康进校园爱心义诊活动等，学校工作得到了他们的高度认可和评价；</w:t>
      </w:r>
      <w:r>
        <w:rPr>
          <w:rFonts w:hint="eastAsia" w:ascii="仿宋_GB2312" w:eastAsia="仿宋_GB2312"/>
          <w:sz w:val="32"/>
          <w:szCs w:val="32"/>
        </w:rPr>
        <w:t>一年</w:t>
      </w:r>
      <w:r>
        <w:rPr>
          <w:rFonts w:ascii="仿宋_GB2312" w:eastAsia="仿宋_GB2312"/>
          <w:sz w:val="32"/>
          <w:szCs w:val="32"/>
        </w:rPr>
        <w:t>来，学校</w:t>
      </w:r>
      <w:r>
        <w:rPr>
          <w:rFonts w:hint="eastAsia" w:ascii="仿宋_GB2312" w:eastAsia="仿宋_GB2312"/>
          <w:sz w:val="32"/>
          <w:szCs w:val="32"/>
        </w:rPr>
        <w:t>以诚信教育的特色教育和传统节日为契机，先后在《学习强国》、《岳阳晚报》、《今日头条》、岳阳广电和学校公众号等平台上发表了相关文章共30篇，内容涉及到教师队伍建设、丰富多彩的德育活动、先进典型推介等，取得了一定的效果，提升了学校的整体形象</w:t>
      </w:r>
      <w:r>
        <w:rPr>
          <w:rFonts w:hint="eastAsia" w:ascii="仿宋_GB2312" w:eastAsia="仿宋_GB2312"/>
          <w:sz w:val="32"/>
          <w:szCs w:val="32"/>
          <w:lang w:eastAsia="zh-CN"/>
        </w:rPr>
        <w:t>。</w:t>
      </w:r>
    </w:p>
    <w:p w14:paraId="14D602B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3、生态效益</w:t>
      </w:r>
    </w:p>
    <w:p w14:paraId="343E2E7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通过学校的宣传教育，提高了全体教职人员及学生的生态保护意识。</w:t>
      </w:r>
    </w:p>
    <w:p w14:paraId="16EFC19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4、可持续影响</w:t>
      </w:r>
    </w:p>
    <w:p w14:paraId="6214231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 xml:space="preserve">我校坚持政治理论学习和业务能力培养,坚持建立正确有效的学校价值体系和文化,创建浓厚的学习氛围。    </w:t>
      </w:r>
    </w:p>
    <w:p w14:paraId="140E5634">
      <w:pPr>
        <w:keepNext w:val="0"/>
        <w:keepLines w:val="0"/>
        <w:pageBreakBefore w:val="0"/>
        <w:widowControl w:val="0"/>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b/>
          <w:color w:val="000000"/>
          <w:kern w:val="0"/>
          <w:sz w:val="30"/>
          <w:szCs w:val="30"/>
          <w:lang w:val="en-US" w:eastAsia="zh-CN"/>
        </w:rPr>
      </w:pPr>
      <w:r>
        <w:rPr>
          <w:rFonts w:hint="eastAsia" w:ascii="仿宋" w:hAnsi="仿宋" w:eastAsia="仿宋" w:cs="仿宋"/>
          <w:b/>
          <w:color w:val="000000"/>
          <w:kern w:val="0"/>
          <w:sz w:val="30"/>
          <w:szCs w:val="30"/>
          <w:lang w:val="en-US" w:eastAsia="zh-CN"/>
        </w:rPr>
        <w:t>（三）满意度指标完成情况分析</w:t>
      </w:r>
      <w:r>
        <w:rPr>
          <w:rFonts w:hint="eastAsia" w:ascii="仿宋" w:hAnsi="仿宋" w:eastAsia="仿宋" w:cs="仿宋"/>
          <w:b/>
          <w:color w:val="000000"/>
          <w:kern w:val="0"/>
          <w:sz w:val="30"/>
          <w:szCs w:val="30"/>
          <w:lang w:val="en-US" w:eastAsia="zh-CN"/>
        </w:rPr>
        <w:tab/>
      </w:r>
    </w:p>
    <w:p w14:paraId="3873BD4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社会公众满意度</w:t>
      </w:r>
    </w:p>
    <w:p w14:paraId="6AEBC09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学生满意度97%，家长满意度97%。</w:t>
      </w:r>
    </w:p>
    <w:p w14:paraId="35B3A76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七、</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14:paraId="0A9933B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1.教师队伍素质尚待进一步提高,主要原因：45岁以上教师占比较大，教学创新动力不足；</w:t>
      </w:r>
    </w:p>
    <w:p w14:paraId="59E26FB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2.设施安全隐患：校舍陈旧（百年老校），维修成本高，经费有限，硬件更新滞后。</w:t>
      </w:r>
    </w:p>
    <w:p w14:paraId="0E61513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下一步改进措施、工作建议</w:t>
      </w:r>
    </w:p>
    <w:p w14:paraId="307A286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改进措施：</w:t>
      </w:r>
    </w:p>
    <w:p w14:paraId="2197306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1.继续加强领导班子建设，建设“管理型”班子队伍。</w:t>
      </w:r>
    </w:p>
    <w:p w14:paraId="3E1511C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2.建设“专家型”、“学者型”教师队伍。</w:t>
      </w:r>
    </w:p>
    <w:p w14:paraId="7D428FF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3.加强教师队伍建设，提高教师教育教学水平。</w:t>
      </w:r>
    </w:p>
    <w:p w14:paraId="1F67337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4.加强家校合作，共同促进学生的全面发展。</w:t>
      </w:r>
    </w:p>
    <w:p w14:paraId="5A85E45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5.建立健全激励机制，激发教师和学生的积极性和创造性。</w:t>
      </w:r>
    </w:p>
    <w:p w14:paraId="5E4839A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6.申请校园保护修缮专项资金，优先更新电路、消防系统，引入智能安防监控。</w:t>
      </w:r>
    </w:p>
    <w:p w14:paraId="7D45FC6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工作建议：</w:t>
      </w:r>
    </w:p>
    <w:p w14:paraId="1CA8F45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default"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加强教师培训，提升教师专业素养；完善教学质量监督与评估机制；建立科学的教师绩效考核制度，激励教师积极提升教学质量；鼓励教师开展教学研究与创新实践，营造良好的教学氛围。</w:t>
      </w:r>
    </w:p>
    <w:p w14:paraId="0DBB459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黑体" w:hAnsi="黑体" w:eastAsia="黑体" w:cs="黑体"/>
          <w:color w:val="000000" w:themeColor="text1"/>
          <w:spacing w:val="0"/>
          <w:position w:val="0"/>
          <w:sz w:val="30"/>
          <w:szCs w:val="30"/>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九、</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193BB11D">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 w:hAnsi="仿宋" w:eastAsia="仿宋" w:cs="仿宋"/>
          <w:bCs/>
          <w:sz w:val="30"/>
          <w:szCs w:val="30"/>
          <w:highlight w:val="none"/>
          <w:lang w:val="en-US" w:eastAsia="zh-CN"/>
        </w:rPr>
      </w:pPr>
      <w:r>
        <w:rPr>
          <w:rFonts w:hint="eastAsia" w:ascii="仿宋" w:hAnsi="仿宋" w:eastAsia="仿宋" w:cs="仿宋"/>
          <w:bCs/>
          <w:sz w:val="30"/>
          <w:szCs w:val="30"/>
          <w:highlight w:val="none"/>
          <w:lang w:val="en-US" w:eastAsia="zh-CN"/>
        </w:rPr>
        <w:t>根据自评结果，对资金使用效率较低的项目进行深入分析，调整预算分配;加强对教学资源的整合，将部分闲置或低效使用的设备进行调配，优先保障重点专业和课程建设，提高资源的利用效率。最后，将评价结果按照政府信息公开的方式进行公开，加强社会公众对财政资金使用效益的监督。</w:t>
      </w:r>
    </w:p>
    <w:p w14:paraId="2912B1F8">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0"/>
          <w:szCs w:val="30"/>
          <w:lang w:val="en-US" w:eastAsia="zh-CN"/>
          <w14:textFill>
            <w14:solidFill>
              <w14:schemeClr w14:val="tx1"/>
            </w14:solidFill>
          </w14:textFill>
        </w:rPr>
        <w:t>十、</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其他需要说明的情况</w:t>
      </w:r>
    </w:p>
    <w:p w14:paraId="6984C0A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t>无</w:t>
      </w:r>
    </w:p>
    <w:p w14:paraId="7816364B">
      <w:pPr>
        <w:pStyle w:val="9"/>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p>
    <w:p w14:paraId="0B689262">
      <w:pPr>
        <w:keepNext w:val="0"/>
        <w:keepLines w:val="0"/>
        <w:pageBreakBefore w:val="0"/>
        <w:widowControl w:val="0"/>
        <w:kinsoku/>
        <w:wordWrap/>
        <w:overflowPunct/>
        <w:topLinePunct w:val="0"/>
        <w:autoSpaceDE/>
        <w:autoSpaceDN/>
        <w:bidi w:val="0"/>
        <w:adjustRightInd/>
        <w:snapToGrid/>
        <w:ind w:firstLine="700" w:firstLineChars="2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附件：1、单位整体支出绩效评价基础数据表</w:t>
      </w:r>
    </w:p>
    <w:p w14:paraId="1DF5BA32">
      <w:pPr>
        <w:keepNext w:val="0"/>
        <w:keepLines w:val="0"/>
        <w:pageBreakBefore w:val="0"/>
        <w:widowControl w:val="0"/>
        <w:kinsoku/>
        <w:wordWrap/>
        <w:overflowPunct/>
        <w:topLinePunct w:val="0"/>
        <w:autoSpaceDE/>
        <w:autoSpaceDN/>
        <w:bidi w:val="0"/>
        <w:adjustRightInd/>
        <w:snapToGrid/>
        <w:ind w:firstLine="1750" w:firstLineChars="500"/>
        <w:jc w:val="left"/>
        <w:textAlignment w:val="auto"/>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5"/>
          <w:szCs w:val="35"/>
          <w:lang w:val="en-US" w:eastAsia="zh-CN"/>
          <w14:textFill>
            <w14:solidFill>
              <w14:schemeClr w14:val="tx1"/>
            </w14:solidFill>
          </w14:textFill>
        </w:rPr>
        <w:t>2、单位整体支出绩效自评表</w:t>
      </w:r>
    </w:p>
    <w:p w14:paraId="3AA685F5">
      <w:pPr>
        <w:pStyle w:val="9"/>
        <w:widowControl w:val="0"/>
        <w:numPr>
          <w:ilvl w:val="0"/>
          <w:numId w:val="0"/>
        </w:numPr>
        <w:jc w:val="both"/>
        <w:rPr>
          <w:rFonts w:hint="default"/>
          <w:lang w:val="en-US" w:eastAsia="zh-CN"/>
        </w:rPr>
      </w:pPr>
    </w:p>
    <w:p w14:paraId="37CF3E0A">
      <w:pPr>
        <w:pStyle w:val="9"/>
        <w:widowControl w:val="0"/>
        <w:numPr>
          <w:ilvl w:val="0"/>
          <w:numId w:val="0"/>
        </w:numPr>
        <w:jc w:val="both"/>
        <w:rPr>
          <w:rFonts w:hint="default"/>
          <w:lang w:val="en-US" w:eastAsia="zh-CN"/>
        </w:rPr>
      </w:pPr>
    </w:p>
    <w:p w14:paraId="4E772A2A">
      <w:pPr>
        <w:pStyle w:val="9"/>
        <w:widowControl w:val="0"/>
        <w:numPr>
          <w:ilvl w:val="0"/>
          <w:numId w:val="0"/>
        </w:numPr>
        <w:jc w:val="both"/>
        <w:rPr>
          <w:rFonts w:hint="default"/>
          <w:lang w:val="en-US" w:eastAsia="zh-CN"/>
        </w:rPr>
      </w:pPr>
    </w:p>
    <w:p w14:paraId="22D662B4">
      <w:pPr>
        <w:pStyle w:val="9"/>
        <w:widowControl w:val="0"/>
        <w:numPr>
          <w:ilvl w:val="0"/>
          <w:numId w:val="0"/>
        </w:numPr>
        <w:jc w:val="both"/>
        <w:rPr>
          <w:rFonts w:hint="default"/>
          <w:lang w:val="en-US" w:eastAsia="zh-CN"/>
        </w:rPr>
      </w:pPr>
    </w:p>
    <w:p w14:paraId="6A40EC99">
      <w:pPr>
        <w:pStyle w:val="9"/>
        <w:widowControl w:val="0"/>
        <w:numPr>
          <w:ilvl w:val="0"/>
          <w:numId w:val="0"/>
        </w:numPr>
        <w:jc w:val="both"/>
        <w:rPr>
          <w:rFonts w:hint="default"/>
          <w:lang w:val="en-US" w:eastAsia="zh-CN"/>
        </w:rPr>
      </w:pPr>
    </w:p>
    <w:p w14:paraId="50A101F0">
      <w:pPr>
        <w:pStyle w:val="9"/>
        <w:widowControl w:val="0"/>
        <w:numPr>
          <w:ilvl w:val="0"/>
          <w:numId w:val="0"/>
        </w:numPr>
        <w:jc w:val="both"/>
        <w:rPr>
          <w:rFonts w:hint="default"/>
          <w:lang w:val="en-US" w:eastAsia="zh-CN"/>
        </w:rPr>
      </w:pPr>
    </w:p>
    <w:p w14:paraId="37B28E0D">
      <w:pPr>
        <w:pStyle w:val="9"/>
        <w:widowControl w:val="0"/>
        <w:numPr>
          <w:ilvl w:val="0"/>
          <w:numId w:val="0"/>
        </w:numPr>
        <w:jc w:val="both"/>
        <w:rPr>
          <w:rFonts w:hint="default"/>
          <w:lang w:val="en-US" w:eastAsia="zh-CN"/>
        </w:rPr>
      </w:pPr>
    </w:p>
    <w:p w14:paraId="7D3BEB32">
      <w:pPr>
        <w:pStyle w:val="9"/>
        <w:widowControl w:val="0"/>
        <w:numPr>
          <w:ilvl w:val="0"/>
          <w:numId w:val="0"/>
        </w:numPr>
        <w:jc w:val="both"/>
        <w:rPr>
          <w:rFonts w:hint="default"/>
          <w:lang w:val="en-US" w:eastAsia="zh-CN"/>
        </w:rPr>
      </w:pPr>
    </w:p>
    <w:p w14:paraId="09D2D9B5">
      <w:pPr>
        <w:pStyle w:val="9"/>
        <w:widowControl w:val="0"/>
        <w:numPr>
          <w:ilvl w:val="0"/>
          <w:numId w:val="0"/>
        </w:numPr>
        <w:jc w:val="both"/>
        <w:rPr>
          <w:rFonts w:hint="default"/>
          <w:lang w:val="en-US" w:eastAsia="zh-CN"/>
        </w:rPr>
      </w:pPr>
    </w:p>
    <w:p w14:paraId="10BD8235">
      <w:pPr>
        <w:pStyle w:val="9"/>
        <w:widowControl w:val="0"/>
        <w:numPr>
          <w:ilvl w:val="0"/>
          <w:numId w:val="0"/>
        </w:numPr>
        <w:jc w:val="both"/>
        <w:rPr>
          <w:rFonts w:hint="default"/>
          <w:lang w:val="en-US" w:eastAsia="zh-CN"/>
        </w:rPr>
      </w:pPr>
    </w:p>
    <w:p w14:paraId="55889BFD">
      <w:pPr>
        <w:pStyle w:val="9"/>
        <w:widowControl w:val="0"/>
        <w:numPr>
          <w:ilvl w:val="0"/>
          <w:numId w:val="0"/>
        </w:numPr>
        <w:jc w:val="both"/>
        <w:rPr>
          <w:rFonts w:hint="default"/>
          <w:lang w:val="en-US" w:eastAsia="zh-CN"/>
        </w:rPr>
      </w:pPr>
    </w:p>
    <w:p w14:paraId="45364CD6">
      <w:pPr>
        <w:pStyle w:val="9"/>
        <w:widowControl w:val="0"/>
        <w:numPr>
          <w:ilvl w:val="0"/>
          <w:numId w:val="0"/>
        </w:numPr>
        <w:jc w:val="both"/>
        <w:rPr>
          <w:rFonts w:hint="default"/>
          <w:lang w:val="en-US" w:eastAsia="zh-CN"/>
        </w:rPr>
      </w:pPr>
    </w:p>
    <w:p w14:paraId="6538E7D2">
      <w:pPr>
        <w:pStyle w:val="9"/>
        <w:widowControl w:val="0"/>
        <w:numPr>
          <w:ilvl w:val="0"/>
          <w:numId w:val="0"/>
        </w:numPr>
        <w:jc w:val="both"/>
        <w:rPr>
          <w:rFonts w:hint="default"/>
          <w:lang w:val="en-US" w:eastAsia="zh-CN"/>
        </w:rPr>
      </w:pPr>
    </w:p>
    <w:p w14:paraId="46B0F1A7">
      <w:pPr>
        <w:pStyle w:val="9"/>
        <w:widowControl w:val="0"/>
        <w:numPr>
          <w:ilvl w:val="0"/>
          <w:numId w:val="0"/>
        </w:numPr>
        <w:jc w:val="both"/>
        <w:rPr>
          <w:rFonts w:hint="default"/>
          <w:lang w:val="en-US" w:eastAsia="zh-CN"/>
        </w:rPr>
      </w:pPr>
    </w:p>
    <w:p w14:paraId="182142B7">
      <w:pPr>
        <w:pStyle w:val="9"/>
        <w:widowControl w:val="0"/>
        <w:numPr>
          <w:ilvl w:val="0"/>
          <w:numId w:val="0"/>
        </w:numPr>
        <w:jc w:val="both"/>
        <w:rPr>
          <w:rFonts w:hint="default"/>
          <w:lang w:val="en-US" w:eastAsia="zh-CN"/>
        </w:rPr>
      </w:pPr>
    </w:p>
    <w:p w14:paraId="38BD3174">
      <w:pPr>
        <w:pStyle w:val="9"/>
        <w:widowControl w:val="0"/>
        <w:numPr>
          <w:ilvl w:val="0"/>
          <w:numId w:val="0"/>
        </w:numPr>
        <w:jc w:val="both"/>
        <w:rPr>
          <w:rFonts w:hint="default"/>
          <w:lang w:val="en-US" w:eastAsia="zh-CN"/>
        </w:rPr>
      </w:pPr>
    </w:p>
    <w:p w14:paraId="4D2CD963">
      <w:pPr>
        <w:pStyle w:val="9"/>
        <w:widowControl w:val="0"/>
        <w:numPr>
          <w:ilvl w:val="0"/>
          <w:numId w:val="0"/>
        </w:numPr>
        <w:jc w:val="both"/>
        <w:rPr>
          <w:rFonts w:hint="default"/>
          <w:lang w:val="en-US" w:eastAsia="zh-CN"/>
        </w:rPr>
      </w:pPr>
    </w:p>
    <w:p w14:paraId="74C35E0F">
      <w:pPr>
        <w:pStyle w:val="9"/>
        <w:widowControl w:val="0"/>
        <w:numPr>
          <w:ilvl w:val="0"/>
          <w:numId w:val="0"/>
        </w:numPr>
        <w:jc w:val="both"/>
        <w:rPr>
          <w:rFonts w:hint="default"/>
          <w:lang w:val="en-US" w:eastAsia="zh-CN"/>
        </w:rPr>
      </w:pPr>
    </w:p>
    <w:p w14:paraId="1700803A">
      <w:pPr>
        <w:pStyle w:val="9"/>
        <w:widowControl w:val="0"/>
        <w:numPr>
          <w:ilvl w:val="0"/>
          <w:numId w:val="0"/>
        </w:numPr>
        <w:jc w:val="both"/>
        <w:rPr>
          <w:rFonts w:hint="default"/>
          <w:lang w:val="en-US" w:eastAsia="zh-CN"/>
        </w:rPr>
      </w:pPr>
    </w:p>
    <w:p w14:paraId="4709A9B1">
      <w:pPr>
        <w:pStyle w:val="9"/>
        <w:widowControl w:val="0"/>
        <w:numPr>
          <w:ilvl w:val="0"/>
          <w:numId w:val="0"/>
        </w:numPr>
        <w:jc w:val="both"/>
        <w:rPr>
          <w:rFonts w:hint="default"/>
          <w:lang w:val="en-US" w:eastAsia="zh-CN"/>
        </w:rPr>
      </w:pPr>
    </w:p>
    <w:p w14:paraId="3BCD1316">
      <w:pPr>
        <w:pStyle w:val="9"/>
        <w:widowControl w:val="0"/>
        <w:numPr>
          <w:ilvl w:val="0"/>
          <w:numId w:val="0"/>
        </w:numPr>
        <w:jc w:val="both"/>
        <w:rPr>
          <w:rFonts w:hint="default"/>
          <w:lang w:val="en-US" w:eastAsia="zh-CN"/>
        </w:rPr>
      </w:pPr>
    </w:p>
    <w:p w14:paraId="2C26C02D">
      <w:pPr>
        <w:pStyle w:val="9"/>
        <w:widowControl w:val="0"/>
        <w:numPr>
          <w:ilvl w:val="0"/>
          <w:numId w:val="0"/>
        </w:numPr>
        <w:jc w:val="both"/>
        <w:rPr>
          <w:rFonts w:hint="default"/>
          <w:lang w:val="en-US" w:eastAsia="zh-CN"/>
        </w:rPr>
      </w:pPr>
    </w:p>
    <w:p w14:paraId="481DB497">
      <w:pPr>
        <w:pStyle w:val="9"/>
        <w:widowControl w:val="0"/>
        <w:numPr>
          <w:ilvl w:val="0"/>
          <w:numId w:val="0"/>
        </w:numPr>
        <w:jc w:val="both"/>
        <w:rPr>
          <w:rFonts w:hint="default"/>
          <w:lang w:val="en-US" w:eastAsia="zh-CN"/>
        </w:rPr>
      </w:pPr>
    </w:p>
    <w:p w14:paraId="34C1762A">
      <w:pPr>
        <w:pStyle w:val="9"/>
        <w:widowControl w:val="0"/>
        <w:numPr>
          <w:ilvl w:val="0"/>
          <w:numId w:val="0"/>
        </w:numPr>
        <w:jc w:val="both"/>
        <w:rPr>
          <w:rFonts w:hint="default"/>
          <w:lang w:val="en-US" w:eastAsia="zh-CN"/>
        </w:rPr>
      </w:pPr>
    </w:p>
    <w:p w14:paraId="53CFD19A">
      <w:pPr>
        <w:pStyle w:val="9"/>
        <w:widowControl w:val="0"/>
        <w:numPr>
          <w:ilvl w:val="0"/>
          <w:numId w:val="0"/>
        </w:numPr>
        <w:jc w:val="both"/>
        <w:rPr>
          <w:rFonts w:hint="default"/>
          <w:lang w:val="en-US" w:eastAsia="zh-CN"/>
        </w:rPr>
      </w:pPr>
    </w:p>
    <w:p w14:paraId="2D55A4DC">
      <w:pPr>
        <w:pStyle w:val="9"/>
        <w:widowControl w:val="0"/>
        <w:numPr>
          <w:ilvl w:val="0"/>
          <w:numId w:val="0"/>
        </w:numPr>
        <w:jc w:val="both"/>
        <w:rPr>
          <w:rFonts w:hint="default"/>
          <w:lang w:val="en-US" w:eastAsia="zh-CN"/>
        </w:rPr>
      </w:pPr>
    </w:p>
    <w:p w14:paraId="49A0CDBA">
      <w:pPr>
        <w:pStyle w:val="9"/>
        <w:widowControl w:val="0"/>
        <w:numPr>
          <w:ilvl w:val="0"/>
          <w:numId w:val="0"/>
        </w:numPr>
        <w:jc w:val="both"/>
        <w:rPr>
          <w:rFonts w:hint="default"/>
          <w:lang w:val="en-US" w:eastAsia="zh-CN"/>
        </w:rPr>
      </w:pPr>
    </w:p>
    <w:p w14:paraId="7651A1E2">
      <w:pPr>
        <w:pStyle w:val="9"/>
        <w:widowControl w:val="0"/>
        <w:numPr>
          <w:ilvl w:val="0"/>
          <w:numId w:val="0"/>
        </w:numPr>
        <w:jc w:val="both"/>
        <w:rPr>
          <w:rFonts w:hint="default"/>
          <w:lang w:val="en-US" w:eastAsia="zh-CN"/>
        </w:rPr>
      </w:pPr>
    </w:p>
    <w:p w14:paraId="4985B680">
      <w:pPr>
        <w:pStyle w:val="9"/>
        <w:widowControl w:val="0"/>
        <w:numPr>
          <w:ilvl w:val="0"/>
          <w:numId w:val="0"/>
        </w:numPr>
        <w:jc w:val="both"/>
        <w:rPr>
          <w:rFonts w:hint="default"/>
          <w:lang w:val="en-US" w:eastAsia="zh-CN"/>
        </w:rPr>
      </w:pPr>
    </w:p>
    <w:p w14:paraId="3B2CDC42">
      <w:pPr>
        <w:pStyle w:val="9"/>
        <w:widowControl w:val="0"/>
        <w:numPr>
          <w:ilvl w:val="0"/>
          <w:numId w:val="0"/>
        </w:numPr>
        <w:jc w:val="both"/>
        <w:rPr>
          <w:rFonts w:hint="default"/>
          <w:lang w:val="en-US" w:eastAsia="zh-CN"/>
        </w:rPr>
      </w:pPr>
    </w:p>
    <w:p w14:paraId="626FB35C">
      <w:pPr>
        <w:pStyle w:val="9"/>
        <w:widowControl w:val="0"/>
        <w:numPr>
          <w:ilvl w:val="0"/>
          <w:numId w:val="0"/>
        </w:numPr>
        <w:jc w:val="both"/>
        <w:rPr>
          <w:rFonts w:hint="default"/>
          <w:lang w:val="en-US" w:eastAsia="zh-CN"/>
        </w:rPr>
      </w:pPr>
    </w:p>
    <w:p w14:paraId="38425FFD">
      <w:pPr>
        <w:pStyle w:val="9"/>
        <w:widowControl w:val="0"/>
        <w:numPr>
          <w:ilvl w:val="0"/>
          <w:numId w:val="0"/>
        </w:numPr>
        <w:jc w:val="both"/>
        <w:rPr>
          <w:rFonts w:hint="default"/>
          <w:lang w:val="en-US" w:eastAsia="zh-CN"/>
        </w:rPr>
      </w:pPr>
    </w:p>
    <w:p w14:paraId="7E4567E4">
      <w:pPr>
        <w:pStyle w:val="9"/>
        <w:widowControl w:val="0"/>
        <w:numPr>
          <w:ilvl w:val="0"/>
          <w:numId w:val="0"/>
        </w:numPr>
        <w:jc w:val="both"/>
        <w:rPr>
          <w:rFonts w:hint="default"/>
          <w:lang w:val="en-US" w:eastAsia="zh-CN"/>
        </w:rPr>
      </w:pPr>
    </w:p>
    <w:p w14:paraId="43CC4CFD">
      <w:pPr>
        <w:pStyle w:val="9"/>
        <w:widowControl w:val="0"/>
        <w:numPr>
          <w:ilvl w:val="0"/>
          <w:numId w:val="0"/>
        </w:numPr>
        <w:jc w:val="both"/>
        <w:rPr>
          <w:rFonts w:hint="default"/>
          <w:lang w:val="en-US" w:eastAsia="zh-CN"/>
        </w:rPr>
      </w:pPr>
    </w:p>
    <w:p w14:paraId="558CF055">
      <w:pPr>
        <w:pStyle w:val="9"/>
        <w:widowControl w:val="0"/>
        <w:numPr>
          <w:ilvl w:val="0"/>
          <w:numId w:val="0"/>
        </w:numPr>
        <w:jc w:val="both"/>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ab/>
      </w:r>
    </w:p>
    <w:p w14:paraId="3A65BF06">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268A8EE9">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59B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B45FE1A">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0540D956">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岳阳市岳阳楼区旭日小学</w:t>
            </w:r>
          </w:p>
        </w:tc>
      </w:tr>
      <w:tr w14:paraId="44DEB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10F2F43">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2D2BA0CB">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61C6C620">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36786DD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0A1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804D3D5">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560DCF4F">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19</w:t>
            </w:r>
          </w:p>
        </w:tc>
        <w:tc>
          <w:tcPr>
            <w:tcW w:w="2325" w:type="dxa"/>
            <w:gridSpan w:val="2"/>
            <w:noWrap w:val="0"/>
            <w:vAlign w:val="top"/>
          </w:tcPr>
          <w:p w14:paraId="20A1ACA4">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19</w:t>
            </w:r>
          </w:p>
        </w:tc>
        <w:tc>
          <w:tcPr>
            <w:tcW w:w="1679" w:type="dxa"/>
            <w:gridSpan w:val="2"/>
            <w:noWrap w:val="0"/>
            <w:vAlign w:val="top"/>
          </w:tcPr>
          <w:p w14:paraId="4B61FE4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38144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8651FC5">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1EBD1A0F">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66774748">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3B4FF46A">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4</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3D048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38FF98">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42CD57E3">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0F98E022">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0B53DAC1">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11255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2BD5396">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0364F04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52828996">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30841C48">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4FF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1D73B5A">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0EA34B4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2B7714C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3E8C0AA">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5563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E0B8655">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20BD5E0E">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09E9220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08A1004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12228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4A075AC">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013BD39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328884DA">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51026B9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7D0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14:paraId="5EBA2058">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0587673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314F972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14368CB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43EE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5B278F0">
            <w:pPr>
              <w:spacing w:before="143" w:line="200" w:lineRule="auto"/>
              <w:ind w:left="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highlight w:val="none"/>
                <w14:textFill>
                  <w14:solidFill>
                    <w14:schemeClr w14:val="tx1"/>
                  </w14:solidFill>
                </w14:textFill>
              </w:rPr>
              <w:t>项目支出：</w:t>
            </w:r>
          </w:p>
        </w:tc>
        <w:tc>
          <w:tcPr>
            <w:tcW w:w="1815" w:type="dxa"/>
            <w:gridSpan w:val="2"/>
            <w:noWrap w:val="0"/>
            <w:vAlign w:val="top"/>
          </w:tcPr>
          <w:p w14:paraId="0DE52406">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386DE13C">
            <w:pPr>
              <w:jc w:val="center"/>
              <w:rPr>
                <w:rFonts w:hint="default"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1679" w:type="dxa"/>
            <w:gridSpan w:val="2"/>
            <w:noWrap w:val="0"/>
            <w:vAlign w:val="top"/>
          </w:tcPr>
          <w:p w14:paraId="2E7A6FDD">
            <w:pPr>
              <w:jc w:val="center"/>
              <w:rPr>
                <w:rFonts w:hint="default" w:asciiTheme="majorEastAsia" w:hAnsiTheme="majorEastAsia" w:eastAsiaTheme="majorEastAsia" w:cstheme="majorEastAsia"/>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144.99 </w:t>
            </w:r>
          </w:p>
        </w:tc>
      </w:tr>
      <w:tr w14:paraId="0FA89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850" w:type="dxa"/>
            <w:noWrap w:val="0"/>
            <w:vAlign w:val="top"/>
          </w:tcPr>
          <w:p w14:paraId="709890F7">
            <w:pPr>
              <w:spacing w:before="133" w:line="200"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1、业务工作经费</w:t>
            </w:r>
          </w:p>
        </w:tc>
        <w:tc>
          <w:tcPr>
            <w:tcW w:w="1815" w:type="dxa"/>
            <w:gridSpan w:val="2"/>
            <w:noWrap w:val="0"/>
            <w:vAlign w:val="top"/>
          </w:tcPr>
          <w:p w14:paraId="0FDEE1E8">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p>
        </w:tc>
        <w:tc>
          <w:tcPr>
            <w:tcW w:w="2325" w:type="dxa"/>
            <w:gridSpan w:val="2"/>
            <w:noWrap w:val="0"/>
            <w:vAlign w:val="top"/>
          </w:tcPr>
          <w:p w14:paraId="05DBB985">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53355D15">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144.99 </w:t>
            </w:r>
          </w:p>
        </w:tc>
      </w:tr>
      <w:tr w14:paraId="0410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ED63558">
            <w:pPr>
              <w:spacing w:before="143" w:line="209" w:lineRule="auto"/>
              <w:ind w:firstLine="484"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2、运行维护经费</w:t>
            </w:r>
          </w:p>
        </w:tc>
        <w:tc>
          <w:tcPr>
            <w:tcW w:w="1815" w:type="dxa"/>
            <w:gridSpan w:val="2"/>
            <w:noWrap w:val="0"/>
            <w:vAlign w:val="top"/>
          </w:tcPr>
          <w:p w14:paraId="13B91E3D">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p>
        </w:tc>
        <w:tc>
          <w:tcPr>
            <w:tcW w:w="2325" w:type="dxa"/>
            <w:gridSpan w:val="2"/>
            <w:noWrap w:val="0"/>
            <w:vAlign w:val="top"/>
          </w:tcPr>
          <w:p w14:paraId="051C4E59">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p>
        </w:tc>
        <w:tc>
          <w:tcPr>
            <w:tcW w:w="1679" w:type="dxa"/>
            <w:gridSpan w:val="2"/>
            <w:noWrap w:val="0"/>
            <w:vAlign w:val="top"/>
          </w:tcPr>
          <w:p w14:paraId="26EAA313">
            <w:pPr>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r>
      <w:tr w14:paraId="3AE26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D43302C">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highlight w:val="none"/>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highlight w:val="none"/>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highlight w:val="none"/>
                <w14:textFill>
                  <w14:solidFill>
                    <w14:schemeClr w14:val="tx1"/>
                  </w14:solidFill>
                </w14:textFill>
              </w:rPr>
              <w:t>(一个专项一行)</w:t>
            </w:r>
          </w:p>
        </w:tc>
        <w:tc>
          <w:tcPr>
            <w:tcW w:w="1815" w:type="dxa"/>
            <w:gridSpan w:val="2"/>
            <w:noWrap w:val="0"/>
            <w:vAlign w:val="top"/>
          </w:tcPr>
          <w:p w14:paraId="21E7B600">
            <w:pPr>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p>
        </w:tc>
        <w:tc>
          <w:tcPr>
            <w:tcW w:w="2325" w:type="dxa"/>
            <w:gridSpan w:val="2"/>
            <w:noWrap w:val="0"/>
            <w:vAlign w:val="top"/>
          </w:tcPr>
          <w:p w14:paraId="3B7521AF">
            <w:pPr>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c>
          <w:tcPr>
            <w:tcW w:w="1679" w:type="dxa"/>
            <w:gridSpan w:val="2"/>
            <w:noWrap w:val="0"/>
            <w:vAlign w:val="top"/>
          </w:tcPr>
          <w:p w14:paraId="7C798C56">
            <w:pPr>
              <w:jc w:val="cente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p>
        </w:tc>
      </w:tr>
      <w:tr w14:paraId="66ED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7EF7C2C">
            <w:pPr>
              <w:spacing w:before="85" w:line="220" w:lineRule="auto"/>
              <w:ind w:left="94"/>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highlight w:val="none"/>
                <w14:textFill>
                  <w14:solidFill>
                    <w14:schemeClr w14:val="tx1"/>
                  </w14:solidFill>
                </w14:textFill>
              </w:rPr>
              <w:t>公用经费</w:t>
            </w:r>
          </w:p>
        </w:tc>
        <w:tc>
          <w:tcPr>
            <w:tcW w:w="1815" w:type="dxa"/>
            <w:gridSpan w:val="2"/>
            <w:noWrap w:val="0"/>
            <w:vAlign w:val="top"/>
          </w:tcPr>
          <w:p w14:paraId="00058BF3">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71.13</w:t>
            </w:r>
          </w:p>
        </w:tc>
        <w:tc>
          <w:tcPr>
            <w:tcW w:w="2325" w:type="dxa"/>
            <w:gridSpan w:val="2"/>
            <w:noWrap w:val="0"/>
            <w:vAlign w:val="top"/>
          </w:tcPr>
          <w:p w14:paraId="1EDCB860">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12.67</w:t>
            </w:r>
          </w:p>
        </w:tc>
        <w:tc>
          <w:tcPr>
            <w:tcW w:w="1679" w:type="dxa"/>
            <w:gridSpan w:val="2"/>
            <w:noWrap w:val="0"/>
            <w:vAlign w:val="center"/>
          </w:tcPr>
          <w:p w14:paraId="463EA6EC">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47.22</w:t>
            </w:r>
          </w:p>
        </w:tc>
      </w:tr>
      <w:tr w14:paraId="4FBB6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A7A4802">
            <w:pPr>
              <w:spacing w:before="85" w:line="219" w:lineRule="auto"/>
              <w:ind w:left="38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其中：办公经费</w:t>
            </w:r>
          </w:p>
        </w:tc>
        <w:tc>
          <w:tcPr>
            <w:tcW w:w="1815" w:type="dxa"/>
            <w:gridSpan w:val="2"/>
            <w:noWrap w:val="0"/>
            <w:vAlign w:val="top"/>
          </w:tcPr>
          <w:p w14:paraId="1A596289">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8.43</w:t>
            </w:r>
          </w:p>
        </w:tc>
        <w:tc>
          <w:tcPr>
            <w:tcW w:w="2325" w:type="dxa"/>
            <w:gridSpan w:val="2"/>
            <w:noWrap w:val="0"/>
            <w:vAlign w:val="top"/>
          </w:tcPr>
          <w:p w14:paraId="2FAB6D26">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2.63</w:t>
            </w:r>
          </w:p>
        </w:tc>
        <w:tc>
          <w:tcPr>
            <w:tcW w:w="1679" w:type="dxa"/>
            <w:gridSpan w:val="2"/>
            <w:noWrap w:val="0"/>
            <w:vAlign w:val="center"/>
          </w:tcPr>
          <w:p w14:paraId="495AF81F">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3.40</w:t>
            </w:r>
          </w:p>
        </w:tc>
      </w:tr>
      <w:tr w14:paraId="39F0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F28C09F">
            <w:pPr>
              <w:spacing w:before="135" w:line="198" w:lineRule="auto"/>
              <w:ind w:left="111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水费、电费、差旅费</w:t>
            </w:r>
          </w:p>
        </w:tc>
        <w:tc>
          <w:tcPr>
            <w:tcW w:w="1815" w:type="dxa"/>
            <w:gridSpan w:val="2"/>
            <w:noWrap w:val="0"/>
            <w:vAlign w:val="top"/>
          </w:tcPr>
          <w:p w14:paraId="7D848F57">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4.09</w:t>
            </w:r>
          </w:p>
        </w:tc>
        <w:tc>
          <w:tcPr>
            <w:tcW w:w="2325" w:type="dxa"/>
            <w:gridSpan w:val="2"/>
            <w:noWrap w:val="0"/>
            <w:vAlign w:val="top"/>
          </w:tcPr>
          <w:p w14:paraId="55CF833F">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1.95</w:t>
            </w:r>
          </w:p>
        </w:tc>
        <w:tc>
          <w:tcPr>
            <w:tcW w:w="1679" w:type="dxa"/>
            <w:gridSpan w:val="2"/>
            <w:noWrap w:val="0"/>
            <w:vAlign w:val="center"/>
          </w:tcPr>
          <w:p w14:paraId="67A5D219">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3.00</w:t>
            </w:r>
          </w:p>
        </w:tc>
      </w:tr>
      <w:tr w14:paraId="44A90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B5834E6">
            <w:pPr>
              <w:spacing w:before="144" w:line="198" w:lineRule="auto"/>
              <w:ind w:left="112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会议费、培训费</w:t>
            </w:r>
          </w:p>
        </w:tc>
        <w:tc>
          <w:tcPr>
            <w:tcW w:w="1815" w:type="dxa"/>
            <w:gridSpan w:val="2"/>
            <w:noWrap w:val="0"/>
            <w:vAlign w:val="top"/>
          </w:tcPr>
          <w:p w14:paraId="5CCE3830">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2.62</w:t>
            </w:r>
          </w:p>
        </w:tc>
        <w:tc>
          <w:tcPr>
            <w:tcW w:w="2325" w:type="dxa"/>
            <w:gridSpan w:val="2"/>
            <w:noWrap w:val="0"/>
            <w:vAlign w:val="top"/>
          </w:tcPr>
          <w:p w14:paraId="290588FF">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0.57</w:t>
            </w:r>
          </w:p>
        </w:tc>
        <w:tc>
          <w:tcPr>
            <w:tcW w:w="1679" w:type="dxa"/>
            <w:gridSpan w:val="2"/>
            <w:noWrap w:val="0"/>
            <w:vAlign w:val="center"/>
          </w:tcPr>
          <w:p w14:paraId="368B0285">
            <w:pPr>
              <w:keepNext w:val="0"/>
              <w:keepLines w:val="0"/>
              <w:widowControl/>
              <w:suppressLineNumbers w:val="0"/>
              <w:jc w:val="center"/>
              <w:textAlignment w:val="center"/>
              <w:rPr>
                <w:rFonts w:hint="default"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0.20</w:t>
            </w:r>
          </w:p>
        </w:tc>
      </w:tr>
      <w:tr w14:paraId="01558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E5BE23">
            <w:pPr>
              <w:spacing w:before="145" w:line="189" w:lineRule="auto"/>
              <w:ind w:left="104"/>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highlight w:val="none"/>
                <w14:textFill>
                  <w14:solidFill>
                    <w14:schemeClr w14:val="tx1"/>
                  </w14:solidFill>
                </w14:textFill>
              </w:rPr>
              <w:t>政府采购金额</w:t>
            </w:r>
          </w:p>
        </w:tc>
        <w:tc>
          <w:tcPr>
            <w:tcW w:w="1815" w:type="dxa"/>
            <w:gridSpan w:val="2"/>
            <w:noWrap w:val="0"/>
            <w:vAlign w:val="top"/>
          </w:tcPr>
          <w:p w14:paraId="423B95DD">
            <w:pPr>
              <w:jc w:val="center"/>
              <w:rPr>
                <w:rFonts w:hint="default"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0.00</w:t>
            </w:r>
          </w:p>
        </w:tc>
        <w:tc>
          <w:tcPr>
            <w:tcW w:w="2325" w:type="dxa"/>
            <w:gridSpan w:val="2"/>
            <w:noWrap w:val="0"/>
            <w:vAlign w:val="top"/>
          </w:tcPr>
          <w:p w14:paraId="5920BBB3">
            <w:pPr>
              <w:jc w:val="center"/>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6.31</w:t>
            </w:r>
          </w:p>
        </w:tc>
        <w:tc>
          <w:tcPr>
            <w:tcW w:w="1679" w:type="dxa"/>
            <w:gridSpan w:val="2"/>
            <w:noWrap w:val="0"/>
            <w:vAlign w:val="top"/>
          </w:tcPr>
          <w:p w14:paraId="1FDC595D">
            <w:pPr>
              <w:jc w:val="cente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40.57</w:t>
            </w:r>
          </w:p>
        </w:tc>
      </w:tr>
      <w:tr w14:paraId="17BB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190F7D">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44E50479">
            <w:pPr>
              <w:jc w:val="center"/>
              <w:rPr>
                <w:rFonts w:hint="eastAsia" w:asciiTheme="majorEastAsia" w:hAnsiTheme="majorEastAsia" w:eastAsiaTheme="majorEastAsia" w:cstheme="majorEastAsia"/>
                <w:color w:val="FF0000"/>
                <w:kern w:val="2"/>
                <w:sz w:val="24"/>
                <w:szCs w:val="24"/>
                <w:lang w:val="en-US" w:eastAsia="zh-CN" w:bidi="ar-SA"/>
              </w:rPr>
            </w:pPr>
          </w:p>
        </w:tc>
        <w:tc>
          <w:tcPr>
            <w:tcW w:w="2325" w:type="dxa"/>
            <w:gridSpan w:val="2"/>
            <w:noWrap w:val="0"/>
            <w:vAlign w:val="top"/>
          </w:tcPr>
          <w:p w14:paraId="0EB9C3DA">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07ECB278">
            <w:pPr>
              <w:jc w:val="center"/>
              <w:rPr>
                <w:rFonts w:hint="eastAsia" w:asciiTheme="majorEastAsia" w:hAnsiTheme="majorEastAsia" w:eastAsiaTheme="majorEastAsia" w:cstheme="majorEastAsia"/>
                <w:color w:val="FF0000"/>
                <w:sz w:val="24"/>
                <w:szCs w:val="24"/>
              </w:rPr>
            </w:pPr>
          </w:p>
        </w:tc>
      </w:tr>
      <w:tr w14:paraId="63F62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331028BA">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2192516">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年完工项目)</w:t>
            </w:r>
          </w:p>
        </w:tc>
        <w:tc>
          <w:tcPr>
            <w:tcW w:w="825" w:type="dxa"/>
            <w:noWrap w:val="0"/>
            <w:vAlign w:val="center"/>
          </w:tcPr>
          <w:p w14:paraId="143718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D48374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5DE1AF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2D991E4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007E736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683B2BB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1564DEB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20AB0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3B39E8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623E8CC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3CBEB1F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099CBA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2A544C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88CC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E33EA1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07EBC004">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14EC2CF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EA95FC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3DE7CBAE">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27996879">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264C28D5">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20C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4F0901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3719B29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14:textFill>
                  <w14:solidFill>
                    <w14:schemeClr w14:val="tx1"/>
                  </w14:solidFill>
                </w14:textFill>
              </w:rPr>
              <w:t>开展“节约型机关”创建，建章立制，从严控制“三公”经费，提倡节俭，倡导环保节能。</w:t>
            </w:r>
          </w:p>
        </w:tc>
      </w:tr>
    </w:tbl>
    <w:p w14:paraId="4688743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7A7220AF">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p>
    <w:p w14:paraId="1AA7B5EF">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themeColor="text1"/>
          <w:spacing w:val="10"/>
          <w:sz w:val="32"/>
          <w:szCs w:val="32"/>
          <w:highlight w:val="yellow"/>
          <w:lang w:val="en-US" w:eastAsia="zh-CN"/>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唐克军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0730-8870811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2EBD81D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19CEF7C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6F099A20">
      <w:pPr>
        <w:spacing w:line="168" w:lineRule="exact"/>
        <w:rPr>
          <w:color w:val="000000" w:themeColor="text1"/>
          <w14:textFill>
            <w14:solidFill>
              <w14:schemeClr w14:val="tx1"/>
            </w14:solidFill>
          </w14:textFill>
        </w:rPr>
      </w:pPr>
    </w:p>
    <w:tbl>
      <w:tblPr>
        <w:tblStyle w:val="10"/>
        <w:tblW w:w="95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980"/>
        <w:gridCol w:w="1211"/>
        <w:gridCol w:w="1409"/>
        <w:gridCol w:w="1167"/>
        <w:gridCol w:w="1200"/>
        <w:gridCol w:w="797"/>
        <w:gridCol w:w="696"/>
        <w:gridCol w:w="1270"/>
      </w:tblGrid>
      <w:tr w14:paraId="173C4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24" w:type="dxa"/>
            <w:noWrap w:val="0"/>
            <w:vAlign w:val="top"/>
          </w:tcPr>
          <w:p w14:paraId="0180D4E4">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30" w:type="dxa"/>
            <w:gridSpan w:val="8"/>
            <w:noWrap w:val="0"/>
            <w:vAlign w:val="top"/>
          </w:tcPr>
          <w:p w14:paraId="25AFF891">
            <w:pPr>
              <w:spacing w:before="103" w:line="219" w:lineRule="auto"/>
              <w:jc w:val="center"/>
              <w:rPr>
                <w:rFonts w:hint="default"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highlight w:val="none"/>
                <w:lang w:val="en-US" w:eastAsia="zh-CN"/>
                <w14:textFill>
                  <w14:solidFill>
                    <w14:schemeClr w14:val="tx1"/>
                  </w14:solidFill>
                </w14:textFill>
              </w:rPr>
              <w:t>岳阳市岳阳楼区旭日小学</w:t>
            </w:r>
          </w:p>
        </w:tc>
      </w:tr>
      <w:tr w14:paraId="449D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restart"/>
            <w:tcBorders>
              <w:bottom w:val="nil"/>
            </w:tcBorders>
            <w:noWrap w:val="0"/>
            <w:vAlign w:val="top"/>
          </w:tcPr>
          <w:p w14:paraId="7ED623CD">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E101D14">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14:paraId="5E71DDC6">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14:paraId="012C419D">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91" w:type="dxa"/>
            <w:gridSpan w:val="2"/>
            <w:noWrap w:val="0"/>
            <w:vAlign w:val="center"/>
          </w:tcPr>
          <w:p w14:paraId="720A6CE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409" w:type="dxa"/>
            <w:noWrap w:val="0"/>
            <w:vAlign w:val="center"/>
          </w:tcPr>
          <w:p w14:paraId="643B2550">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167" w:type="dxa"/>
            <w:noWrap w:val="0"/>
            <w:vAlign w:val="center"/>
          </w:tcPr>
          <w:p w14:paraId="7E446A2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00" w:type="dxa"/>
            <w:noWrap w:val="0"/>
            <w:vAlign w:val="center"/>
          </w:tcPr>
          <w:p w14:paraId="0B7323D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97" w:type="dxa"/>
            <w:noWrap w:val="0"/>
            <w:vAlign w:val="center"/>
          </w:tcPr>
          <w:p w14:paraId="4B3E861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696" w:type="dxa"/>
            <w:noWrap w:val="0"/>
            <w:vAlign w:val="center"/>
          </w:tcPr>
          <w:p w14:paraId="215F329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0" w:type="dxa"/>
            <w:noWrap w:val="0"/>
            <w:vAlign w:val="center"/>
          </w:tcPr>
          <w:p w14:paraId="69ABE5AB">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14:paraId="225EA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vAlign w:val="top"/>
          </w:tcPr>
          <w:p w14:paraId="411474B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91" w:type="dxa"/>
            <w:gridSpan w:val="2"/>
            <w:noWrap w:val="0"/>
            <w:vAlign w:val="center"/>
          </w:tcPr>
          <w:p w14:paraId="7180BF20">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409" w:type="dxa"/>
            <w:noWrap w:val="0"/>
            <w:vAlign w:val="center"/>
          </w:tcPr>
          <w:p w14:paraId="0D9B9CB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536.48</w:t>
            </w:r>
          </w:p>
        </w:tc>
        <w:tc>
          <w:tcPr>
            <w:tcW w:w="1167" w:type="dxa"/>
            <w:noWrap w:val="0"/>
            <w:vAlign w:val="center"/>
          </w:tcPr>
          <w:p w14:paraId="485C71B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747.22</w:t>
            </w:r>
          </w:p>
        </w:tc>
        <w:tc>
          <w:tcPr>
            <w:tcW w:w="1200" w:type="dxa"/>
            <w:noWrap w:val="0"/>
            <w:vAlign w:val="center"/>
          </w:tcPr>
          <w:p w14:paraId="33975A8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673.28</w:t>
            </w:r>
          </w:p>
        </w:tc>
        <w:tc>
          <w:tcPr>
            <w:tcW w:w="797" w:type="dxa"/>
            <w:noWrap w:val="0"/>
            <w:vAlign w:val="center"/>
          </w:tcPr>
          <w:p w14:paraId="7AE22333">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highlight w:val="none"/>
                <w14:textFill>
                  <w14:solidFill>
                    <w14:schemeClr w14:val="tx1"/>
                  </w14:solidFill>
                </w14:textFill>
              </w:rPr>
              <w:t>10</w:t>
            </w:r>
          </w:p>
        </w:tc>
        <w:tc>
          <w:tcPr>
            <w:tcW w:w="696" w:type="dxa"/>
            <w:noWrap w:val="0"/>
            <w:vAlign w:val="center"/>
          </w:tcPr>
          <w:p w14:paraId="5FC4ABD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0</w:t>
            </w:r>
            <w: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p>
        </w:tc>
        <w:tc>
          <w:tcPr>
            <w:tcW w:w="1270" w:type="dxa"/>
            <w:noWrap w:val="0"/>
            <w:vAlign w:val="center"/>
          </w:tcPr>
          <w:p w14:paraId="014901F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9.</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01</w:t>
            </w:r>
          </w:p>
        </w:tc>
      </w:tr>
      <w:tr w14:paraId="156F6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24" w:type="dxa"/>
            <w:vMerge w:val="continue"/>
            <w:tcBorders>
              <w:top w:val="nil"/>
              <w:bottom w:val="nil"/>
            </w:tcBorders>
            <w:noWrap w:val="0"/>
            <w:vAlign w:val="top"/>
          </w:tcPr>
          <w:p w14:paraId="1B53F42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75659610">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p>
        </w:tc>
        <w:tc>
          <w:tcPr>
            <w:tcW w:w="3963" w:type="dxa"/>
            <w:gridSpan w:val="4"/>
            <w:noWrap w:val="0"/>
            <w:vAlign w:val="center"/>
          </w:tcPr>
          <w:p w14:paraId="2FB81BC6">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p>
        </w:tc>
      </w:tr>
      <w:tr w14:paraId="5008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24" w:type="dxa"/>
            <w:vMerge w:val="continue"/>
            <w:tcBorders>
              <w:top w:val="nil"/>
              <w:bottom w:val="nil"/>
            </w:tcBorders>
            <w:noWrap w:val="0"/>
            <w:vAlign w:val="top"/>
          </w:tcPr>
          <w:p w14:paraId="57F7903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134FE5B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708.30</w:t>
            </w:r>
          </w:p>
        </w:tc>
        <w:tc>
          <w:tcPr>
            <w:tcW w:w="3963" w:type="dxa"/>
            <w:gridSpan w:val="4"/>
            <w:noWrap w:val="0"/>
            <w:vAlign w:val="center"/>
          </w:tcPr>
          <w:p w14:paraId="28535B3B">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528.29</w:t>
            </w:r>
          </w:p>
        </w:tc>
      </w:tr>
      <w:tr w14:paraId="0C6B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vAlign w:val="top"/>
          </w:tcPr>
          <w:p w14:paraId="725B5AA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5D03EEA3">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0.00</w:t>
            </w:r>
          </w:p>
        </w:tc>
        <w:tc>
          <w:tcPr>
            <w:tcW w:w="3963" w:type="dxa"/>
            <w:gridSpan w:val="4"/>
            <w:noWrap w:val="0"/>
            <w:vAlign w:val="center"/>
          </w:tcPr>
          <w:p w14:paraId="1C24376C">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项目支出：</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144.99</w:t>
            </w:r>
          </w:p>
        </w:tc>
      </w:tr>
      <w:tr w14:paraId="13B73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vAlign w:val="top"/>
          </w:tcPr>
          <w:p w14:paraId="7442090C">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793F7CC4">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3963" w:type="dxa"/>
            <w:gridSpan w:val="4"/>
            <w:noWrap w:val="0"/>
            <w:vAlign w:val="center"/>
          </w:tcPr>
          <w:p w14:paraId="75F5D1CA">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14:paraId="264C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tcBorders>
            <w:noWrap w:val="0"/>
            <w:vAlign w:val="top"/>
          </w:tcPr>
          <w:p w14:paraId="5ED7F79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center"/>
          </w:tcPr>
          <w:p w14:paraId="6AC1BCD1">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t>其他资金：</w:t>
            </w:r>
            <w:r>
              <w:rPr>
                <w:rFonts w:hint="eastAsia" w:asciiTheme="minorEastAsia" w:hAnsiTheme="minorEastAsia" w:cstheme="minorEastAsia"/>
                <w:color w:val="000000" w:themeColor="text1"/>
                <w:spacing w:val="0"/>
                <w:sz w:val="21"/>
                <w:szCs w:val="21"/>
                <w:highlight w:val="none"/>
                <w:lang w:val="en-US" w:eastAsia="zh-CN"/>
                <w14:textFill>
                  <w14:solidFill>
                    <w14:schemeClr w14:val="tx1"/>
                  </w14:solidFill>
                </w14:textFill>
              </w:rPr>
              <w:t>38.92</w:t>
            </w:r>
          </w:p>
        </w:tc>
        <w:tc>
          <w:tcPr>
            <w:tcW w:w="3963" w:type="dxa"/>
            <w:gridSpan w:val="4"/>
            <w:noWrap w:val="0"/>
            <w:vAlign w:val="center"/>
          </w:tcPr>
          <w:p w14:paraId="19FB8B0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highlight w:val="none"/>
                <w14:textFill>
                  <w14:solidFill>
                    <w14:schemeClr w14:val="tx1"/>
                  </w14:solidFill>
                </w14:textFill>
              </w:rPr>
            </w:pPr>
          </w:p>
        </w:tc>
      </w:tr>
      <w:tr w14:paraId="53D2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4" w:type="dxa"/>
            <w:vMerge w:val="restart"/>
            <w:tcBorders>
              <w:bottom w:val="nil"/>
            </w:tcBorders>
            <w:noWrap w:val="0"/>
            <w:vAlign w:val="top"/>
          </w:tcPr>
          <w:p w14:paraId="0979E4A7">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p>
          <w:p w14:paraId="2CE1937B">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w:t>
            </w:r>
          </w:p>
          <w:p w14:paraId="0462941C">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总体</w:t>
            </w:r>
          </w:p>
          <w:p w14:paraId="1FBC4CE6">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767" w:type="dxa"/>
            <w:gridSpan w:val="4"/>
            <w:noWrap w:val="0"/>
            <w:vAlign w:val="center"/>
          </w:tcPr>
          <w:p w14:paraId="3AC3F5C7">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3963" w:type="dxa"/>
            <w:gridSpan w:val="4"/>
            <w:noWrap w:val="0"/>
            <w:vAlign w:val="center"/>
          </w:tcPr>
          <w:p w14:paraId="03D1E63C">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14:paraId="774A3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tcBorders>
            <w:noWrap w:val="0"/>
            <w:vAlign w:val="top"/>
          </w:tcPr>
          <w:p w14:paraId="307F7A1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767" w:type="dxa"/>
            <w:gridSpan w:val="4"/>
            <w:noWrap w:val="0"/>
            <w:vAlign w:val="top"/>
          </w:tcPr>
          <w:p w14:paraId="6C158A18">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目标1：提升课堂教学质量与效率</w:t>
            </w:r>
          </w:p>
          <w:p w14:paraId="5C4C2EA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目标2：提升教师幸福指数</w:t>
            </w:r>
          </w:p>
          <w:p w14:paraId="50FF8B0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目标3：提升学校整体形象</w:t>
            </w:r>
          </w:p>
        </w:tc>
        <w:tc>
          <w:tcPr>
            <w:tcW w:w="3963" w:type="dxa"/>
            <w:gridSpan w:val="4"/>
            <w:noWrap w:val="0"/>
            <w:vAlign w:val="center"/>
          </w:tcPr>
          <w:p w14:paraId="54254F45">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1.课堂教学质量与效率，加强教学常规的督查，通过不定期检查严格督查教师备课和辅导情况，确保教学质量</w:t>
            </w:r>
          </w:p>
          <w:p w14:paraId="6580F7D1">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2.提升教师幸福指数，学校工会充分发挥工会这一群众组织的特点和优势，先后组织开展了“三八”节活动、教师节观影活动等</w:t>
            </w:r>
          </w:p>
          <w:p w14:paraId="6CB1662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18"/>
                <w:szCs w:val="18"/>
                <w:highlight w:val="none"/>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highlight w:val="none"/>
                <w:lang w:val="en-US" w:eastAsia="zh-CN"/>
                <w14:textFill>
                  <w14:solidFill>
                    <w14:schemeClr w14:val="tx1"/>
                  </w14:solidFill>
                </w14:textFill>
              </w:rPr>
              <w:t>3.提升学校整体形象，学校以诚信教育的特色教育和传统节日为契机，先后在《学习强国》、《岳阳晚报》、《今日头条》、岳阳广电和学校公众号等平台上发表了相关文章共30篇，内容涉及到教师队伍建设、丰富多彩的德育活动、先进典型推介等，取得了一定的效果，提升了学校的整体形象</w:t>
            </w:r>
          </w:p>
        </w:tc>
      </w:tr>
      <w:tr w14:paraId="798A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24" w:type="dxa"/>
            <w:vMerge w:val="restart"/>
            <w:tcBorders>
              <w:bottom w:val="nil"/>
            </w:tcBorders>
            <w:noWrap w:val="0"/>
            <w:vAlign w:val="top"/>
          </w:tcPr>
          <w:p w14:paraId="252BD46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7BDBF4F">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5BAF2425">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E6D709E">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04996D6">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D91C7FA">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3B5FC2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8E84ABD">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F304DF9">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081E94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480DF27">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6FF5EA7E">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1B7CD5CE">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304B1EFA">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FA92676">
            <w:pPr>
              <w:keepNext w:val="0"/>
              <w:keepLines w:val="0"/>
              <w:pageBreakBefore w:val="0"/>
              <w:widowControl w:val="0"/>
              <w:kinsoku/>
              <w:wordWrap/>
              <w:overflowPunct/>
              <w:topLinePunct w:val="0"/>
              <w:autoSpaceDE/>
              <w:autoSpaceDN/>
              <w:bidi w:val="0"/>
              <w:adjustRightInd/>
              <w:snapToGrid/>
              <w:spacing w:line="217" w:lineRule="auto"/>
              <w:ind w:left="0" w:right="0" w:firstLine="0"/>
              <w:jc w:val="distribute"/>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w:t>
            </w:r>
          </w:p>
          <w:p w14:paraId="66C67788">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效</w:t>
            </w:r>
          </w:p>
          <w:p w14:paraId="12A0101E">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指</w:t>
            </w:r>
          </w:p>
          <w:p w14:paraId="43E34604">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980" w:type="dxa"/>
            <w:noWrap w:val="0"/>
            <w:vAlign w:val="center"/>
          </w:tcPr>
          <w:p w14:paraId="136CA07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211" w:type="dxa"/>
            <w:tcBorders>
              <w:bottom w:val="single" w:color="000000" w:sz="4" w:space="0"/>
            </w:tcBorders>
            <w:noWrap w:val="0"/>
            <w:vAlign w:val="center"/>
          </w:tcPr>
          <w:p w14:paraId="67EE814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409" w:type="dxa"/>
            <w:noWrap w:val="0"/>
            <w:vAlign w:val="center"/>
          </w:tcPr>
          <w:p w14:paraId="1DA2820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167" w:type="dxa"/>
            <w:noWrap w:val="0"/>
            <w:vAlign w:val="center"/>
          </w:tcPr>
          <w:p w14:paraId="72FF333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00" w:type="dxa"/>
            <w:noWrap w:val="0"/>
            <w:vAlign w:val="center"/>
          </w:tcPr>
          <w:p w14:paraId="53DE655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97" w:type="dxa"/>
            <w:noWrap w:val="0"/>
            <w:vAlign w:val="center"/>
          </w:tcPr>
          <w:p w14:paraId="45D6023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696" w:type="dxa"/>
            <w:noWrap w:val="0"/>
            <w:vAlign w:val="center"/>
          </w:tcPr>
          <w:p w14:paraId="29F45CD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0" w:type="dxa"/>
            <w:noWrap w:val="0"/>
            <w:vAlign w:val="center"/>
          </w:tcPr>
          <w:p w14:paraId="4804667B">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14:paraId="79A4DFC8">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14:paraId="6F61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24" w:type="dxa"/>
            <w:vMerge w:val="continue"/>
            <w:tcBorders>
              <w:top w:val="nil"/>
              <w:bottom w:val="nil"/>
            </w:tcBorders>
            <w:noWrap w:val="0"/>
            <w:textDirection w:val="tbRlV"/>
            <w:vAlign w:val="top"/>
          </w:tcPr>
          <w:p w14:paraId="5C59663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top w:val="nil"/>
            </w:tcBorders>
            <w:noWrap w:val="0"/>
            <w:vAlign w:val="center"/>
          </w:tcPr>
          <w:p w14:paraId="5302324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产出指标</w:t>
            </w:r>
          </w:p>
        </w:tc>
        <w:tc>
          <w:tcPr>
            <w:tcW w:w="1211" w:type="dxa"/>
            <w:tcBorders>
              <w:top w:val="single" w:color="000000" w:sz="4" w:space="0"/>
              <w:bottom w:val="single" w:color="000000" w:sz="4" w:space="0"/>
            </w:tcBorders>
            <w:noWrap w:val="0"/>
            <w:vAlign w:val="center"/>
          </w:tcPr>
          <w:p w14:paraId="33A2320E">
            <w:pPr>
              <w:keepNext w:val="0"/>
              <w:keepLines w:val="0"/>
              <w:pageBreakBefore w:val="0"/>
              <w:widowControl w:val="0"/>
              <w:tabs>
                <w:tab w:val="left" w:pos="444"/>
              </w:tabs>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lang w:val="en-US" w:eastAsia="zh-CN"/>
                <w14:textFill>
                  <w14:solidFill>
                    <w14:schemeClr w14:val="tx1"/>
                  </w14:solidFill>
                </w14:textFill>
              </w:rPr>
              <w:t>数量指标</w:t>
            </w:r>
          </w:p>
        </w:tc>
        <w:tc>
          <w:tcPr>
            <w:tcW w:w="1409" w:type="dxa"/>
            <w:noWrap w:val="0"/>
            <w:vAlign w:val="center"/>
          </w:tcPr>
          <w:p w14:paraId="18130F85">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招收新生</w:t>
            </w:r>
          </w:p>
        </w:tc>
        <w:tc>
          <w:tcPr>
            <w:tcW w:w="1167" w:type="dxa"/>
            <w:noWrap w:val="0"/>
            <w:vAlign w:val="center"/>
          </w:tcPr>
          <w:p w14:paraId="0141060C">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仿宋_GB2312" w:hAnsi="宋体" w:eastAsia="仿宋_GB2312" w:cs="仿宋_GB2312"/>
                <w:i w:val="0"/>
                <w:iCs w:val="0"/>
                <w:color w:val="000000"/>
                <w:kern w:val="0"/>
                <w:sz w:val="18"/>
                <w:szCs w:val="18"/>
                <w:highlight w:val="none"/>
                <w:u w:val="none"/>
                <w:lang w:val="en-US" w:eastAsia="zh-CN" w:bidi="ar"/>
              </w:rPr>
              <w:t>35</w:t>
            </w:r>
          </w:p>
        </w:tc>
        <w:tc>
          <w:tcPr>
            <w:tcW w:w="1200" w:type="dxa"/>
            <w:noWrap w:val="0"/>
            <w:vAlign w:val="center"/>
          </w:tcPr>
          <w:p w14:paraId="5D0EED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eastAsia" w:ascii="仿宋_GB2312" w:hAnsi="宋体" w:eastAsia="仿宋_GB2312" w:cs="仿宋_GB2312"/>
                <w:i w:val="0"/>
                <w:iCs w:val="0"/>
                <w:color w:val="000000"/>
                <w:kern w:val="0"/>
                <w:sz w:val="18"/>
                <w:szCs w:val="18"/>
                <w:highlight w:val="none"/>
                <w:u w:val="none"/>
                <w:lang w:val="en-US" w:eastAsia="zh-CN" w:bidi="ar"/>
              </w:rPr>
              <w:t>38</w:t>
            </w:r>
          </w:p>
        </w:tc>
        <w:tc>
          <w:tcPr>
            <w:tcW w:w="797" w:type="dxa"/>
            <w:noWrap w:val="0"/>
            <w:vAlign w:val="center"/>
          </w:tcPr>
          <w:p w14:paraId="1FAD1BB7">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00BAAEF0">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75EBDD1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1FA6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24" w:type="dxa"/>
            <w:vMerge w:val="continue"/>
            <w:tcBorders>
              <w:top w:val="nil"/>
              <w:bottom w:val="nil"/>
            </w:tcBorders>
            <w:noWrap w:val="0"/>
            <w:textDirection w:val="tbRlV"/>
            <w:vAlign w:val="top"/>
          </w:tcPr>
          <w:p w14:paraId="6A19824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0536F71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restart"/>
            <w:tcBorders>
              <w:top w:val="single" w:color="000000" w:sz="4" w:space="0"/>
              <w:bottom w:val="single" w:color="000000" w:sz="4" w:space="0"/>
            </w:tcBorders>
            <w:noWrap w:val="0"/>
            <w:vAlign w:val="center"/>
          </w:tcPr>
          <w:p w14:paraId="24A87F9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质量指标</w:t>
            </w:r>
          </w:p>
        </w:tc>
        <w:tc>
          <w:tcPr>
            <w:tcW w:w="1409" w:type="dxa"/>
            <w:noWrap w:val="0"/>
            <w:vAlign w:val="center"/>
          </w:tcPr>
          <w:p w14:paraId="53C0539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小学、中学毕业率/升学率</w:t>
            </w:r>
          </w:p>
        </w:tc>
        <w:tc>
          <w:tcPr>
            <w:tcW w:w="1167" w:type="dxa"/>
            <w:noWrap w:val="0"/>
            <w:vAlign w:val="center"/>
          </w:tcPr>
          <w:p w14:paraId="2E94AE7E">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100%</w:t>
            </w:r>
          </w:p>
        </w:tc>
        <w:tc>
          <w:tcPr>
            <w:tcW w:w="1200" w:type="dxa"/>
            <w:noWrap w:val="0"/>
            <w:vAlign w:val="center"/>
          </w:tcPr>
          <w:p w14:paraId="34E8EBF1">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100%</w:t>
            </w:r>
          </w:p>
        </w:tc>
        <w:tc>
          <w:tcPr>
            <w:tcW w:w="797" w:type="dxa"/>
            <w:noWrap w:val="0"/>
            <w:vAlign w:val="center"/>
          </w:tcPr>
          <w:p w14:paraId="40A37838">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56825B69">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21D2AEEB">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944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4" w:type="dxa"/>
            <w:vMerge w:val="continue"/>
            <w:tcBorders>
              <w:top w:val="nil"/>
              <w:bottom w:val="nil"/>
            </w:tcBorders>
            <w:noWrap w:val="0"/>
            <w:textDirection w:val="tbRlV"/>
            <w:vAlign w:val="top"/>
          </w:tcPr>
          <w:p w14:paraId="139D7A14">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3120A64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continue"/>
            <w:tcBorders>
              <w:top w:val="single" w:color="000000" w:sz="4" w:space="0"/>
              <w:bottom w:val="single" w:color="000000" w:sz="4" w:space="0"/>
            </w:tcBorders>
            <w:noWrap w:val="0"/>
            <w:vAlign w:val="center"/>
          </w:tcPr>
          <w:p w14:paraId="3AAA0FC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409" w:type="dxa"/>
            <w:noWrap w:val="0"/>
            <w:vAlign w:val="center"/>
          </w:tcPr>
          <w:p w14:paraId="30618443">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学生出勤率</w:t>
            </w:r>
          </w:p>
        </w:tc>
        <w:tc>
          <w:tcPr>
            <w:tcW w:w="1167" w:type="dxa"/>
            <w:noWrap w:val="0"/>
            <w:vAlign w:val="center"/>
          </w:tcPr>
          <w:p w14:paraId="03F9D8B2">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85</w:t>
            </w:r>
          </w:p>
        </w:tc>
        <w:tc>
          <w:tcPr>
            <w:tcW w:w="1200" w:type="dxa"/>
            <w:noWrap w:val="0"/>
            <w:vAlign w:val="center"/>
          </w:tcPr>
          <w:p w14:paraId="2D4EB195">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90</w:t>
            </w:r>
          </w:p>
        </w:tc>
        <w:tc>
          <w:tcPr>
            <w:tcW w:w="797" w:type="dxa"/>
            <w:noWrap w:val="0"/>
            <w:vAlign w:val="center"/>
          </w:tcPr>
          <w:p w14:paraId="6E47028C">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61F465B3">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3016D3D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BD0D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4" w:type="dxa"/>
            <w:vMerge w:val="continue"/>
            <w:tcBorders>
              <w:top w:val="nil"/>
              <w:bottom w:val="nil"/>
            </w:tcBorders>
            <w:noWrap w:val="0"/>
            <w:textDirection w:val="tbRlV"/>
            <w:vAlign w:val="top"/>
          </w:tcPr>
          <w:p w14:paraId="2DB4BB53">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noWrap w:val="0"/>
            <w:vAlign w:val="center"/>
          </w:tcPr>
          <w:p w14:paraId="6D57F08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vMerge w:val="restart"/>
            <w:tcBorders>
              <w:top w:val="single" w:color="000000" w:sz="4" w:space="0"/>
            </w:tcBorders>
            <w:noWrap w:val="0"/>
            <w:vAlign w:val="center"/>
          </w:tcPr>
          <w:p w14:paraId="4EF7763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时效指标</w:t>
            </w:r>
          </w:p>
        </w:tc>
        <w:tc>
          <w:tcPr>
            <w:tcW w:w="1409" w:type="dxa"/>
            <w:noWrap w:val="0"/>
            <w:vAlign w:val="center"/>
          </w:tcPr>
          <w:p w14:paraId="145F4F51">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毕业率/升学率完成时间</w:t>
            </w:r>
          </w:p>
        </w:tc>
        <w:tc>
          <w:tcPr>
            <w:tcW w:w="1167" w:type="dxa"/>
            <w:noWrap w:val="0"/>
            <w:vAlign w:val="center"/>
          </w:tcPr>
          <w:p w14:paraId="02E08905">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2024.6.30（毕业时间）</w:t>
            </w:r>
          </w:p>
        </w:tc>
        <w:tc>
          <w:tcPr>
            <w:tcW w:w="1200" w:type="dxa"/>
            <w:noWrap w:val="0"/>
            <w:vAlign w:val="center"/>
          </w:tcPr>
          <w:p w14:paraId="355FC4AE">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2024.6.30之前完成100%</w:t>
            </w:r>
          </w:p>
        </w:tc>
        <w:tc>
          <w:tcPr>
            <w:tcW w:w="797" w:type="dxa"/>
            <w:noWrap w:val="0"/>
            <w:vAlign w:val="center"/>
          </w:tcPr>
          <w:p w14:paraId="05B06261">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6752F036">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7F91A95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5088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24" w:type="dxa"/>
            <w:vMerge w:val="continue"/>
            <w:tcBorders>
              <w:top w:val="nil"/>
              <w:bottom w:val="nil"/>
            </w:tcBorders>
            <w:noWrap w:val="0"/>
            <w:textDirection w:val="tbRlV"/>
            <w:vAlign w:val="top"/>
          </w:tcPr>
          <w:p w14:paraId="7001AC85">
            <w:pPr>
              <w:keepNext w:val="0"/>
              <w:keepLines w:val="0"/>
              <w:pageBreakBefore w:val="0"/>
              <w:widowControl w:val="0"/>
              <w:kinsoku/>
              <w:wordWrap/>
              <w:overflowPunct/>
              <w:topLinePunct w:val="0"/>
              <w:autoSpaceDE/>
              <w:autoSpaceDN/>
              <w:bidi w:val="0"/>
              <w:adjustRightInd/>
              <w:snapToGrid/>
              <w:ind w:left="0"/>
              <w:jc w:val="center"/>
              <w:textAlignment w:val="auto"/>
            </w:pPr>
          </w:p>
        </w:tc>
        <w:tc>
          <w:tcPr>
            <w:tcW w:w="980" w:type="dxa"/>
            <w:vMerge w:val="continue"/>
            <w:noWrap w:val="0"/>
            <w:vAlign w:val="center"/>
          </w:tcPr>
          <w:p w14:paraId="7540604F">
            <w:pPr>
              <w:keepNext w:val="0"/>
              <w:keepLines w:val="0"/>
              <w:pageBreakBefore w:val="0"/>
              <w:widowControl w:val="0"/>
              <w:kinsoku/>
              <w:wordWrap/>
              <w:overflowPunct/>
              <w:topLinePunct w:val="0"/>
              <w:autoSpaceDE/>
              <w:autoSpaceDN/>
              <w:bidi w:val="0"/>
              <w:adjustRightInd/>
              <w:snapToGrid/>
              <w:ind w:left="0"/>
              <w:jc w:val="center"/>
              <w:textAlignment w:val="auto"/>
            </w:pPr>
          </w:p>
        </w:tc>
        <w:tc>
          <w:tcPr>
            <w:tcW w:w="1211" w:type="dxa"/>
            <w:vMerge w:val="continue"/>
            <w:noWrap w:val="0"/>
            <w:vAlign w:val="center"/>
          </w:tcPr>
          <w:p w14:paraId="0B3C584A">
            <w:pPr>
              <w:keepNext w:val="0"/>
              <w:keepLines w:val="0"/>
              <w:pageBreakBefore w:val="0"/>
              <w:widowControl w:val="0"/>
              <w:kinsoku/>
              <w:wordWrap/>
              <w:overflowPunct/>
              <w:topLinePunct w:val="0"/>
              <w:autoSpaceDE/>
              <w:autoSpaceDN/>
              <w:bidi w:val="0"/>
              <w:adjustRightInd/>
              <w:snapToGrid/>
              <w:ind w:left="0"/>
              <w:jc w:val="center"/>
              <w:textAlignment w:val="auto"/>
              <w:rPr>
                <w:highlight w:val="none"/>
              </w:rPr>
            </w:pPr>
          </w:p>
        </w:tc>
        <w:tc>
          <w:tcPr>
            <w:tcW w:w="1409" w:type="dxa"/>
            <w:noWrap w:val="0"/>
            <w:vAlign w:val="center"/>
          </w:tcPr>
          <w:p w14:paraId="2083016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新生入学率完成时间</w:t>
            </w:r>
          </w:p>
        </w:tc>
        <w:tc>
          <w:tcPr>
            <w:tcW w:w="1167" w:type="dxa"/>
            <w:noWrap w:val="0"/>
            <w:vAlign w:val="center"/>
          </w:tcPr>
          <w:p w14:paraId="44342A46">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2024.9.30（入学时间）</w:t>
            </w:r>
          </w:p>
        </w:tc>
        <w:tc>
          <w:tcPr>
            <w:tcW w:w="1200" w:type="dxa"/>
            <w:noWrap w:val="0"/>
            <w:vAlign w:val="center"/>
          </w:tcPr>
          <w:p w14:paraId="58EEEF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2024.9.30之前完成99%</w:t>
            </w:r>
          </w:p>
        </w:tc>
        <w:tc>
          <w:tcPr>
            <w:tcW w:w="797" w:type="dxa"/>
            <w:noWrap w:val="0"/>
            <w:vAlign w:val="center"/>
          </w:tcPr>
          <w:p w14:paraId="1DAD2ABC">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4361ED69">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05278F5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i w:val="0"/>
                <w:iCs w:val="0"/>
                <w:color w:val="000000"/>
                <w:kern w:val="0"/>
                <w:sz w:val="18"/>
                <w:szCs w:val="18"/>
                <w:highlight w:val="none"/>
                <w:u w:val="none"/>
                <w:lang w:val="en-US" w:eastAsia="zh-CN" w:bidi="ar"/>
              </w:rPr>
            </w:pPr>
          </w:p>
        </w:tc>
      </w:tr>
      <w:tr w14:paraId="5654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824" w:type="dxa"/>
            <w:vMerge w:val="continue"/>
            <w:tcBorders>
              <w:top w:val="nil"/>
              <w:bottom w:val="nil"/>
            </w:tcBorders>
            <w:noWrap w:val="0"/>
            <w:textDirection w:val="tbRlV"/>
            <w:vAlign w:val="top"/>
          </w:tcPr>
          <w:p w14:paraId="1870A35D">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restart"/>
            <w:tcBorders>
              <w:bottom w:val="single" w:color="000000" w:sz="4" w:space="0"/>
            </w:tcBorders>
            <w:noWrap w:val="0"/>
            <w:vAlign w:val="center"/>
          </w:tcPr>
          <w:p w14:paraId="56972D1E">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1C08A56">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79DEC56C">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413C49C4">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14:paraId="2D1F47C9">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14:paraId="1157E6A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7914BD3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经济指标</w:t>
            </w:r>
          </w:p>
        </w:tc>
        <w:tc>
          <w:tcPr>
            <w:tcW w:w="1409" w:type="dxa"/>
            <w:noWrap w:val="0"/>
            <w:vAlign w:val="center"/>
          </w:tcPr>
          <w:p w14:paraId="715FF2C4">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 xml:space="preserve"> 不适用</w:t>
            </w:r>
          </w:p>
        </w:tc>
        <w:tc>
          <w:tcPr>
            <w:tcW w:w="1167" w:type="dxa"/>
            <w:noWrap w:val="0"/>
            <w:vAlign w:val="center"/>
          </w:tcPr>
          <w:p w14:paraId="7B95DEE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 xml:space="preserve"> 不适用</w:t>
            </w:r>
          </w:p>
        </w:tc>
        <w:tc>
          <w:tcPr>
            <w:tcW w:w="1200" w:type="dxa"/>
            <w:noWrap w:val="0"/>
            <w:vAlign w:val="center"/>
          </w:tcPr>
          <w:p w14:paraId="014A02A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不适用</w:t>
            </w:r>
          </w:p>
        </w:tc>
        <w:tc>
          <w:tcPr>
            <w:tcW w:w="797" w:type="dxa"/>
            <w:noWrap w:val="0"/>
            <w:vAlign w:val="center"/>
          </w:tcPr>
          <w:p w14:paraId="78F87D8E">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w:t>
            </w:r>
          </w:p>
        </w:tc>
        <w:tc>
          <w:tcPr>
            <w:tcW w:w="696" w:type="dxa"/>
            <w:noWrap w:val="0"/>
            <w:vAlign w:val="center"/>
          </w:tcPr>
          <w:p w14:paraId="1CBAE6B2">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w:t>
            </w:r>
          </w:p>
        </w:tc>
        <w:tc>
          <w:tcPr>
            <w:tcW w:w="1270" w:type="dxa"/>
            <w:noWrap w:val="0"/>
            <w:vAlign w:val="center"/>
          </w:tcPr>
          <w:p w14:paraId="023FEAF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D68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824" w:type="dxa"/>
            <w:vMerge w:val="continue"/>
            <w:tcBorders>
              <w:top w:val="nil"/>
              <w:bottom w:val="nil"/>
            </w:tcBorders>
            <w:noWrap w:val="0"/>
            <w:textDirection w:val="tbRlV"/>
            <w:vAlign w:val="top"/>
          </w:tcPr>
          <w:p w14:paraId="0B911340">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3502D02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78B3EDE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社会效益</w:t>
            </w:r>
          </w:p>
          <w:p w14:paraId="5F61476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指标</w:t>
            </w:r>
          </w:p>
        </w:tc>
        <w:tc>
          <w:tcPr>
            <w:tcW w:w="1409" w:type="dxa"/>
            <w:noWrap w:val="0"/>
            <w:vAlign w:val="center"/>
          </w:tcPr>
          <w:p w14:paraId="48730239">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改善城区教育教学水平</w:t>
            </w:r>
          </w:p>
        </w:tc>
        <w:tc>
          <w:tcPr>
            <w:tcW w:w="1167" w:type="dxa"/>
            <w:noWrap w:val="0"/>
            <w:vAlign w:val="center"/>
          </w:tcPr>
          <w:p w14:paraId="7B87D29E">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有所改善</w:t>
            </w:r>
          </w:p>
        </w:tc>
        <w:tc>
          <w:tcPr>
            <w:tcW w:w="1200" w:type="dxa"/>
            <w:noWrap w:val="0"/>
            <w:vAlign w:val="center"/>
          </w:tcPr>
          <w:p w14:paraId="0F29FC5D">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有所改善</w:t>
            </w:r>
          </w:p>
        </w:tc>
        <w:tc>
          <w:tcPr>
            <w:tcW w:w="797" w:type="dxa"/>
            <w:noWrap w:val="0"/>
            <w:vAlign w:val="center"/>
          </w:tcPr>
          <w:p w14:paraId="7EFA1BEE">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2B785EE5">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69F49F4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672B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24" w:type="dxa"/>
            <w:vMerge w:val="continue"/>
            <w:tcBorders>
              <w:top w:val="nil"/>
              <w:bottom w:val="nil"/>
            </w:tcBorders>
            <w:noWrap w:val="0"/>
            <w:textDirection w:val="tbRlV"/>
            <w:vAlign w:val="top"/>
          </w:tcPr>
          <w:p w14:paraId="1524FECF">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2D16208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1523E02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生态效益指标</w:t>
            </w:r>
          </w:p>
        </w:tc>
        <w:tc>
          <w:tcPr>
            <w:tcW w:w="1409" w:type="dxa"/>
            <w:noWrap w:val="0"/>
            <w:vAlign w:val="center"/>
          </w:tcPr>
          <w:p w14:paraId="2A63B1C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通过学校的宣传教育，提高全体教职人员及学生的生态保护意识</w:t>
            </w:r>
          </w:p>
        </w:tc>
        <w:tc>
          <w:tcPr>
            <w:tcW w:w="1167" w:type="dxa"/>
            <w:noWrap w:val="0"/>
            <w:vAlign w:val="center"/>
          </w:tcPr>
          <w:p w14:paraId="43EF699F">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有所提高</w:t>
            </w:r>
          </w:p>
        </w:tc>
        <w:tc>
          <w:tcPr>
            <w:tcW w:w="1200" w:type="dxa"/>
            <w:noWrap w:val="0"/>
            <w:vAlign w:val="center"/>
          </w:tcPr>
          <w:p w14:paraId="46BE982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有所提高</w:t>
            </w:r>
          </w:p>
        </w:tc>
        <w:tc>
          <w:tcPr>
            <w:tcW w:w="797" w:type="dxa"/>
            <w:noWrap w:val="0"/>
            <w:vAlign w:val="center"/>
          </w:tcPr>
          <w:p w14:paraId="173F98DC">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61A5C244">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5CC72D9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882D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24" w:type="dxa"/>
            <w:vMerge w:val="continue"/>
            <w:tcBorders>
              <w:top w:val="nil"/>
              <w:bottom w:val="nil"/>
            </w:tcBorders>
            <w:noWrap w:val="0"/>
            <w:textDirection w:val="tbRlV"/>
            <w:vAlign w:val="top"/>
          </w:tcPr>
          <w:p w14:paraId="4E5E408E">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vMerge w:val="continue"/>
            <w:tcBorders>
              <w:top w:val="single" w:color="000000" w:sz="4" w:space="0"/>
              <w:bottom w:val="single" w:color="000000" w:sz="4" w:space="0"/>
            </w:tcBorders>
            <w:noWrap w:val="0"/>
            <w:vAlign w:val="center"/>
          </w:tcPr>
          <w:p w14:paraId="7EE1B40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tcBorders>
            <w:noWrap w:val="0"/>
            <w:vAlign w:val="center"/>
          </w:tcPr>
          <w:p w14:paraId="074A21BA">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可持续影响指标</w:t>
            </w:r>
          </w:p>
        </w:tc>
        <w:tc>
          <w:tcPr>
            <w:tcW w:w="1409" w:type="dxa"/>
            <w:noWrap w:val="0"/>
            <w:vAlign w:val="center"/>
          </w:tcPr>
          <w:p w14:paraId="237DDD8A">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坚持政治理论学习和业务能力培养,坚持建立正确有效的学校价值体系和文化,创建浓厚的学习氛围</w:t>
            </w:r>
          </w:p>
        </w:tc>
        <w:tc>
          <w:tcPr>
            <w:tcW w:w="1167" w:type="dxa"/>
            <w:noWrap w:val="0"/>
            <w:vAlign w:val="center"/>
          </w:tcPr>
          <w:p w14:paraId="3FBD7FB2">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长期坚持</w:t>
            </w:r>
          </w:p>
        </w:tc>
        <w:tc>
          <w:tcPr>
            <w:tcW w:w="1200" w:type="dxa"/>
            <w:noWrap w:val="0"/>
            <w:vAlign w:val="center"/>
          </w:tcPr>
          <w:p w14:paraId="3AA2EA9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长期坚持</w:t>
            </w:r>
          </w:p>
        </w:tc>
        <w:tc>
          <w:tcPr>
            <w:tcW w:w="797" w:type="dxa"/>
            <w:noWrap w:val="0"/>
            <w:vAlign w:val="center"/>
          </w:tcPr>
          <w:p w14:paraId="691C8AD5">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747BBFD1">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752BA93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6935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24" w:type="dxa"/>
            <w:vMerge w:val="continue"/>
            <w:tcBorders>
              <w:top w:val="nil"/>
              <w:bottom w:val="nil"/>
            </w:tcBorders>
            <w:noWrap w:val="0"/>
            <w:textDirection w:val="tbRlV"/>
            <w:vAlign w:val="top"/>
          </w:tcPr>
          <w:p w14:paraId="76580DB5">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80" w:type="dxa"/>
            <w:tcBorders>
              <w:top w:val="single" w:color="000000" w:sz="4" w:space="0"/>
              <w:bottom w:val="single" w:color="000000" w:sz="4" w:space="0"/>
            </w:tcBorders>
            <w:noWrap w:val="0"/>
            <w:vAlign w:val="center"/>
          </w:tcPr>
          <w:p w14:paraId="1FE14E2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14:paraId="3EF1F08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14:paraId="3CDCE7E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11" w:type="dxa"/>
            <w:tcBorders>
              <w:top w:val="single" w:color="000000" w:sz="4" w:space="0"/>
              <w:bottom w:val="single" w:color="000000" w:sz="4" w:space="0"/>
            </w:tcBorders>
            <w:noWrap w:val="0"/>
            <w:vAlign w:val="center"/>
          </w:tcPr>
          <w:p w14:paraId="3C20D15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服务对象满意度指标</w:t>
            </w:r>
          </w:p>
        </w:tc>
        <w:tc>
          <w:tcPr>
            <w:tcW w:w="1409" w:type="dxa"/>
            <w:noWrap w:val="0"/>
            <w:vAlign w:val="center"/>
          </w:tcPr>
          <w:p w14:paraId="3FB2D36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仿宋" w:hAnsi="仿宋" w:eastAsia="仿宋" w:cs="仿宋"/>
                <w:i w:val="0"/>
                <w:iCs w:val="0"/>
                <w:color w:val="000000"/>
                <w:kern w:val="0"/>
                <w:sz w:val="18"/>
                <w:szCs w:val="18"/>
                <w:highlight w:val="none"/>
                <w:u w:val="none"/>
                <w:lang w:val="en-US" w:eastAsia="zh-CN" w:bidi="ar"/>
              </w:rPr>
              <w:t>家长学生满意度</w:t>
            </w:r>
          </w:p>
        </w:tc>
        <w:tc>
          <w:tcPr>
            <w:tcW w:w="1167" w:type="dxa"/>
            <w:noWrap w:val="0"/>
            <w:vAlign w:val="center"/>
          </w:tcPr>
          <w:p w14:paraId="13A2879E">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95</w:t>
            </w:r>
          </w:p>
        </w:tc>
        <w:tc>
          <w:tcPr>
            <w:tcW w:w="1200" w:type="dxa"/>
            <w:noWrap w:val="0"/>
            <w:vAlign w:val="center"/>
          </w:tcPr>
          <w:p w14:paraId="0F41EF71">
            <w:pPr>
              <w:keepNext w:val="0"/>
              <w:keepLines w:val="0"/>
              <w:widowControl/>
              <w:suppressLineNumbers w:val="0"/>
              <w:jc w:val="center"/>
              <w:textAlignment w:val="center"/>
              <w:rPr>
                <w:rFonts w:hint="default" w:ascii="仿宋" w:hAnsi="仿宋" w:eastAsia="仿宋" w:cs="仿宋"/>
                <w:i w:val="0"/>
                <w:iCs w:val="0"/>
                <w:color w:val="000000"/>
                <w:kern w:val="0"/>
                <w:sz w:val="18"/>
                <w:szCs w:val="18"/>
                <w:highlight w:val="none"/>
                <w:u w:val="none"/>
                <w:lang w:val="en-US" w:eastAsia="zh-CN" w:bidi="ar"/>
              </w:rPr>
            </w:pPr>
            <w:r>
              <w:rPr>
                <w:rFonts w:hint="default" w:ascii="仿宋_GB2312" w:hAnsi="宋体" w:eastAsia="仿宋_GB2312" w:cs="仿宋_GB2312"/>
                <w:i w:val="0"/>
                <w:iCs w:val="0"/>
                <w:color w:val="000000"/>
                <w:kern w:val="0"/>
                <w:sz w:val="18"/>
                <w:szCs w:val="18"/>
                <w:highlight w:val="none"/>
                <w:u w:val="none"/>
                <w:lang w:val="en-US" w:eastAsia="zh-CN" w:bidi="ar"/>
              </w:rPr>
              <w:t>97%</w:t>
            </w:r>
          </w:p>
        </w:tc>
        <w:tc>
          <w:tcPr>
            <w:tcW w:w="797" w:type="dxa"/>
            <w:noWrap w:val="0"/>
            <w:vAlign w:val="center"/>
          </w:tcPr>
          <w:p w14:paraId="100F98C6">
            <w:pPr>
              <w:keepNext w:val="0"/>
              <w:keepLines w:val="0"/>
              <w:widowControl/>
              <w:suppressLineNumbers w:val="0"/>
              <w:jc w:val="center"/>
              <w:textAlignment w:val="center"/>
              <w:rPr>
                <w:rFonts w:hint="eastAsia"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696" w:type="dxa"/>
            <w:noWrap w:val="0"/>
            <w:vAlign w:val="center"/>
          </w:tcPr>
          <w:p w14:paraId="55587A58">
            <w:pPr>
              <w:keepNext w:val="0"/>
              <w:keepLines w:val="0"/>
              <w:widowControl/>
              <w:suppressLineNumbers w:val="0"/>
              <w:jc w:val="center"/>
              <w:textAlignment w:val="center"/>
              <w:rPr>
                <w:rFonts w:hint="default" w:ascii="仿宋" w:hAnsi="仿宋" w:eastAsia="仿宋" w:cs="仿宋"/>
                <w:color w:val="000000" w:themeColor="text1"/>
                <w:sz w:val="18"/>
                <w:szCs w:val="18"/>
                <w:highlight w:val="none"/>
                <w:lang w:val="en-US" w:eastAsia="zh-CN"/>
                <w14:textFill>
                  <w14:solidFill>
                    <w14:schemeClr w14:val="tx1"/>
                  </w14:solidFill>
                </w14:textFill>
              </w:rPr>
            </w:pPr>
            <w:r>
              <w:rPr>
                <w:rFonts w:hint="default" w:ascii="仿宋_GB2312" w:hAnsi="宋体" w:eastAsia="仿宋_GB2312" w:cs="仿宋_GB2312"/>
                <w:i w:val="0"/>
                <w:iCs w:val="0"/>
                <w:color w:val="000000"/>
                <w:kern w:val="0"/>
                <w:sz w:val="18"/>
                <w:szCs w:val="18"/>
                <w:highlight w:val="none"/>
                <w:u w:val="none"/>
                <w:lang w:val="en-US" w:eastAsia="zh-CN" w:bidi="ar"/>
              </w:rPr>
              <w:t>10</w:t>
            </w:r>
          </w:p>
        </w:tc>
        <w:tc>
          <w:tcPr>
            <w:tcW w:w="1270" w:type="dxa"/>
            <w:noWrap w:val="0"/>
            <w:vAlign w:val="center"/>
          </w:tcPr>
          <w:p w14:paraId="765E86F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EBBD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791" w:type="dxa"/>
            <w:gridSpan w:val="6"/>
            <w:noWrap w:val="0"/>
            <w:vAlign w:val="center"/>
          </w:tcPr>
          <w:p w14:paraId="7B1C4BCF">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总  分</w:t>
            </w:r>
          </w:p>
        </w:tc>
        <w:tc>
          <w:tcPr>
            <w:tcW w:w="797" w:type="dxa"/>
            <w:noWrap w:val="0"/>
            <w:vAlign w:val="center"/>
          </w:tcPr>
          <w:p w14:paraId="6CEA14D3">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100</w:t>
            </w:r>
          </w:p>
        </w:tc>
        <w:tc>
          <w:tcPr>
            <w:tcW w:w="696" w:type="dxa"/>
            <w:noWrap w:val="0"/>
            <w:vAlign w:val="center"/>
          </w:tcPr>
          <w:p w14:paraId="2F15A35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99.01</w:t>
            </w:r>
          </w:p>
        </w:tc>
        <w:tc>
          <w:tcPr>
            <w:tcW w:w="1270" w:type="dxa"/>
            <w:noWrap w:val="0"/>
            <w:vAlign w:val="center"/>
          </w:tcPr>
          <w:p w14:paraId="08D62A5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FF5403D">
      <w:pPr>
        <w:keepNext w:val="0"/>
        <w:keepLines w:val="0"/>
        <w:pageBreakBefore w:val="0"/>
        <w:widowControl w:val="0"/>
        <w:kinsoku/>
        <w:wordWrap/>
        <w:overflowPunct/>
        <w:topLinePunct w:val="0"/>
        <w:autoSpaceDE/>
        <w:autoSpaceDN/>
        <w:bidi w:val="0"/>
        <w:adjustRightInd/>
        <w:snapToGrid/>
        <w:ind w:left="0"/>
        <w:jc w:val="left"/>
        <w:textAlignment w:val="auto"/>
        <w:rPr>
          <w:rFonts w:ascii="仿宋" w:hAnsi="仿宋" w:eastAsia="仿宋" w:cs="仿宋"/>
          <w:color w:val="000000" w:themeColor="text1"/>
          <w:spacing w:val="-22"/>
          <w:sz w:val="22"/>
          <w:szCs w:val="22"/>
          <w:highlight w:val="yellow"/>
          <w14:textFill>
            <w14:solidFill>
              <w14:schemeClr w14:val="tx1"/>
            </w14:solidFill>
          </w14:textFill>
        </w:rPr>
      </w:pPr>
    </w:p>
    <w:p w14:paraId="5C6F030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lang w:val="en-US" w:eastAsia="zh-CN"/>
        </w:rPr>
      </w:pP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highlight w:val="none"/>
        </w:rPr>
        <w:t xml:space="preserve">唐克军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w:t>
      </w:r>
      <w:r>
        <w:rPr>
          <w:rFonts w:hint="eastAsia" w:ascii="宋体" w:hAnsi="宋体" w:cs="宋体"/>
          <w:color w:val="000000"/>
          <w:spacing w:val="0"/>
          <w:position w:val="0"/>
          <w:sz w:val="23"/>
          <w:szCs w:val="23"/>
          <w:highlight w:val="none"/>
          <w:lang w:val="en-US" w:eastAsia="zh-CN"/>
        </w:rPr>
        <w:t xml:space="preserve">0730-8870811         </w:t>
      </w:r>
      <w:bookmarkStart w:id="0" w:name="_GoBack"/>
      <w:bookmarkEnd w:id="0"/>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2025年7月5日</w:t>
      </w:r>
    </w:p>
    <w:p w14:paraId="40F1EEEA">
      <w:pPr>
        <w:rPr>
          <w:rFonts w:hint="eastAsia"/>
          <w:lang w:eastAsia="zh-CN"/>
        </w:rPr>
      </w:pPr>
    </w:p>
    <w:sectPr>
      <w:footerReference r:id="rId4" w:type="default"/>
      <w:pgSz w:w="11906"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5906">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189E2">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6189E2">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E10FB"/>
    <w:multiLevelType w:val="singleLevel"/>
    <w:tmpl w:val="81AE10FB"/>
    <w:lvl w:ilvl="0" w:tentative="0">
      <w:start w:val="3"/>
      <w:numFmt w:val="chineseCounting"/>
      <w:suff w:val="nothing"/>
      <w:lvlText w:val="（%1）"/>
      <w:lvlJc w:val="left"/>
      <w:rPr>
        <w:rFonts w:hint="eastAsia"/>
      </w:rPr>
    </w:lvl>
  </w:abstractNum>
  <w:abstractNum w:abstractNumId="1">
    <w:nsid w:val="C02A4C57"/>
    <w:multiLevelType w:val="singleLevel"/>
    <w:tmpl w:val="C02A4C57"/>
    <w:lvl w:ilvl="0" w:tentative="0">
      <w:start w:val="3"/>
      <w:numFmt w:val="chineseCounting"/>
      <w:suff w:val="nothing"/>
      <w:lvlText w:val="%1、"/>
      <w:lvlJc w:val="left"/>
      <w:rPr>
        <w:rFonts w:hint="eastAsia"/>
      </w:rPr>
    </w:lvl>
  </w:abstractNum>
  <w:abstractNum w:abstractNumId="2">
    <w:nsid w:val="C260AA1D"/>
    <w:multiLevelType w:val="singleLevel"/>
    <w:tmpl w:val="C260AA1D"/>
    <w:lvl w:ilvl="0" w:tentative="0">
      <w:start w:val="1"/>
      <w:numFmt w:val="chineseCounting"/>
      <w:suff w:val="nothing"/>
      <w:lvlText w:val="%1、"/>
      <w:lvlJc w:val="left"/>
      <w:rPr>
        <w:rFonts w:hint="eastAsia"/>
      </w:rPr>
    </w:lvl>
  </w:abstractNum>
  <w:abstractNum w:abstractNumId="3">
    <w:nsid w:val="67FE9596"/>
    <w:multiLevelType w:val="singleLevel"/>
    <w:tmpl w:val="67FE9596"/>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C494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57E31"/>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08754A"/>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D6EBD"/>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C97A69"/>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817E2"/>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243C6"/>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paragraph" w:customStyle="1" w:styleId="9">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4004</Words>
  <Characters>4503</Characters>
  <Lines>0</Lines>
  <Paragraphs>0</Paragraphs>
  <TotalTime>0</TotalTime>
  <ScaleCrop>false</ScaleCrop>
  <LinksUpToDate>false</LinksUpToDate>
  <CharactersWithSpaces>4572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C5C37B8D391B43A6A23DE6E562F26363_13</vt:lpwstr>
  </property>
  <property fmtid="{D5CDD505-2E9C-101B-9397-08002B2CF9AE}" pid="4" name="KSOTemplateDocerSaveRecord">
    <vt:lpwstr>eyJoZGlkIjoiZmY0MWExMjY5MTBhMzk4MWI3NWJmYjU1OTk5MzI0MDYiLCJ1c2VySWQiOiIyOTUzNjMwMDkifQ==</vt:lpwstr>
  </property>
</Properties>
</file>