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ED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岳阳市岳阳楼区五里中学</w:t>
      </w:r>
    </w:p>
    <w:p w14:paraId="43AF4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1B0EB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F72D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58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E448C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48E6D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（一）职能职责</w:t>
      </w:r>
    </w:p>
    <w:p w14:paraId="3D8FC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宣传贯彻执行党和国家的教育方针、政策、法律法规等，坚持依法治教、依法治学，贯彻执行岳阳楼区教育局的行政规章制度。</w:t>
      </w:r>
    </w:p>
    <w:p w14:paraId="1CF51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维护学校的教学秩序，为学生创造良好的学习环境。</w:t>
      </w:r>
    </w:p>
    <w:p w14:paraId="6BD2D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积极稳妥地推进教育改革，按教育规律办事，不断提高教育质量。</w:t>
      </w:r>
    </w:p>
    <w:p w14:paraId="3675E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根据学校规模，设置学校管理机构，建立健全各项规章制度和岗位责任制。</w:t>
      </w:r>
    </w:p>
    <w:p w14:paraId="6C178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坚持教书育人，服务育人，环境育人方针，加强对学生的思想品德教育，使学生的德智体全面发展。</w:t>
      </w:r>
    </w:p>
    <w:p w14:paraId="45933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抓好教师队伍建设，使每个教师都热心于教育事业。</w:t>
      </w:r>
    </w:p>
    <w:p w14:paraId="645AD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做好安全防范，保证学生的人身安全。</w:t>
      </w:r>
    </w:p>
    <w:p w14:paraId="57BB6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3E598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156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95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61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175D166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年度工作内容</w:t>
      </w:r>
    </w:p>
    <w:p w14:paraId="51821205">
      <w:pPr>
        <w:pStyle w:val="9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1.队伍建设</w:t>
      </w:r>
    </w:p>
    <w:p w14:paraId="3B44C0A3">
      <w:pPr>
        <w:pStyle w:val="9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  <w:t>党建引领：开展主题党员日活动，强化党风廉政建设。</w:t>
      </w:r>
    </w:p>
    <w:p w14:paraId="6319A209">
      <w:pPr>
        <w:pStyle w:val="9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  <w:t>师德师风：专项整治有偿补课、教辅乱象；全员签订“十严禁”承诺书。</w:t>
      </w:r>
    </w:p>
    <w:p w14:paraId="5086A8CB">
      <w:pPr>
        <w:pStyle w:val="9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  <w:t>业务提升：组织课标学习、课堂研讨；实施“青蓝工程”，骨干教师引领青年教师。</w:t>
      </w:r>
    </w:p>
    <w:p w14:paraId="0868B9FC">
      <w:pPr>
        <w:pStyle w:val="9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2.德育实践</w:t>
      </w:r>
    </w:p>
    <w:p w14:paraId="41F589CD">
      <w:pPr>
        <w:pStyle w:val="9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活动育人：社区服务、烈士陵园祭扫、研学实践；拔河、跳绳赛强化团队意识；“跳蚤市场义卖”捐助重病学生2万元（提升财商、公益心）。</w:t>
      </w:r>
    </w:p>
    <w:p w14:paraId="3967C5E2">
      <w:pPr>
        <w:pStyle w:val="9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 教学提质</w:t>
      </w:r>
    </w:p>
    <w:p w14:paraId="19A9520B">
      <w:pPr>
        <w:pStyle w:val="9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集团化协作：物理、历史学科与十二中集体备课、示范课交流；每月评选3名优秀教师+1名优秀班主任。</w:t>
      </w:r>
    </w:p>
    <w:p w14:paraId="5040C5B2">
      <w:pPr>
        <w:pStyle w:val="9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课堂改革：推行“教为主导、学为主体”高效课堂模式；狠抓基本功训练（教材解读、练习设计）。</w:t>
      </w:r>
    </w:p>
    <w:p w14:paraId="15597ADC">
      <w:pPr>
        <w:pStyle w:val="9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 安全护航</w:t>
      </w:r>
    </w:p>
    <w:p w14:paraId="7C31CB1D">
      <w:pPr>
        <w:pStyle w:val="9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立体安防：24小时保安值守+一键报警系统；值日行政、警察、城管联动护学。</w:t>
      </w:r>
    </w:p>
    <w:p w14:paraId="47682DE0">
      <w:pPr>
        <w:pStyle w:val="9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预防教育：开展防欺凌、防溺水等10类安全教育；不定期无预案演练提升应急能力。</w:t>
      </w:r>
    </w:p>
    <w:p w14:paraId="560F9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1EF472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6942B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一般般公共预算基本支出2024年度总支出2270.24万元，其中：</w:t>
      </w:r>
    </w:p>
    <w:p w14:paraId="1F4C9E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人员经费1889.43万元：包括基本工资633.01万元；津贴补贴20.88万元；奖金245.85万元；绩效工资386.06万元；机关事业单位基本养老保险缴费185.62万元；职工基本医疗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0"/>
          <w:szCs w:val="30"/>
        </w:rPr>
        <w:t>保险缴费79.63万元；其他社会保障缴费17.58万元；住房公积金140.21万元；其他工资福利支出41.08万元；退休费68.56万元；生活补助70.65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</w:rPr>
        <w:t>奖励金0.3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。 </w:t>
      </w:r>
    </w:p>
    <w:p w14:paraId="583DB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380.81万元：包括办公费5.37万元；印刷费5.81万元；水费2.22万元；电费11.02万元；邮电费3.40万元；维修（护）费20.67万元；会议费2.41万元；培训费1.14万元；专用材料费30.44万元；专用燃料费180.67万元；劳务费1.51万元；其他商品和服务支出109.81万元；办公设备购置6.34万元。</w:t>
      </w:r>
    </w:p>
    <w:p w14:paraId="3797487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325A361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一般公共预算项目支出2024年度总支出128.74万元，其中：</w:t>
      </w:r>
    </w:p>
    <w:p w14:paraId="78FC285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津贴补贴12.89万元；奖金2.25万元；绩效工资1.91万元；其他社会保障缴费1.02万元；其他工资福利支出6.52万元；水费1.89万元；维修（护）费0.49万元；专用材料费1.66万元；工会经费15.3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万元；其他商品和服务支出2.68万元；抚恤金5.86万元；生活补助64.03万元；奖励金3.28万元；办公设备购置1.39万元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；大型修缮7.57万元。</w:t>
      </w:r>
    </w:p>
    <w:p w14:paraId="28F258D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336C1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基金预算支出0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万元。</w:t>
      </w:r>
    </w:p>
    <w:p w14:paraId="26C83EC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66182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4A701CB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4D51F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3D50E4B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6CD23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2024年，我校在楼区教育局党委的坚强领导下，不忘初心，砥砺前行，学校各项工作平稳有序，取得高质量的发展和进步。下面，结合我校2024年学校自主发展目标向各位领导汇报如下：</w:t>
      </w:r>
    </w:p>
    <w:p w14:paraId="385E3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3CC0E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3AFC8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教导处实行每月讲评制度，评选3名优秀教师和1名优秀班主任,充分发挥先进引领作用；</w:t>
      </w:r>
    </w:p>
    <w:p w14:paraId="79471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2024年九年级中考总成绩744.84分，居同规模学校前列；</w:t>
      </w:r>
    </w:p>
    <w:p w14:paraId="67BF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配备2名保安，实行24小时值班制度，一键式报警系统、高清摄像头，确保整个校园无死角，做到了全年无一例学生意外伤害事故发生；</w:t>
      </w:r>
    </w:p>
    <w:p w14:paraId="06D46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展防欺凌、防溺水等10类安全教育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。</w:t>
      </w:r>
    </w:p>
    <w:p w14:paraId="1C2560C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质量指标</w:t>
      </w:r>
    </w:p>
    <w:p w14:paraId="14640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组织各学科教师进行课堂教学研讨，深挖自身资源，根据教育局德育行事历定期召开班主任会议、加强班主任的业务培训。引导教师苦练内功，促进教师专业化成长;</w:t>
      </w:r>
    </w:p>
    <w:p w14:paraId="77F68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学生在节俭、自立、社交、理财、语言表达、环保等方面都有不同程度的提升；</w:t>
      </w:r>
    </w:p>
    <w:p w14:paraId="2754E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切实加强保学控辍工作，开学之初全体教师向校长签订了责任状，各班班主任为第一责任人，“三残”生全部在籍就读，确保不流失一名学生；</w:t>
      </w:r>
    </w:p>
    <w:p w14:paraId="3D0F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对学生开展安全预防教育，使学生接受比较系统的防性侵、防溺水、防欺凌、防交通事故、防触电、防食物中毒、防火、防盗、防震、防煤气中毒等安全知识和技能教育。提高学生的安全意识、安全防范能力和自我保护能力。</w:t>
      </w:r>
    </w:p>
    <w:p w14:paraId="7A3F7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0901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及时完成在校学生的春、秋两季教学计划，及时发放教职工的工资及福利待遇，一年内圆满完成了各项工作。</w:t>
      </w:r>
    </w:p>
    <w:p w14:paraId="0A993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7ED37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全年运行经费控制在2398.98万元。</w:t>
      </w:r>
    </w:p>
    <w:p w14:paraId="58CBD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353AD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1DB12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432B7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2、社会效益</w:t>
      </w:r>
    </w:p>
    <w:p w14:paraId="24D3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师德师风建设，打造清廉校园，进一步巩固中小学违规征订教辅材料专项整治工作成果，开展在职教师有偿补课、家教家养的专项整治工作，营造风清气正的教育环境。全面落实“双减”政策，进一步减轻学生课业负担，把问题留在课堂，向课堂要质量。切实做到守住底线、不踩红线、不碰高压线，向学校纪检负责人递交“十严禁”承诺书，规范老师的行为，营造风清气正的校园；</w:t>
      </w:r>
    </w:p>
    <w:p w14:paraId="7D7C3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一年来，学校组织学生进社区和养老中心奉献爱心；烈士陵园祭扫英烈；去研学基地进行实践活动，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为期三天的“跳蚤市场，助学义卖”活动，热闹非凡，全校师生共向我校2302班罹患淋巴癌学生捐助2万元，体现出了师生的公益心态；</w:t>
      </w:r>
    </w:p>
    <w:p w14:paraId="6AC1B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对学生开展安全预防教育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提高学生的安全意识、安全防范能力和自我保护能力。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在制订完善的演练方案的基础上，学校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不提前通知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安全演练，增强师生安全意识，提升师生应对突发事件的能力。</w:t>
      </w:r>
    </w:p>
    <w:p w14:paraId="03436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41054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通过学校的宣传教育，提高了全体教职人员及学生的生态保护意识。</w:t>
      </w:r>
    </w:p>
    <w:p w14:paraId="053A3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275EC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我校坚持政治理论学习和业务能力培养,坚持建立正确有效的学校价值体系和文化,创建浓厚的学习氛围。    </w:t>
      </w:r>
    </w:p>
    <w:p w14:paraId="68F8D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（三）满意度指标完成情况分析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ab/>
      </w:r>
    </w:p>
    <w:p w14:paraId="27D67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社会公众满意度</w:t>
      </w:r>
    </w:p>
    <w:p w14:paraId="0502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学生满意度96%，家长满意度98%，教职工满意度97%。</w:t>
      </w:r>
    </w:p>
    <w:p w14:paraId="527C3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存在的问题及原因分析</w:t>
      </w:r>
    </w:p>
    <w:p w14:paraId="3ECC5883">
      <w:pPr>
        <w:pStyle w:val="5"/>
        <w:keepNext w:val="0"/>
        <w:keepLines w:val="0"/>
        <w:widowControl/>
        <w:suppressLineNumbers w:val="0"/>
        <w:spacing w:before="0" w:beforeAutospacing="0" w:after="48" w:afterAutospacing="0" w:line="343" w:lineRule="atLeast"/>
        <w:ind w:left="0" w:right="0" w:firstLine="600" w:firstLineChars="200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师资结构失衡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：教师平均年龄49岁，结构性缺编，教学创新乏力,原因：高龄教师占比高，新生代补充不足。</w:t>
      </w:r>
    </w:p>
    <w:p w14:paraId="59E2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进一步提升质量意识，真抓实干促教学质量的提升，主要是因为部分教师对教学质量提升的重视程度不够，在教学工作中缺乏主动性和积极性，此外，教学评价体系不科学，未充分考虑教学质量的多维度因素，也在一定程度上影响了教师对质量意识的提升。</w:t>
      </w:r>
    </w:p>
    <w:p w14:paraId="66AD4C9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536BD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改进措施：</w:t>
      </w:r>
    </w:p>
    <w:p w14:paraId="220BF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1.继续加强领导班子建设，建设“管理型”班子队伍。</w:t>
      </w:r>
    </w:p>
    <w:p w14:paraId="3E15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2.建设“专家型”、“学者型”教师队伍。</w:t>
      </w:r>
    </w:p>
    <w:p w14:paraId="7D42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3.加强教师队伍建设，提高教师教育教学水平。</w:t>
      </w:r>
    </w:p>
    <w:p w14:paraId="29F78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4.建立健全激励机制，激发教师和学生的积极性和创造性。</w:t>
      </w:r>
    </w:p>
    <w:p w14:paraId="07BBC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工作建议：</w:t>
      </w:r>
    </w:p>
    <w:p w14:paraId="6CC2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加强教师培训，提升教师专业素养；完善教学质量监督与评估机制；建立科学的教师绩效考核制度，激励教师积极提升教学质量；鼓励教师开展教学研究与创新实践，营造良好的教学氛围。</w:t>
      </w:r>
    </w:p>
    <w:p w14:paraId="2DB4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建立学科薄弱点数据库，针对性设计分层练习；开设学科增值班（利用课后服务时间）。</w:t>
      </w:r>
    </w:p>
    <w:p w14:paraId="36F22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288BD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638F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5FF56B56">
      <w:pPr>
        <w:pStyle w:val="9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2E9F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1BBB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5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2、单位整体支出绩效自评表</w:t>
      </w:r>
    </w:p>
    <w:p w14:paraId="3AA685F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CF3E0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E772A2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2D662B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A40EC99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0A101F0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B28E0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D3BEB32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9D2D9B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0BD823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5889BF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5364CD6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538E7D2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6B0F1A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82142B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8BD317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967793F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105591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D2CD963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4C35E0F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700803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164AA7F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DDD4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B68A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5698D141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181B9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258B2725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4D99DA7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岳阳市岳阳楼区五里中学</w:t>
            </w:r>
          </w:p>
        </w:tc>
      </w:tr>
      <w:tr w14:paraId="1E914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AF274F8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04D3B08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CF0E4F4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539181E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7C39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95C8A96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0E55C93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D149F4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0E030C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161DF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3DDCCA4F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8EAF969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CDE145C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0C5E76C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59FED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C339EFA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47F9E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D685A8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AB6851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C17F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BC44B0B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A5ECDE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AF405C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C720D0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86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710F081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5A020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D31819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B51F24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C0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6BA1ABB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0C5665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0AB960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9E36A6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31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36D48AE8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48BC70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ED5618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A2F1C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69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4BFDB439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A203F1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50A11F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8E30EA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21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ABB6CD8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2E8907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CE56ED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60EB3A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128.74</w:t>
            </w:r>
          </w:p>
        </w:tc>
      </w:tr>
      <w:tr w14:paraId="32890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58CCB7D3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3772F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72BA28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753740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128.74</w:t>
            </w:r>
          </w:p>
        </w:tc>
      </w:tr>
      <w:tr w14:paraId="6C78F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751BA6C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7DF8C1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7FAEF0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A25D3E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A9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8B3DF28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3CBD51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E72284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E6A7ED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B7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E6B1563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A48824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171.2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54A1E3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108.38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D92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380.81</w:t>
            </w:r>
          </w:p>
        </w:tc>
      </w:tr>
      <w:tr w14:paraId="2FFF1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3286E71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3B0762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7.44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847383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274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5.37</w:t>
            </w:r>
          </w:p>
        </w:tc>
      </w:tr>
      <w:tr w14:paraId="57CC6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E6B0B01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A03599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8.9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C8FE7B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15.21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645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13.24</w:t>
            </w:r>
          </w:p>
        </w:tc>
      </w:tr>
      <w:tr w14:paraId="7DEB7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0BD6C1B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78BA8B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7.65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CAFB39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85E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3.55</w:t>
            </w:r>
          </w:p>
        </w:tc>
      </w:tr>
      <w:tr w14:paraId="3364F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19CF7E2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874AC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122.65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F36BEB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09C9E6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114.76</w:t>
            </w:r>
          </w:p>
        </w:tc>
      </w:tr>
      <w:tr w14:paraId="61A3C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B60D702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6D25263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66D08F2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DBD9C1B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77E47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33C944D9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666C8A34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78763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075C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B93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775B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17376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7EAC8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4CB9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1A60B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559C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614F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E508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2D3C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28D4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0CDDA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645659D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30DF2898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2E2F28A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3E4E335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347A04F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0224F74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216AA67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D9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80A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13DF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开展“节约型机关”创建，建章立制，从严控制“三公”经费，提倡节俭，倡导环保节能。</w:t>
            </w:r>
          </w:p>
        </w:tc>
      </w:tr>
    </w:tbl>
    <w:p w14:paraId="0E62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6AAE9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51A69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刘梦楼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0730-8870811  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6E3B6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56FE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6C8B7B98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5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09"/>
        <w:gridCol w:w="1167"/>
        <w:gridCol w:w="1200"/>
        <w:gridCol w:w="691"/>
        <w:gridCol w:w="786"/>
        <w:gridCol w:w="1286"/>
      </w:tblGrid>
      <w:tr w14:paraId="107B6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4" w:type="dxa"/>
            <w:noWrap w:val="0"/>
            <w:vAlign w:val="top"/>
          </w:tcPr>
          <w:p w14:paraId="5E86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30" w:type="dxa"/>
            <w:gridSpan w:val="8"/>
            <w:noWrap w:val="0"/>
            <w:vAlign w:val="top"/>
          </w:tcPr>
          <w:p w14:paraId="3A7700C9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岳阳市岳阳楼区五里中学</w:t>
            </w:r>
          </w:p>
        </w:tc>
      </w:tr>
      <w:tr w14:paraId="453CA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2816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93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03745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2B40D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1739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12AB5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7" w:type="dxa"/>
            <w:noWrap w:val="0"/>
            <w:vAlign w:val="center"/>
          </w:tcPr>
          <w:p w14:paraId="7870A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00" w:type="dxa"/>
            <w:noWrap w:val="0"/>
            <w:vAlign w:val="center"/>
          </w:tcPr>
          <w:p w14:paraId="5E60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91" w:type="dxa"/>
            <w:noWrap w:val="0"/>
            <w:vAlign w:val="center"/>
          </w:tcPr>
          <w:p w14:paraId="5DA4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86" w:type="dxa"/>
            <w:noWrap w:val="0"/>
            <w:vAlign w:val="center"/>
          </w:tcPr>
          <w:p w14:paraId="4947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86" w:type="dxa"/>
            <w:noWrap w:val="0"/>
            <w:vAlign w:val="center"/>
          </w:tcPr>
          <w:p w14:paraId="43AE0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910A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43F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21AB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09" w:type="dxa"/>
            <w:noWrap w:val="0"/>
            <w:vAlign w:val="center"/>
          </w:tcPr>
          <w:p w14:paraId="593B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2238.41</w:t>
            </w:r>
          </w:p>
        </w:tc>
        <w:tc>
          <w:tcPr>
            <w:tcW w:w="1167" w:type="dxa"/>
            <w:noWrap w:val="0"/>
            <w:vAlign w:val="center"/>
          </w:tcPr>
          <w:p w14:paraId="10BD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2404.98</w:t>
            </w:r>
          </w:p>
        </w:tc>
        <w:tc>
          <w:tcPr>
            <w:tcW w:w="1200" w:type="dxa"/>
            <w:noWrap w:val="0"/>
            <w:vAlign w:val="center"/>
          </w:tcPr>
          <w:p w14:paraId="3D15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2398.98</w:t>
            </w:r>
          </w:p>
        </w:tc>
        <w:tc>
          <w:tcPr>
            <w:tcW w:w="691" w:type="dxa"/>
            <w:noWrap w:val="0"/>
            <w:vAlign w:val="center"/>
          </w:tcPr>
          <w:p w14:paraId="3CD0A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6" w:type="dxa"/>
            <w:noWrap w:val="0"/>
            <w:vAlign w:val="center"/>
          </w:tcPr>
          <w:p w14:paraId="79E78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99.75%</w:t>
            </w:r>
          </w:p>
        </w:tc>
        <w:tc>
          <w:tcPr>
            <w:tcW w:w="1286" w:type="dxa"/>
            <w:noWrap w:val="0"/>
            <w:vAlign w:val="center"/>
          </w:tcPr>
          <w:p w14:paraId="1E5C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9.98</w:t>
            </w:r>
          </w:p>
        </w:tc>
      </w:tr>
      <w:tr w14:paraId="08409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012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5A20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941D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58493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A2E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6B609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2126.77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4D9DB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2270.24</w:t>
            </w:r>
          </w:p>
        </w:tc>
      </w:tr>
      <w:tr w14:paraId="414DF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57A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7D14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074A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128.74</w:t>
            </w:r>
          </w:p>
        </w:tc>
      </w:tr>
      <w:tr w14:paraId="712E6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7EC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010B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5B385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64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18C31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6F39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278.21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3EBDA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80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319A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939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0B7F0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321E3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6F6B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6F0E8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628C9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7367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top"/>
          </w:tcPr>
          <w:p w14:paraId="119B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教学质量提升</w:t>
            </w:r>
          </w:p>
          <w:p w14:paraId="06D49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目标2：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安全保障</w:t>
            </w:r>
          </w:p>
          <w:p w14:paraId="40BEA381">
            <w:pPr>
              <w:keepNext w:val="0"/>
              <w:keepLines w:val="0"/>
              <w:pageBreakBefore w:val="0"/>
              <w:widowControl w:val="0"/>
              <w:tabs>
                <w:tab w:val="center" w:pos="23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目标3：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控辍保学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ab/>
            </w:r>
          </w:p>
          <w:p w14:paraId="710CB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目标4：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德育实效性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6CB16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中考成绩居同规模校前列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，达成</w:t>
            </w:r>
          </w:p>
          <w:p w14:paraId="7E2EE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全年零事故，安防体系全覆盖</w:t>
            </w:r>
          </w:p>
          <w:p w14:paraId="5DB88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“三残生”100%在籍就读</w:t>
            </w:r>
          </w:p>
          <w:p w14:paraId="29267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义卖等实践活动获学生能力多维提升</w:t>
            </w:r>
          </w:p>
        </w:tc>
      </w:tr>
      <w:tr w14:paraId="5922B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47F0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F5C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1A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39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A5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99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A2C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8D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430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85A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E8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F03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102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06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4F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1F87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4090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4055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3CB2C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18936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 w14:paraId="357A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7" w:type="dxa"/>
            <w:noWrap w:val="0"/>
            <w:vAlign w:val="center"/>
          </w:tcPr>
          <w:p w14:paraId="1C84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00" w:type="dxa"/>
            <w:noWrap w:val="0"/>
            <w:vAlign w:val="center"/>
          </w:tcPr>
          <w:p w14:paraId="21139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91" w:type="dxa"/>
            <w:noWrap w:val="0"/>
            <w:vAlign w:val="center"/>
          </w:tcPr>
          <w:p w14:paraId="21A6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86" w:type="dxa"/>
            <w:noWrap w:val="0"/>
            <w:vAlign w:val="center"/>
          </w:tcPr>
          <w:p w14:paraId="0FC01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86" w:type="dxa"/>
            <w:noWrap w:val="0"/>
            <w:vAlign w:val="center"/>
          </w:tcPr>
          <w:p w14:paraId="7361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54B4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03A9F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42C9C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3A83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DEBB7B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 w14:paraId="37E4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学生招生数量</w:t>
            </w:r>
          </w:p>
        </w:tc>
        <w:tc>
          <w:tcPr>
            <w:tcW w:w="1167" w:type="dxa"/>
            <w:noWrap w:val="0"/>
            <w:vAlign w:val="center"/>
          </w:tcPr>
          <w:p w14:paraId="6C65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200" w:type="dxa"/>
            <w:noWrap w:val="0"/>
            <w:vAlign w:val="center"/>
          </w:tcPr>
          <w:p w14:paraId="1178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691" w:type="dxa"/>
            <w:noWrap w:val="0"/>
            <w:vAlign w:val="center"/>
          </w:tcPr>
          <w:p w14:paraId="2245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6" w:type="dxa"/>
            <w:noWrap w:val="0"/>
            <w:vAlign w:val="center"/>
          </w:tcPr>
          <w:p w14:paraId="59E7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86" w:type="dxa"/>
            <w:noWrap w:val="0"/>
            <w:vAlign w:val="center"/>
          </w:tcPr>
          <w:p w14:paraId="1AAD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41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1D0D3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739A0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4C0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0A38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加教师培训人次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6E8B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348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48D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6" w:type="dxa"/>
            <w:shd w:val="clear" w:color="auto" w:fill="auto"/>
            <w:noWrap w:val="0"/>
            <w:vAlign w:val="center"/>
          </w:tcPr>
          <w:p w14:paraId="413D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86" w:type="dxa"/>
            <w:noWrap w:val="0"/>
            <w:vAlign w:val="center"/>
          </w:tcPr>
          <w:p w14:paraId="33B61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36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46D1CA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2BFF0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DA9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0522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448A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883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780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6" w:type="dxa"/>
            <w:shd w:val="clear" w:color="auto" w:fill="auto"/>
            <w:noWrap w:val="0"/>
            <w:vAlign w:val="center"/>
          </w:tcPr>
          <w:p w14:paraId="1405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86" w:type="dxa"/>
            <w:noWrap w:val="0"/>
            <w:vAlign w:val="center"/>
          </w:tcPr>
          <w:p w14:paraId="1600C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25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3CB92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D2FD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861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 w14:paraId="5860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1167" w:type="dxa"/>
            <w:noWrap w:val="0"/>
            <w:vAlign w:val="center"/>
          </w:tcPr>
          <w:p w14:paraId="19EE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2663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91" w:type="dxa"/>
            <w:noWrap w:val="0"/>
            <w:vAlign w:val="center"/>
          </w:tcPr>
          <w:p w14:paraId="58B1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6" w:type="dxa"/>
            <w:noWrap w:val="0"/>
            <w:vAlign w:val="center"/>
          </w:tcPr>
          <w:p w14:paraId="0AF3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86" w:type="dxa"/>
            <w:noWrap w:val="0"/>
            <w:vAlign w:val="center"/>
          </w:tcPr>
          <w:p w14:paraId="603AE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8E2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9D7A1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8C7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974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3E23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设备购置及时率</w:t>
            </w:r>
          </w:p>
        </w:tc>
        <w:tc>
          <w:tcPr>
            <w:tcW w:w="1167" w:type="dxa"/>
            <w:noWrap w:val="0"/>
            <w:vAlign w:val="center"/>
          </w:tcPr>
          <w:p w14:paraId="2E83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16E7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91" w:type="dxa"/>
            <w:noWrap w:val="0"/>
            <w:vAlign w:val="center"/>
          </w:tcPr>
          <w:p w14:paraId="7852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6" w:type="dxa"/>
            <w:noWrap w:val="0"/>
            <w:vAlign w:val="center"/>
          </w:tcPr>
          <w:p w14:paraId="489D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86" w:type="dxa"/>
            <w:noWrap w:val="0"/>
            <w:vAlign w:val="center"/>
          </w:tcPr>
          <w:p w14:paraId="66A01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7A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46257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F77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18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1B06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设备验收合格率</w:t>
            </w:r>
          </w:p>
        </w:tc>
        <w:tc>
          <w:tcPr>
            <w:tcW w:w="1167" w:type="dxa"/>
            <w:noWrap w:val="0"/>
            <w:vAlign w:val="center"/>
          </w:tcPr>
          <w:p w14:paraId="7617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01F3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91" w:type="dxa"/>
            <w:noWrap w:val="0"/>
            <w:vAlign w:val="center"/>
          </w:tcPr>
          <w:p w14:paraId="0352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6" w:type="dxa"/>
            <w:noWrap w:val="0"/>
            <w:vAlign w:val="center"/>
          </w:tcPr>
          <w:p w14:paraId="7485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86" w:type="dxa"/>
            <w:noWrap w:val="0"/>
            <w:vAlign w:val="center"/>
          </w:tcPr>
          <w:p w14:paraId="2EF1D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89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71A5E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4447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25F7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 w14:paraId="43D7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年度内完成目标</w:t>
            </w:r>
          </w:p>
        </w:tc>
        <w:tc>
          <w:tcPr>
            <w:tcW w:w="1167" w:type="dxa"/>
            <w:noWrap w:val="0"/>
            <w:vAlign w:val="center"/>
          </w:tcPr>
          <w:p w14:paraId="7818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1200" w:type="dxa"/>
            <w:noWrap w:val="0"/>
            <w:vAlign w:val="center"/>
          </w:tcPr>
          <w:p w14:paraId="1E5F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2024.12.31之前完成</w:t>
            </w:r>
          </w:p>
        </w:tc>
        <w:tc>
          <w:tcPr>
            <w:tcW w:w="691" w:type="dxa"/>
            <w:noWrap w:val="0"/>
            <w:vAlign w:val="center"/>
          </w:tcPr>
          <w:p w14:paraId="60B3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6" w:type="dxa"/>
            <w:noWrap w:val="0"/>
            <w:vAlign w:val="center"/>
          </w:tcPr>
          <w:p w14:paraId="0EE8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noWrap w:val="0"/>
            <w:vAlign w:val="center"/>
          </w:tcPr>
          <w:p w14:paraId="1278E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83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D285A5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3BD24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5B0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E4A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2AD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A3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45A4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B6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09" w:type="dxa"/>
            <w:noWrap w:val="0"/>
            <w:vAlign w:val="center"/>
          </w:tcPr>
          <w:p w14:paraId="2B8A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67" w:type="dxa"/>
            <w:noWrap w:val="0"/>
            <w:vAlign w:val="center"/>
          </w:tcPr>
          <w:p w14:paraId="7C29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00" w:type="dxa"/>
            <w:noWrap w:val="0"/>
            <w:vAlign w:val="center"/>
          </w:tcPr>
          <w:p w14:paraId="6633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91" w:type="dxa"/>
            <w:noWrap w:val="0"/>
            <w:vAlign w:val="center"/>
          </w:tcPr>
          <w:p w14:paraId="69B7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6" w:type="dxa"/>
            <w:noWrap w:val="0"/>
            <w:vAlign w:val="center"/>
          </w:tcPr>
          <w:p w14:paraId="029C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86" w:type="dxa"/>
            <w:noWrap w:val="0"/>
            <w:vAlign w:val="center"/>
          </w:tcPr>
          <w:p w14:paraId="6940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3C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0C120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98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50BB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5133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dxa"/>
            <w:noWrap w:val="0"/>
            <w:vAlign w:val="center"/>
          </w:tcPr>
          <w:p w14:paraId="17ED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改善城区教育教学水平</w:t>
            </w:r>
          </w:p>
        </w:tc>
        <w:tc>
          <w:tcPr>
            <w:tcW w:w="1167" w:type="dxa"/>
            <w:noWrap w:val="0"/>
            <w:vAlign w:val="center"/>
          </w:tcPr>
          <w:p w14:paraId="68E3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1200" w:type="dxa"/>
            <w:noWrap w:val="0"/>
            <w:vAlign w:val="center"/>
          </w:tcPr>
          <w:p w14:paraId="5AFC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691" w:type="dxa"/>
            <w:noWrap w:val="0"/>
            <w:vAlign w:val="center"/>
          </w:tcPr>
          <w:p w14:paraId="7245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6" w:type="dxa"/>
            <w:noWrap w:val="0"/>
            <w:vAlign w:val="center"/>
          </w:tcPr>
          <w:p w14:paraId="20ED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noWrap w:val="0"/>
            <w:vAlign w:val="center"/>
          </w:tcPr>
          <w:p w14:paraId="0CAB6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92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C2FE2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16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BF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 w14:paraId="11EC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167" w:type="dxa"/>
            <w:noWrap w:val="0"/>
            <w:vAlign w:val="center"/>
          </w:tcPr>
          <w:p w14:paraId="4119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效果明显</w:t>
            </w:r>
          </w:p>
        </w:tc>
        <w:tc>
          <w:tcPr>
            <w:tcW w:w="1200" w:type="dxa"/>
            <w:noWrap w:val="0"/>
            <w:vAlign w:val="center"/>
          </w:tcPr>
          <w:p w14:paraId="2B48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效果明显</w:t>
            </w:r>
          </w:p>
        </w:tc>
        <w:tc>
          <w:tcPr>
            <w:tcW w:w="691" w:type="dxa"/>
            <w:noWrap w:val="0"/>
            <w:vAlign w:val="center"/>
          </w:tcPr>
          <w:p w14:paraId="1053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6" w:type="dxa"/>
            <w:noWrap w:val="0"/>
            <w:vAlign w:val="center"/>
          </w:tcPr>
          <w:p w14:paraId="3C37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noWrap w:val="0"/>
            <w:vAlign w:val="center"/>
          </w:tcPr>
          <w:p w14:paraId="76E54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FBB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976D8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955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2201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09" w:type="dxa"/>
            <w:noWrap w:val="0"/>
            <w:vAlign w:val="center"/>
          </w:tcPr>
          <w:p w14:paraId="2837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167" w:type="dxa"/>
            <w:noWrap w:val="0"/>
            <w:vAlign w:val="center"/>
          </w:tcPr>
          <w:p w14:paraId="349B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00" w:type="dxa"/>
            <w:noWrap w:val="0"/>
            <w:vAlign w:val="center"/>
          </w:tcPr>
          <w:p w14:paraId="418B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691" w:type="dxa"/>
            <w:noWrap w:val="0"/>
            <w:vAlign w:val="center"/>
          </w:tcPr>
          <w:p w14:paraId="1E0C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6" w:type="dxa"/>
            <w:noWrap w:val="0"/>
            <w:vAlign w:val="center"/>
          </w:tcPr>
          <w:p w14:paraId="3600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noWrap w:val="0"/>
            <w:vAlign w:val="center"/>
          </w:tcPr>
          <w:p w14:paraId="05BC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76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D1771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E97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D9C7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3F247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7D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 w14:paraId="66E0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167" w:type="dxa"/>
            <w:noWrap w:val="0"/>
            <w:vAlign w:val="center"/>
          </w:tcPr>
          <w:p w14:paraId="0C71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noWrap w:val="0"/>
            <w:vAlign w:val="center"/>
          </w:tcPr>
          <w:p w14:paraId="2F63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691" w:type="dxa"/>
            <w:noWrap w:val="0"/>
            <w:vAlign w:val="center"/>
          </w:tcPr>
          <w:p w14:paraId="1628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6" w:type="dxa"/>
            <w:noWrap w:val="0"/>
            <w:vAlign w:val="center"/>
          </w:tcPr>
          <w:p w14:paraId="7556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86" w:type="dxa"/>
            <w:noWrap w:val="0"/>
            <w:vAlign w:val="center"/>
          </w:tcPr>
          <w:p w14:paraId="1DCE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E2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B2E80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61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1C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3E78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67" w:type="dxa"/>
            <w:noWrap w:val="0"/>
            <w:vAlign w:val="center"/>
          </w:tcPr>
          <w:p w14:paraId="5848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noWrap w:val="0"/>
            <w:vAlign w:val="center"/>
          </w:tcPr>
          <w:p w14:paraId="76BB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691" w:type="dxa"/>
            <w:noWrap w:val="0"/>
            <w:vAlign w:val="center"/>
          </w:tcPr>
          <w:p w14:paraId="09DB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noWrap w:val="0"/>
            <w:vAlign w:val="center"/>
          </w:tcPr>
          <w:p w14:paraId="2685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6" w:type="dxa"/>
            <w:noWrap w:val="0"/>
            <w:vAlign w:val="center"/>
          </w:tcPr>
          <w:p w14:paraId="0384D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80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4A40D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6D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6D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108C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教职工满意度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4F65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284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cyan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7662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shd w:val="clear" w:color="auto" w:fill="auto"/>
            <w:noWrap w:val="0"/>
            <w:vAlign w:val="center"/>
          </w:tcPr>
          <w:p w14:paraId="1B87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6" w:type="dxa"/>
            <w:shd w:val="clear" w:color="auto" w:fill="auto"/>
            <w:noWrap w:val="0"/>
            <w:vAlign w:val="center"/>
          </w:tcPr>
          <w:p w14:paraId="4664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31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91" w:type="dxa"/>
            <w:gridSpan w:val="6"/>
            <w:noWrap w:val="0"/>
            <w:vAlign w:val="center"/>
          </w:tcPr>
          <w:p w14:paraId="14C14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691" w:type="dxa"/>
            <w:noWrap w:val="0"/>
            <w:vAlign w:val="center"/>
          </w:tcPr>
          <w:p w14:paraId="4B11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86" w:type="dxa"/>
            <w:noWrap w:val="0"/>
            <w:vAlign w:val="center"/>
          </w:tcPr>
          <w:p w14:paraId="400D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99.97</w:t>
            </w:r>
          </w:p>
        </w:tc>
        <w:tc>
          <w:tcPr>
            <w:tcW w:w="1286" w:type="dxa"/>
            <w:noWrap w:val="0"/>
            <w:vAlign w:val="center"/>
          </w:tcPr>
          <w:p w14:paraId="7F24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F5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yellow"/>
          <w14:textFill>
            <w14:solidFill>
              <w14:schemeClr w14:val="tx1"/>
            </w14:solidFill>
          </w14:textFill>
        </w:rPr>
      </w:pPr>
    </w:p>
    <w:p w14:paraId="35DCF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刘梦楼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0730-8870811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2FC3A845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932B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ACAB4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CACAB4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C217F5C"/>
    <w:multiLevelType w:val="singleLevel"/>
    <w:tmpl w:val="1C217F5C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2F17701F"/>
    <w:multiLevelType w:val="singleLevel"/>
    <w:tmpl w:val="2F17701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17E00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52520E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51D1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4032</Words>
  <Characters>4556</Characters>
  <Lines>0</Lines>
  <Paragraphs>0</Paragraphs>
  <TotalTime>0</TotalTime>
  <ScaleCrop>false</ScaleCrop>
  <LinksUpToDate>false</LinksUpToDate>
  <CharactersWithSpaces>4625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2025-07-14T02:28:49Z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