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AA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岳阳市岳阳楼区北港小学</w:t>
      </w:r>
    </w:p>
    <w:p w14:paraId="69D26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2653B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FF32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7DAB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F7FD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346E6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3D8FC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宣传贯彻执行党和国家的教育方针、政策、法律法规等，坚持依法治教、依法治学，贯彻执行岳阳楼区教育局的行政规章制度。</w:t>
      </w:r>
    </w:p>
    <w:p w14:paraId="1CF51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维护学校的教学秩序，为学生创造良好的学习环境。</w:t>
      </w:r>
    </w:p>
    <w:p w14:paraId="6BD2D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积极稳妥地推进教育改革，按教育规律办事，不断提高教育质量。</w:t>
      </w:r>
    </w:p>
    <w:p w14:paraId="3675E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根据学校规模，设置学校管理机构，建立健全各项规章制度和岗位责任制。</w:t>
      </w:r>
    </w:p>
    <w:p w14:paraId="6C178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坚持教书育人，服务育人，环境育人方针，加强对学生的思想品德教育，使学生的德智体全面发展。</w:t>
      </w:r>
    </w:p>
    <w:p w14:paraId="45933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抓好教师队伍建设，使每个教师都热心于教育事业。</w:t>
      </w:r>
    </w:p>
    <w:p w14:paraId="3B580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做好安全防范，保证学生的人身安全。</w:t>
      </w:r>
    </w:p>
    <w:p w14:paraId="60B6C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6397C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190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184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52C8CAA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年度工作内容</w:t>
      </w:r>
    </w:p>
    <w:p w14:paraId="75D61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1.党建引领：开展“四亮”主题活动（如抗洪驰援）、清廉学校建设、强化师德师风；规范组织生活，严抓腐败防治；对外宣传成果丰硕（省级报道2篇、市区级92篇，公众号推文89篇）。</w:t>
      </w:r>
    </w:p>
    <w:p w14:paraId="31FDB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2.平安校园：建立安全双防体系、首遇责任制；开展心理健康、防性侵等安全教育；落实“1530”安全机制，全年零重大事故。</w:t>
      </w:r>
    </w:p>
    <w:p w14:paraId="3434C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3.立德树人：构建德育考核体系，开展班主任沙龙、微班会；推行“三jing教育”“五星评价”，举办“四节两礼”活动；家校协同（家长委员会、护学行动）。</w:t>
      </w:r>
    </w:p>
    <w:p w14:paraId="37322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4.素质教育：教学督查“一日三巡、一月一检”；实施“十分”教师成长计划，举办学科素养月；开设120+社团，推动“双减”；城乡帮扶（青蓝工程、资源共享）。</w:t>
      </w:r>
    </w:p>
    <w:p w14:paraId="0A6EC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5.后勤保障：财务透明化、规范化管理；优化食堂服务机制，提升师生满意度。</w:t>
      </w:r>
    </w:p>
    <w:p w14:paraId="7A992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6.特色品牌：建设创客基地、书画考级点、羽毛球后备基地；成立区级防性侵教育工作室，推进阅读教育。</w:t>
      </w:r>
      <w:r>
        <w:rPr>
          <w:rFonts w:hint="eastAsia"/>
          <w:lang w:val="en-US" w:eastAsia="zh-CN"/>
        </w:rPr>
        <w:t xml:space="preserve"> </w:t>
      </w:r>
    </w:p>
    <w:p w14:paraId="710C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5945E0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1B764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一般公共预算基本支出2024年度总支出2505.04万元，其中：</w:t>
      </w:r>
    </w:p>
    <w:p w14:paraId="29974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人员经费2204.04万元：包括基本工资583.61万元；津贴补贴100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</w:rPr>
        <w:t>万元；奖金518.93万元；绩效工资415.02万元；机关事业单位基本养老保险缴费192.43万元；职工基本医疗保险缴费77.47万元；其他社会保障缴费12.98万元；住房公积金156.97万元；其他工资福利支出110.59万元；抚恤金1.45万元；生活补助5.2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万元；救济费0.8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0万元；</w:t>
      </w:r>
      <w:r>
        <w:rPr>
          <w:rFonts w:hint="eastAsia" w:ascii="仿宋" w:hAnsi="仿宋" w:eastAsia="仿宋" w:cs="仿宋"/>
          <w:bCs/>
          <w:sz w:val="30"/>
          <w:szCs w:val="30"/>
        </w:rPr>
        <w:t>医疗费补助0.82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</w:rPr>
        <w:t>奖励金19.71万元；其他对个人和家庭的补助8.06万元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62612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301.00万元：包括办公费24.49万元；印刷费22.91万元；水费4.30万元；电费30.74万元；邮电费0.42万元；物业管理费3.81万元；差旅费0.11万元；维修（护）费19.72万元；租赁费1.11万元；培训费7.37万元；专用材料费94.12万元；劳务费20.25万元；委托业务费2.71万元；工会经费30.23万元；福利费9.09万元；其他交通费用0.30万元；办公设备购置0.44万元；专用设备购置28.88万元。</w:t>
      </w:r>
    </w:p>
    <w:p w14:paraId="0B206B1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45E9BB3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一般公共预算项目支出2024年度总支出755.22万元，其中：</w:t>
      </w:r>
    </w:p>
    <w:p w14:paraId="1D52BC9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基本工资98.86万元；津贴补贴25.13万元；奖金106.33万元；伙食补助费34.8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万元；绩效工资118.64万元；职工基本医疗保险缴费33.7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万元；住房公积金49.03万元；其他工资福利支出117.01万元；办公费10.82万元；印刷费34.35万元；咨询费2.9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万元；水费1.44万元；电费29.38万元；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邮电费0.05万元；</w:t>
      </w:r>
      <w:r>
        <w:rPr>
          <w:rFonts w:hint="eastAsia" w:ascii="仿宋" w:hAnsi="仿宋" w:eastAsia="仿宋" w:cs="仿宋"/>
          <w:bCs/>
          <w:sz w:val="30"/>
          <w:szCs w:val="30"/>
        </w:rPr>
        <w:t>物业管理费18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万元；维修（护）费17.93万元；会议费4.91万元；培训费6.04万元；专用材料费18.94万元；专用燃料费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0.12万元；</w:t>
      </w:r>
      <w:r>
        <w:rPr>
          <w:rFonts w:hint="eastAsia" w:ascii="仿宋" w:hAnsi="仿宋" w:eastAsia="仿宋" w:cs="仿宋"/>
          <w:bCs/>
          <w:sz w:val="30"/>
          <w:szCs w:val="30"/>
        </w:rPr>
        <w:t>劳务费0.42万元；工会经费11.1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万元；其他交通费用0.55万元；其他商品和服务支出10.89万元；退休费2.23万元；生活补助1.65万元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198E10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00E14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基金预算支出0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万元。</w:t>
      </w:r>
    </w:p>
    <w:p w14:paraId="09F9589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5CEB4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47F92F2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6D407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2353D91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3E6D8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2024年，我校在楼区教育局党委的坚强领导下，不忘初心，砥砺前行，学校各项工作平稳有序，取得高质量的发展和进步。下面，结合我校2024年学校自主发展目标向各位领导汇报如下：</w:t>
      </w:r>
    </w:p>
    <w:p w14:paraId="6134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5C59C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5ABC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发表新闻报道47篇，其中省级报道2篇，区市级报道45篇，公众号推文89篇，视频号22条，校园电视台共拍摄学生活动、教育宣传视频15条；</w:t>
      </w:r>
    </w:p>
    <w:p w14:paraId="2DEC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本年度学校集体荣誉共获得13项，其中有1项省级优秀单位和3项市级荣誉。教师个人获奖国家级1人次，省级52人次，市级101人次，区级57人次。学生个人获奖省级3人次，市级67人次，区级52人次；</w:t>
      </w:r>
    </w:p>
    <w:p w14:paraId="1D0C3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我校建立一日一查、一日三巡、一月一检、一期一评的教学督察机制，充分发挥管理团队效能，为教学工作夯实基础；</w:t>
      </w:r>
    </w:p>
    <w:p w14:paraId="7C211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2、质量指标</w:t>
      </w:r>
    </w:p>
    <w:p w14:paraId="106C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我校坚持内聚力量、严肃风纪，严抓群众身边可能存在的腐败之风，切实做到了及时发现，积极整改，营造我校风清气正的校园环境；</w:t>
      </w:r>
    </w:p>
    <w:p w14:paraId="2B701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以多种形式开展心理健康、防性侵、交通安全等宣传教育，家校互联构筑安全网，多方提高学生法律意识与自我防范能力；</w:t>
      </w:r>
    </w:p>
    <w:p w14:paraId="0753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实行双重隐患管理体系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，实现本年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无重大安全事故发生，犯罪率控制在“零”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；</w:t>
      </w:r>
    </w:p>
    <w:p w14:paraId="41414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我校教师与家长携手同行,每月一次北小家长委员会例会、北斗星好父母家长讲堂让家长深度参与学校管理，志愿者护学行动更为学生上下学提供安全通道；</w:t>
      </w:r>
    </w:p>
    <w:p w14:paraId="1E635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开展各学科素养月活动精彩纷呈，以“优秀作业展”的方式树立榜样，激励学生积极参与各级各类活动与竞赛，促进学生全面发展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。</w:t>
      </w:r>
    </w:p>
    <w:p w14:paraId="64653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0FF97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5B8C3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42D8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全年运行经费控制在3260.26万元。</w:t>
      </w:r>
    </w:p>
    <w:p w14:paraId="519B6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31797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4B7DC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62A7D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0647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我校党员时时事事处处发挥先锋模范作用，积极开展“风雨同舟 携手抗洪”驰援华容团洲活动等“四亮”主题活动；</w:t>
      </w:r>
    </w:p>
    <w:p w14:paraId="01F5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对外宣传方面，我校加大宣传力度，利用新闻报道、宣传栏、公众号、视频号、校园电视台等平台宣传学校工作，本年度截至目前共计发表新闻报道47篇；</w:t>
      </w:r>
    </w:p>
    <w:p w14:paraId="49329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全面排查并劝返非法校外培训机构，仔细核查平台数据，坚决落实控辍保学重点工作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；</w:t>
      </w:r>
    </w:p>
    <w:p w14:paraId="5273E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在重大的资金使用上，学校通过行政会议讨论，并向全体教师公示，接受群众监督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；</w:t>
      </w:r>
    </w:p>
    <w:p w14:paraId="1279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为响应国家安全教育号召，营造安全、和谐的校园环境，我校以推广普及未成年人防性侵教育为己任，成立了区级防性侵教育工作室。本年度，多项特色教育扎实推进，为学生的全面发展提供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有力支持。</w:t>
      </w:r>
    </w:p>
    <w:p w14:paraId="09131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6DEFD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通过学校的宣传教育，提高了全体教职人员及学生的生态保护意识。</w:t>
      </w:r>
    </w:p>
    <w:p w14:paraId="274BF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16A41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我校坚持政治理论学习和业务能力培养,坚持建立正确有效的学校价值体系和文化,创建浓厚的学习氛围。    </w:t>
      </w:r>
    </w:p>
    <w:p w14:paraId="3D646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323B7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21E49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家长满意度98%，学生满意度98%。</w:t>
      </w:r>
    </w:p>
    <w:p w14:paraId="6F3E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74E9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1.行政事务负担重，各级事务频繁进校园，挤占教师教学核心工作时间。</w:t>
      </w:r>
    </w:p>
    <w:p w14:paraId="59E2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2.校园安全压力大，学生人数多（疏散空间不足）+校外流动商贩聚集，管理难度攀升。</w:t>
      </w:r>
    </w:p>
    <w:p w14:paraId="16ECDDD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2F4D2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6C4B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1.建立“事务进校园”审核机制，精简非教学任务；增设行政辅助岗。</w:t>
      </w:r>
    </w:p>
    <w:p w14:paraId="3E15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2.联合城管整治校外商贩；优化错峰放学方案；申请扩建疏散场地。</w:t>
      </w:r>
    </w:p>
    <w:p w14:paraId="7D42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3.建设校园安全AI监控平台，实时预警拥堵区域；推广电子巡课系统。</w:t>
      </w:r>
    </w:p>
    <w:p w14:paraId="600A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4.加强家校合作，共同促进学生的全面发展。</w:t>
      </w:r>
    </w:p>
    <w:p w14:paraId="27AE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5.建立健全激励机制，激发教师和学生的积极性和创造性。</w:t>
      </w:r>
    </w:p>
    <w:p w14:paraId="72014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2EADA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2266B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7625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4E19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B5D21BB">
      <w:pPr>
        <w:pStyle w:val="9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FB55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71123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3AA685F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F3E0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E772A2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2D662B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A40EC9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A101F0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B28E0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D3BEB3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9D2D9B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BD823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5889BF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5364CD6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538E7D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6B0F1A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82142B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8BD317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2CD963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4C35E0F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700803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1BFA6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037FD9B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CA0DA7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57E0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6B4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23205C0C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2A73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86E39F3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92858F7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岳阳市岳阳楼区北港小学</w:t>
            </w:r>
          </w:p>
        </w:tc>
      </w:tr>
      <w:tr w14:paraId="34CC4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879CF73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47411A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ECA1FE4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B6B30E7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176EA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5B4465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0446806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00916C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0FAE6C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3691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7ACC088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B1ADA21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BD656D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76EFCA4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456F2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FA0BB45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6F174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CC5EF7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D953C8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B36E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A7B34ED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D7C2A1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25C44F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A5F46C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E3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7F76AC2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1107BB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131092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4F23D5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CF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918C4EB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07EF20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FD31B8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13A95E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5D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02184B0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94041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B66D29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96272E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6E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4C894B3C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A3D82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E5A8A7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6618CC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BD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FCF6FBF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494F1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DB5F67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755.22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A5F379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755.22</w:t>
            </w:r>
          </w:p>
        </w:tc>
      </w:tr>
      <w:tr w14:paraId="63E26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0F0C3BA7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3F8A60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1BA375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755.22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3778DB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755.22 </w:t>
            </w:r>
          </w:p>
        </w:tc>
      </w:tr>
      <w:tr w14:paraId="29892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53C9291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0EB72A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ED2421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025790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22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95C9C7B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7F74F1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3BC822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5B8656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75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BB1087D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FC1565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B8D202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E4B0FB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301.00</w:t>
            </w:r>
          </w:p>
        </w:tc>
      </w:tr>
      <w:tr w14:paraId="49DF5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B85D4D8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9BC09F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6D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0BA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24.49</w:t>
            </w:r>
          </w:p>
        </w:tc>
      </w:tr>
      <w:tr w14:paraId="4E546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0206419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72F5F6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1AD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386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35.15</w:t>
            </w:r>
          </w:p>
        </w:tc>
      </w:tr>
      <w:tr w14:paraId="485A5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BC2FD90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2CFD5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79A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8B2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7.37</w:t>
            </w:r>
          </w:p>
        </w:tc>
      </w:tr>
      <w:tr w14:paraId="4CCFB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F3F9AED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050BB9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EAC173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183.82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E656B3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183.82</w:t>
            </w:r>
          </w:p>
        </w:tc>
      </w:tr>
      <w:tr w14:paraId="71C3F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261C3C8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212972C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DB766AA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10C6E35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6E1A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55214E4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5A03BA6C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B5A6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2C0B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5B72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FA2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74C2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08B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7AD6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264D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5DD6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3604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533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4CE8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5F3B0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151EF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72043EE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4E9E0C8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214E099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04E43DA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3FCD1E5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265EF3A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2B1B7A1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F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B2B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F39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3FEE6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3BAE1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0C2B3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张晓晖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0730-8720835 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1117D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274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48FD5A9D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5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594"/>
        <w:gridCol w:w="892"/>
        <w:gridCol w:w="1277"/>
      </w:tblGrid>
      <w:tr w14:paraId="60D65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0017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30" w:type="dxa"/>
            <w:gridSpan w:val="8"/>
            <w:noWrap w:val="0"/>
            <w:vAlign w:val="top"/>
          </w:tcPr>
          <w:p w14:paraId="0D990CE1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岳阳市岳阳楼区北港小学</w:t>
            </w:r>
          </w:p>
        </w:tc>
      </w:tr>
      <w:tr w14:paraId="5BBC1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773D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75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61B0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4F59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7E2B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6E44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58CA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3B9E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594" w:type="dxa"/>
            <w:noWrap w:val="0"/>
            <w:vAlign w:val="center"/>
          </w:tcPr>
          <w:p w14:paraId="57A6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92" w:type="dxa"/>
            <w:noWrap w:val="0"/>
            <w:vAlign w:val="center"/>
          </w:tcPr>
          <w:p w14:paraId="59EFC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7" w:type="dxa"/>
            <w:noWrap w:val="0"/>
            <w:vAlign w:val="center"/>
          </w:tcPr>
          <w:p w14:paraId="51E3C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0915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AC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1B7A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0855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2610.93</w:t>
            </w:r>
          </w:p>
        </w:tc>
        <w:tc>
          <w:tcPr>
            <w:tcW w:w="1167" w:type="dxa"/>
            <w:noWrap w:val="0"/>
            <w:vAlign w:val="center"/>
          </w:tcPr>
          <w:p w14:paraId="23E9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3581.29</w:t>
            </w:r>
          </w:p>
        </w:tc>
        <w:tc>
          <w:tcPr>
            <w:tcW w:w="1200" w:type="dxa"/>
            <w:noWrap w:val="0"/>
            <w:vAlign w:val="center"/>
          </w:tcPr>
          <w:p w14:paraId="443D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3260.26</w:t>
            </w:r>
          </w:p>
        </w:tc>
        <w:tc>
          <w:tcPr>
            <w:tcW w:w="594" w:type="dxa"/>
            <w:noWrap w:val="0"/>
            <w:vAlign w:val="center"/>
          </w:tcPr>
          <w:p w14:paraId="3838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92" w:type="dxa"/>
            <w:noWrap w:val="0"/>
            <w:vAlign w:val="center"/>
          </w:tcPr>
          <w:p w14:paraId="2251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91.03%</w:t>
            </w:r>
          </w:p>
        </w:tc>
        <w:tc>
          <w:tcPr>
            <w:tcW w:w="1277" w:type="dxa"/>
            <w:noWrap w:val="0"/>
            <w:vAlign w:val="center"/>
          </w:tcPr>
          <w:p w14:paraId="04DB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9.10</w:t>
            </w:r>
          </w:p>
        </w:tc>
      </w:tr>
      <w:tr w14:paraId="09680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CB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65B1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1C1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65710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CB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6A3C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2785.10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4B3B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2505.04</w:t>
            </w:r>
          </w:p>
        </w:tc>
      </w:tr>
      <w:tr w14:paraId="31AD1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DBB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7204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EDF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755.22</w:t>
            </w:r>
          </w:p>
        </w:tc>
      </w:tr>
      <w:tr w14:paraId="7274B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7B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4E96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3D5C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41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5509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7DEF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796.19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7847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9F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1619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57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4217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6BA1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5000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58CB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F321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66AB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2500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目标1.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党建引领</w:t>
            </w:r>
          </w:p>
          <w:p w14:paraId="0A1F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目标2.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平安建设</w:t>
            </w:r>
          </w:p>
          <w:p w14:paraId="43C7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目标3.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教学质量</w:t>
            </w:r>
          </w:p>
          <w:p w14:paraId="5933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目标4.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特色发展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CB1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1.超额完成：获省级荣誉1项、市区级12项，宣传成效显著。</w:t>
            </w:r>
          </w:p>
          <w:p w14:paraId="2A73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2.全面达成：零重大安全事故，犯罪率控零。</w:t>
            </w:r>
          </w:p>
          <w:p w14:paraId="4923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3.基础夯实：教学督查机制有效运行，控辍保学落实。</w:t>
            </w:r>
          </w:p>
          <w:p w14:paraId="6E14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4.持续推进：新增区级防性侵工作室，社团覆盖率达100%。</w:t>
            </w:r>
          </w:p>
        </w:tc>
      </w:tr>
      <w:tr w14:paraId="4E3EF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6C96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08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07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F3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45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13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36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53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6A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34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C9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D51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9A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39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88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4CB3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733C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64B9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26F5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7FF6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0143C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416F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680E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594" w:type="dxa"/>
            <w:noWrap w:val="0"/>
            <w:vAlign w:val="center"/>
          </w:tcPr>
          <w:p w14:paraId="5082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92" w:type="dxa"/>
            <w:noWrap w:val="0"/>
            <w:vAlign w:val="center"/>
          </w:tcPr>
          <w:p w14:paraId="62E1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7" w:type="dxa"/>
            <w:noWrap w:val="0"/>
            <w:vAlign w:val="center"/>
          </w:tcPr>
          <w:p w14:paraId="786B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7929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551BC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8CD7F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04BF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216D4C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1A71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召开党员会议次数</w:t>
            </w:r>
          </w:p>
        </w:tc>
        <w:tc>
          <w:tcPr>
            <w:tcW w:w="1167" w:type="dxa"/>
            <w:noWrap w:val="0"/>
            <w:vAlign w:val="center"/>
          </w:tcPr>
          <w:p w14:paraId="12DC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≧10次</w:t>
            </w:r>
          </w:p>
        </w:tc>
        <w:tc>
          <w:tcPr>
            <w:tcW w:w="1200" w:type="dxa"/>
            <w:noWrap w:val="0"/>
            <w:vAlign w:val="center"/>
          </w:tcPr>
          <w:p w14:paraId="102A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14次</w:t>
            </w:r>
          </w:p>
        </w:tc>
        <w:tc>
          <w:tcPr>
            <w:tcW w:w="594" w:type="dxa"/>
            <w:noWrap w:val="0"/>
            <w:vAlign w:val="center"/>
          </w:tcPr>
          <w:p w14:paraId="42DC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dxa"/>
            <w:noWrap w:val="0"/>
            <w:vAlign w:val="center"/>
          </w:tcPr>
          <w:p w14:paraId="1F88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noWrap w:val="0"/>
            <w:vAlign w:val="center"/>
          </w:tcPr>
          <w:p w14:paraId="37EF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F8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8EFB2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58A1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A7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2148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1C0F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63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12次</w:t>
            </w:r>
          </w:p>
        </w:tc>
        <w:tc>
          <w:tcPr>
            <w:tcW w:w="594" w:type="dxa"/>
            <w:shd w:val="clear" w:color="auto" w:fill="auto"/>
            <w:noWrap w:val="0"/>
            <w:vAlign w:val="center"/>
          </w:tcPr>
          <w:p w14:paraId="154D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495D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noWrap w:val="0"/>
            <w:vAlign w:val="center"/>
          </w:tcPr>
          <w:p w14:paraId="04D22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67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A1488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A475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7DF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281C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5F85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105人次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0D5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112人次</w:t>
            </w:r>
          </w:p>
        </w:tc>
        <w:tc>
          <w:tcPr>
            <w:tcW w:w="594" w:type="dxa"/>
            <w:shd w:val="clear" w:color="auto" w:fill="auto"/>
            <w:noWrap w:val="0"/>
            <w:vAlign w:val="center"/>
          </w:tcPr>
          <w:p w14:paraId="4247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1EC2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noWrap w:val="0"/>
            <w:vAlign w:val="center"/>
          </w:tcPr>
          <w:p w14:paraId="75F2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A5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260FF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624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60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2085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平安校园知识宣传覆盖率</w:t>
            </w:r>
          </w:p>
        </w:tc>
        <w:tc>
          <w:tcPr>
            <w:tcW w:w="1167" w:type="dxa"/>
            <w:noWrap w:val="0"/>
            <w:vAlign w:val="center"/>
          </w:tcPr>
          <w:p w14:paraId="5F59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≧100%</w:t>
            </w:r>
          </w:p>
        </w:tc>
        <w:tc>
          <w:tcPr>
            <w:tcW w:w="1200" w:type="dxa"/>
            <w:noWrap w:val="0"/>
            <w:vAlign w:val="center"/>
          </w:tcPr>
          <w:p w14:paraId="17A9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100%</w:t>
            </w:r>
          </w:p>
        </w:tc>
        <w:tc>
          <w:tcPr>
            <w:tcW w:w="594" w:type="dxa"/>
            <w:noWrap w:val="0"/>
            <w:vAlign w:val="center"/>
          </w:tcPr>
          <w:p w14:paraId="7786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92" w:type="dxa"/>
            <w:noWrap w:val="0"/>
            <w:vAlign w:val="center"/>
          </w:tcPr>
          <w:p w14:paraId="6C60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743C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B2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B0AE6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DF44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FB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585B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校园安全事故发生率</w:t>
            </w:r>
          </w:p>
        </w:tc>
        <w:tc>
          <w:tcPr>
            <w:tcW w:w="1167" w:type="dxa"/>
            <w:noWrap w:val="0"/>
            <w:vAlign w:val="center"/>
          </w:tcPr>
          <w:p w14:paraId="32DE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≦0%</w:t>
            </w:r>
          </w:p>
        </w:tc>
        <w:tc>
          <w:tcPr>
            <w:tcW w:w="1200" w:type="dxa"/>
            <w:noWrap w:val="0"/>
            <w:vAlign w:val="center"/>
          </w:tcPr>
          <w:p w14:paraId="150D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0%</w:t>
            </w:r>
          </w:p>
        </w:tc>
        <w:tc>
          <w:tcPr>
            <w:tcW w:w="594" w:type="dxa"/>
            <w:noWrap w:val="0"/>
            <w:vAlign w:val="center"/>
          </w:tcPr>
          <w:p w14:paraId="382C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dxa"/>
            <w:noWrap w:val="0"/>
            <w:vAlign w:val="center"/>
          </w:tcPr>
          <w:p w14:paraId="7AB3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noWrap w:val="0"/>
            <w:vAlign w:val="center"/>
          </w:tcPr>
          <w:p w14:paraId="5D6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A9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37EA9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D6C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6294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4BFE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足额发放教职工工资福利</w:t>
            </w:r>
          </w:p>
        </w:tc>
        <w:tc>
          <w:tcPr>
            <w:tcW w:w="1167" w:type="dxa"/>
            <w:noWrap w:val="0"/>
            <w:vAlign w:val="center"/>
          </w:tcPr>
          <w:p w14:paraId="7B76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1626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594" w:type="dxa"/>
            <w:noWrap w:val="0"/>
            <w:vAlign w:val="center"/>
          </w:tcPr>
          <w:p w14:paraId="5449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dxa"/>
            <w:noWrap w:val="0"/>
            <w:vAlign w:val="center"/>
          </w:tcPr>
          <w:p w14:paraId="082A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noWrap w:val="0"/>
            <w:vAlign w:val="center"/>
          </w:tcPr>
          <w:p w14:paraId="0CB06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3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34290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3F2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761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71E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教师培训完成时间</w:t>
            </w:r>
          </w:p>
        </w:tc>
        <w:tc>
          <w:tcPr>
            <w:tcW w:w="1167" w:type="dxa"/>
            <w:noWrap w:val="0"/>
            <w:vAlign w:val="center"/>
          </w:tcPr>
          <w:p w14:paraId="15FB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2024.12.31之前</w:t>
            </w:r>
          </w:p>
        </w:tc>
        <w:tc>
          <w:tcPr>
            <w:tcW w:w="1200" w:type="dxa"/>
            <w:noWrap w:val="0"/>
            <w:vAlign w:val="center"/>
          </w:tcPr>
          <w:p w14:paraId="1452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2024.12.31之前完成</w:t>
            </w:r>
          </w:p>
        </w:tc>
        <w:tc>
          <w:tcPr>
            <w:tcW w:w="594" w:type="dxa"/>
            <w:noWrap w:val="0"/>
            <w:vAlign w:val="center"/>
          </w:tcPr>
          <w:p w14:paraId="3207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92" w:type="dxa"/>
            <w:noWrap w:val="0"/>
            <w:vAlign w:val="center"/>
          </w:tcPr>
          <w:p w14:paraId="0EB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38E8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35B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85515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7AEBA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DF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8C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109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665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8C6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B2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15AD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67" w:type="dxa"/>
            <w:noWrap w:val="0"/>
            <w:vAlign w:val="center"/>
          </w:tcPr>
          <w:p w14:paraId="62D7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00" w:type="dxa"/>
            <w:noWrap w:val="0"/>
            <w:vAlign w:val="center"/>
          </w:tcPr>
          <w:p w14:paraId="0A82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94" w:type="dxa"/>
            <w:noWrap w:val="0"/>
            <w:vAlign w:val="center"/>
          </w:tcPr>
          <w:p w14:paraId="574B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92" w:type="dxa"/>
            <w:noWrap w:val="0"/>
            <w:vAlign w:val="center"/>
          </w:tcPr>
          <w:p w14:paraId="68D7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77" w:type="dxa"/>
            <w:noWrap w:val="0"/>
            <w:vAlign w:val="center"/>
          </w:tcPr>
          <w:p w14:paraId="4828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A0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8AAB8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091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7936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6E4D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3B86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提高教师队伍建设，提高教育教学质量</w:t>
            </w:r>
          </w:p>
        </w:tc>
        <w:tc>
          <w:tcPr>
            <w:tcW w:w="1167" w:type="dxa"/>
            <w:noWrap w:val="0"/>
            <w:vAlign w:val="center"/>
          </w:tcPr>
          <w:p w14:paraId="4B49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00" w:type="dxa"/>
            <w:noWrap w:val="0"/>
            <w:vAlign w:val="center"/>
          </w:tcPr>
          <w:p w14:paraId="608B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594" w:type="dxa"/>
            <w:noWrap w:val="0"/>
            <w:vAlign w:val="center"/>
          </w:tcPr>
          <w:p w14:paraId="0387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noWrap w:val="0"/>
            <w:vAlign w:val="center"/>
          </w:tcPr>
          <w:p w14:paraId="4DD6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6155F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A5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C0581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AA91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081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1F8E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167" w:type="dxa"/>
            <w:noWrap w:val="0"/>
            <w:vAlign w:val="center"/>
          </w:tcPr>
          <w:p w14:paraId="6150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00" w:type="dxa"/>
            <w:noWrap w:val="0"/>
            <w:vAlign w:val="center"/>
          </w:tcPr>
          <w:p w14:paraId="5AF1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594" w:type="dxa"/>
            <w:noWrap w:val="0"/>
            <w:vAlign w:val="center"/>
          </w:tcPr>
          <w:p w14:paraId="7BF9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noWrap w:val="0"/>
            <w:vAlign w:val="center"/>
          </w:tcPr>
          <w:p w14:paraId="267F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3433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2B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668F8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9D0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53AA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4B3A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做到学校管理规范化，推动教育内涵发展</w:t>
            </w:r>
          </w:p>
        </w:tc>
        <w:tc>
          <w:tcPr>
            <w:tcW w:w="1167" w:type="dxa"/>
            <w:noWrap w:val="0"/>
            <w:vAlign w:val="center"/>
          </w:tcPr>
          <w:p w14:paraId="2713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1200" w:type="dxa"/>
            <w:noWrap w:val="0"/>
            <w:vAlign w:val="center"/>
          </w:tcPr>
          <w:p w14:paraId="3BD8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594" w:type="dxa"/>
            <w:noWrap w:val="0"/>
            <w:vAlign w:val="center"/>
          </w:tcPr>
          <w:p w14:paraId="45DD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noWrap w:val="0"/>
            <w:vAlign w:val="center"/>
          </w:tcPr>
          <w:p w14:paraId="5F22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477D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8C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0ED59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7D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508A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0A86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FF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7C1C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167" w:type="dxa"/>
            <w:noWrap w:val="0"/>
            <w:vAlign w:val="center"/>
          </w:tcPr>
          <w:p w14:paraId="3845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2A9A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594" w:type="dxa"/>
            <w:noWrap w:val="0"/>
            <w:vAlign w:val="center"/>
          </w:tcPr>
          <w:p w14:paraId="2B91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92" w:type="dxa"/>
            <w:noWrap w:val="0"/>
            <w:vAlign w:val="center"/>
          </w:tcPr>
          <w:p w14:paraId="765E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2332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79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6EE45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60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44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4118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3804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0DF4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594" w:type="dxa"/>
            <w:noWrap w:val="0"/>
            <w:vAlign w:val="center"/>
          </w:tcPr>
          <w:p w14:paraId="4763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92" w:type="dxa"/>
            <w:noWrap w:val="0"/>
            <w:vAlign w:val="center"/>
          </w:tcPr>
          <w:p w14:paraId="0628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1D9E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0A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42C9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594" w:type="dxa"/>
            <w:noWrap w:val="0"/>
            <w:vAlign w:val="center"/>
          </w:tcPr>
          <w:p w14:paraId="2442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92" w:type="dxa"/>
            <w:noWrap w:val="0"/>
            <w:vAlign w:val="center"/>
          </w:tcPr>
          <w:p w14:paraId="31EE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99.10</w:t>
            </w:r>
          </w:p>
        </w:tc>
        <w:tc>
          <w:tcPr>
            <w:tcW w:w="1277" w:type="dxa"/>
            <w:noWrap w:val="0"/>
            <w:vAlign w:val="center"/>
          </w:tcPr>
          <w:p w14:paraId="0CF7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DE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0F9B3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张晓晖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>0730-8720835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36B7BA40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B4F5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59A4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59A4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5B5E53A"/>
    <w:multiLevelType w:val="singleLevel"/>
    <w:tmpl w:val="75B5E53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37809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73E3F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7559E5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A0EFB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4080</Words>
  <Characters>4667</Characters>
  <Lines>0</Lines>
  <Paragraphs>0</Paragraphs>
  <TotalTime>0</TotalTime>
  <ScaleCrop>false</ScaleCrop>
  <LinksUpToDate>false</LinksUpToDate>
  <CharactersWithSpaces>4729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2025-07-14T03:00:30Z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