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B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岳阳市南湖小学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0FF2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  <w:bookmarkStart w:id="0" w:name="_GoBack"/>
      <w:bookmarkEnd w:id="0"/>
    </w:p>
    <w:p w14:paraId="57EE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B8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22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FE3B1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10326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47BD0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6497E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68182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本单位内设机构包括：行政办公室、教务处、德育处、后勤处、工会。根据编办核定，我校共有教职工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209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151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647B869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年度工作内容</w:t>
      </w:r>
    </w:p>
    <w:p w14:paraId="54D1E8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</w:rPr>
        <w:t>文化内涵升级</w:t>
      </w:r>
    </w:p>
    <w:p w14:paraId="2A834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硬件投入：450万元改造升级新建篮球场、队室、美术室、电子屏；改造莲华书吧、荷锄园等文化空间。</w:t>
      </w:r>
    </w:p>
    <w:p w14:paraId="15E50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文化浸润：学生参与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</w:rPr>
        <w:t>一池二园三路四区五楼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</w:rPr>
        <w:t>命名；培养校园文化解说员，强化主人翁意识。</w:t>
      </w:r>
    </w:p>
    <w:p w14:paraId="63B00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2.教师队伍赋能</w:t>
      </w:r>
    </w:p>
    <w:p w14:paraId="72548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师德建设：签订廉洁从教承诺书，创建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</w:rPr>
        <w:t>清廉校园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</w:rPr>
        <w:t>；"清风正气进校园"主题教育全覆盖。</w:t>
      </w:r>
    </w:p>
    <w:p w14:paraId="336C6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专业成长：</w:t>
      </w:r>
    </w:p>
    <w:p w14:paraId="69413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基地校引领：语文/数学/音乐基地校辐射教研；</w:t>
      </w:r>
    </w:p>
    <w:p w14:paraId="57840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青蓝工程：师徒结对考核制度化（汇报课竞赛）；</w:t>
      </w:r>
    </w:p>
    <w:p w14:paraId="615C8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教师社团：读书会/书画班/运动社团激活活力。</w:t>
      </w:r>
    </w:p>
    <w:p w14:paraId="3790D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3.特色品牌深化</w:t>
      </w:r>
    </w:p>
    <w:p w14:paraId="3564F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劳动教育：升级荷锄园、金禽舍等基地；系统构建种植/烘焙/厨艺课程体系；承办市级劳动教育研讨会及国培项目。</w:t>
      </w:r>
    </w:p>
    <w:p w14:paraId="7D2E4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阅读教育：优化莲华书吧、朗读亭等阅读空间；整本书阅读+《经典诵读》校本教材全覆盖；邀请作家进校园，打造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</w:rPr>
        <w:t>荷文化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</w:rPr>
        <w:t>专栏。</w:t>
      </w:r>
    </w:p>
    <w:p w14:paraId="2A954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4.常规管理提质</w:t>
      </w:r>
    </w:p>
    <w:p w14:paraId="31FB8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制度完善：修订《常规管理制度》《考核方案》；</w:t>
      </w:r>
    </w:p>
    <w:p w14:paraId="052BD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精细落实：课后服务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</w:rPr>
        <w:t>每日通报制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</w:rPr>
        <w:t>；食堂志愿服务流程化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；</w:t>
      </w:r>
    </w:p>
    <w:p w14:paraId="6476E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安全创新：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</w:rPr>
        <w:t>防溺水歌舞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</w:rPr>
        <w:t>获省级推广。</w:t>
      </w:r>
    </w:p>
    <w:p w14:paraId="00E7C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5.学生全面发展</w:t>
      </w:r>
    </w:p>
    <w:p w14:paraId="64AAF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德育活动：20余场主题升旗仪式+心理健康讲座；</w:t>
      </w:r>
    </w:p>
    <w:p w14:paraId="343AF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社团课程：全年开设200+社团班（动漫/街舞/童诗等）。</w:t>
      </w:r>
    </w:p>
    <w:p w14:paraId="62A1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20065D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69B4B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一般公共预算基本支出2024年度总支出2171.98万元，其中：</w:t>
      </w:r>
    </w:p>
    <w:p w14:paraId="12A21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人员经费2019.1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万元：包括基本工资546.32万元；津贴补贴48.53万元；奖金372.11万元；伙食补助费45.71万元；绩效工资324.6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机关事业单位基本养老保险缴费189.71万元；职工基本医疗保险缴费78.16万元；其他社会保障缴费14.82万元；住房公积金142.28万元；其他工资福利支出50.75万元；退休费197.77万元；奖励金3.84万元；其他对个人和家庭的补助4.5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6EB21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152.88万元：包括办公费23.44万元；印刷费3.33万元；水费8.97万元；电费17.75万元；邮电费0.84万元；差旅费0.56万元；维修（护）费18.88万元；租赁费0.16万元；会议费0.06万元；培训费5.73万元；专用材料费11.96万元；劳务费30.35万元；工会经费20.11万元；其他商品和服务支出10.74万元。</w:t>
      </w:r>
    </w:p>
    <w:p w14:paraId="42445E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2F20095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一般公共预算项目支出2024年度总支出954.22万元，其中：</w:t>
      </w:r>
    </w:p>
    <w:p w14:paraId="05510DE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基本工资130.3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0"/>
          <w:szCs w:val="30"/>
        </w:rPr>
        <w:t>万元；津贴补贴1.97万元；奖金38.67万元；绩效工资43.33万元；机关事业单位基本养老保险缴费22.35万元；职工基本医疗保险缴费8.82万元；其他社会保障缴费4.3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万元；住房公积金17.07万元；其他工资福利支出25.82万元；办公费0.2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万元；印刷费2.54万元；水费5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万元；物业管理费1.4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万元；维修（护）费1.69万元；专用材料费399.06万元；劳务费1.07万元；工会经费31.41万元；其他商品和服务支出177.1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万元；专用设备购置0.97万元；大型修缮25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；其他资本性支出11.13万元。</w:t>
      </w:r>
    </w:p>
    <w:p w14:paraId="0E1169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3A940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2C17E3C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081A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61D0EE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5F8F8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55E482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0DD1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5336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6E410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503C46C3">
      <w:pPr>
        <w:pStyle w:val="5"/>
        <w:keepNext w:val="0"/>
        <w:keepLines w:val="0"/>
        <w:widowControl/>
        <w:suppressLineNumbers w:val="0"/>
        <w:spacing w:before="0" w:beforeAutospacing="0" w:after="48" w:afterAutospacing="0" w:line="343" w:lineRule="atLeast"/>
        <w:ind w:left="0" w:right="0" w:firstLine="600" w:firstLineChars="200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学校在经济下行，经费困难的情况下，多方筹措，全力争取上级部门支持，先后投入近450万元经费，改造升级新建篮球场、队室、美术室、电子屏；改造莲华书吧、荷锄园等文化空间；</w:t>
      </w:r>
    </w:p>
    <w:p w14:paraId="7A719CFD">
      <w:pPr>
        <w:pStyle w:val="5"/>
        <w:keepNext w:val="0"/>
        <w:keepLines w:val="0"/>
        <w:widowControl/>
        <w:suppressLineNumbers w:val="0"/>
        <w:spacing w:before="0" w:beforeAutospacing="0" w:after="48" w:afterAutospacing="0" w:line="343" w:lineRule="atLeast"/>
        <w:ind w:left="0" w:right="0" w:firstLine="600" w:firstLineChars="200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结合学校实际情况和学生需求，开设了丰富多彩的社团课程，如动漫美术、儿童剧、童诗欣赏与创造、合唱、街舞、花样跳绳、篮球等。上半年有27个类别103个社团班，下半年有31个类别102个社团班。</w:t>
      </w:r>
    </w:p>
    <w:p w14:paraId="2C9356C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质量指标</w:t>
      </w:r>
    </w:p>
    <w:p w14:paraId="5C66FB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新建篮球场、队室、美术室、田径场主席台电子屏，改造升级了莲华书吧、荷锄园、沁芳园及厨艺教室，校园面貌焕然一新；</w:t>
      </w:r>
    </w:p>
    <w:p w14:paraId="351F8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深入挖掘学校历史底蕴和文化内涵，通过移栽紫藤、移放“小号少年”、悬挂字画、张贴标语、举办讲座等形式，营造浓厚的校园文化氛围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04CDD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签下师德承诺书，进行廉洁从教情况自查，针对自查情况立行立改。积极创建“清廉校园”，开展“清风正气进校园 廉洁教育润童心”主题教育系列活动，营造浓厚的清廉氛围，确保教育的公平与纯洁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3F085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教师社团：读书会/书画班/运动社团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，提升教师的专业素养与综合素养，为学校发展注入新的活力。</w:t>
      </w:r>
    </w:p>
    <w:p w14:paraId="78A3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44B83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1BEB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399A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全年运行经费控制在3126.20万元。</w:t>
      </w:r>
    </w:p>
    <w:p w14:paraId="21027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5D5D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1EED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2E07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1736CED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 w:firstLine="600" w:firstLineChars="200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荣获湖南省首届“书香校园”，岳阳市少先队“红领巾奖章”集体三星章，岳阳市思想道德联建共育基地建设先进单位，区中小学优秀作业设计评选优秀组织单位，区集团化办学小学教育教学质量先进单位，“基础教育精品课”遴选活动区级优秀组织单位，六年级语文组、数学组评为2023-2024学年度教学质量先进学科组。教师刘芷宁夺得全市金鹗奖语文学科第一名，教师聂岑岑、刘丽梅、马情、刘昂钰获得“基础教育精品课省级优课”，《国粹经典咏流传》朗诵节目获市级一等奖，汪昕颖、葛宣彤获得湖南省“书香少年”称号，多名师生在报纸杂志发表作品；</w:t>
      </w:r>
    </w:p>
    <w:p w14:paraId="4DDDA48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43" w:lineRule="atLeast"/>
        <w:ind w:left="0" w:right="0" w:firstLine="600" w:firstLineChars="200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打造学校公众号和视频号等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信息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平台，开设“诗画小苑”“荐书官好书分享”等读书专栏，打造师生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“荷文化”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的精品栏目，组织作家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杨鹏、皮朝晖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进校园、书香班级推介等阅读活动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赋予书香校园建设新力量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0461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“防溺水歌舞”被市应急局作为特色节目推向全省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。</w:t>
      </w:r>
    </w:p>
    <w:p w14:paraId="304B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5796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3FBB1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40C1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2A22D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12499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7026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学生满意度96%，家长满意度98%，教职工满意度98%。</w:t>
      </w:r>
    </w:p>
    <w:p w14:paraId="55F1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154A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1.特色课程资源未整合,劳动、阅读独立推进，未开发跨学科融合项目原因：未设立特色课程研发专项组，学科壁垒未打破。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2.运动社团活跃，书画班等参与率低，原因：兴趣驱动缺乏约束。</w:t>
      </w:r>
    </w:p>
    <w:p w14:paraId="2EDC63E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00C3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164FE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1.推行“阅读成长激励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（积分兑换书券）。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2.增加社团激励措施（纳入职称评审加分）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3.进一步加强教师队伍建设，提高教师教育教学水平。</w:t>
      </w:r>
    </w:p>
    <w:p w14:paraId="21E0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4.建立健全激励机制，激发教师和学生的积极性和创造性。</w:t>
      </w:r>
    </w:p>
    <w:p w14:paraId="33F6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424D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1A7C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3D11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67B8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137AABA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F1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708F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4C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98B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A1DB7BC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0FA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630B622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FA3857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岳阳市南湖小学</w:t>
            </w:r>
          </w:p>
        </w:tc>
      </w:tr>
      <w:tr w14:paraId="11C04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BAE48ED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947D3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68253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19C4B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FC11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35AAF7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195947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96FC9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15DC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78E1E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E434626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65C978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B6C67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78C591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598B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6E6063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EFB44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5F7A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FE2B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1AB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B8EE5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0AB3A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94C71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CDF16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8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5402110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FD7BF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22A377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2326E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B9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C121177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F5406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333DFA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6F1B9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4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BCADC8A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94C6D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A9991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4C66E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2B677380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E527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D4177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88DC71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D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50" w:type="dxa"/>
            <w:noWrap w:val="0"/>
            <w:vAlign w:val="top"/>
          </w:tcPr>
          <w:p w14:paraId="74B1D2C9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3AF7B0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9F176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67A85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954.22 </w:t>
            </w:r>
          </w:p>
        </w:tc>
      </w:tr>
      <w:tr w14:paraId="43502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4158E36A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6DB49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5899E1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04BE9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954.22 </w:t>
            </w:r>
          </w:p>
        </w:tc>
      </w:tr>
      <w:tr w14:paraId="08D2E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45DEA3E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19D7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890676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17BF5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10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7B0946B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A89F5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2A406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13F53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2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7106BF6">
            <w:pPr>
              <w:spacing w:before="85" w:line="220" w:lineRule="auto"/>
              <w:ind w:left="94"/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教学楼工程与配套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0A1B8C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8FE71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52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52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3AFEA7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4CE923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205.28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F0B75C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209.45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9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152.88</w:t>
            </w:r>
          </w:p>
        </w:tc>
      </w:tr>
      <w:tr w14:paraId="3A9A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A000DD0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EAEAA8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19676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5A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23.44</w:t>
            </w:r>
          </w:p>
        </w:tc>
      </w:tr>
      <w:tr w14:paraId="635A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F770FC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5802C4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542DCF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25.49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0F1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27.28</w:t>
            </w:r>
          </w:p>
        </w:tc>
      </w:tr>
      <w:tr w14:paraId="73D4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7D2217C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056653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97A934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54F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</w:tr>
      <w:tr w14:paraId="6250B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850" w:type="dxa"/>
            <w:noWrap w:val="0"/>
            <w:vAlign w:val="top"/>
          </w:tcPr>
          <w:p w14:paraId="4E98FFCC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54E4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C7207A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189.09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795C1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436.06</w:t>
            </w:r>
          </w:p>
        </w:tc>
      </w:tr>
      <w:tr w14:paraId="7B1B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23C3F0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4ECA32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AE2E0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8DFCF3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184CA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9E44868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F249A7A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A96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55C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069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87A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106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BDA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68E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10B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51A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C58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7E0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F54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66E0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C8ED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6D5C84B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05C90F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538829B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57E1998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79D6DD2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0D2621A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10F0DD0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D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C4DA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506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节约型机关”创建，建章立制，从严控制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三公”经费，提倡节俭，倡导环保节能。</w:t>
            </w:r>
          </w:p>
        </w:tc>
      </w:tr>
    </w:tbl>
    <w:p w14:paraId="4D298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项目支出”需要填报基本支出以外的所有项目支出情况，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公用经费”填报基本支出中的一般商品和服务支出。</w:t>
      </w:r>
    </w:p>
    <w:p w14:paraId="5866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0A2A2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刘洁萍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0730-8703118 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5F99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2358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1051B87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79"/>
        <w:gridCol w:w="689"/>
        <w:gridCol w:w="1395"/>
      </w:tblGrid>
      <w:tr w14:paraId="28E2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6A4B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2E8013EC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岳阳市南湖小学</w:t>
            </w:r>
          </w:p>
        </w:tc>
      </w:tr>
      <w:tr w14:paraId="1CA48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29B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58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E00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FDA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698C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4AE7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510B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6BA6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79" w:type="dxa"/>
            <w:noWrap w:val="0"/>
            <w:vAlign w:val="center"/>
          </w:tcPr>
          <w:p w14:paraId="79DE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89" w:type="dxa"/>
            <w:noWrap w:val="0"/>
            <w:vAlign w:val="center"/>
          </w:tcPr>
          <w:p w14:paraId="2C23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95" w:type="dxa"/>
            <w:noWrap w:val="0"/>
            <w:vAlign w:val="center"/>
          </w:tcPr>
          <w:p w14:paraId="6E50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975C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69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611F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64CA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2126.66</w:t>
            </w:r>
          </w:p>
        </w:tc>
        <w:tc>
          <w:tcPr>
            <w:tcW w:w="1167" w:type="dxa"/>
            <w:noWrap w:val="0"/>
            <w:vAlign w:val="center"/>
          </w:tcPr>
          <w:p w14:paraId="6E7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3134.20</w:t>
            </w:r>
          </w:p>
        </w:tc>
        <w:tc>
          <w:tcPr>
            <w:tcW w:w="1200" w:type="dxa"/>
            <w:noWrap w:val="0"/>
            <w:vAlign w:val="center"/>
          </w:tcPr>
          <w:p w14:paraId="3E0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3126.20</w:t>
            </w:r>
          </w:p>
        </w:tc>
        <w:tc>
          <w:tcPr>
            <w:tcW w:w="679" w:type="dxa"/>
            <w:noWrap w:val="0"/>
            <w:vAlign w:val="center"/>
          </w:tcPr>
          <w:p w14:paraId="0914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9" w:type="dxa"/>
            <w:noWrap w:val="0"/>
            <w:vAlign w:val="center"/>
          </w:tcPr>
          <w:p w14:paraId="62AE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99.74%</w:t>
            </w:r>
          </w:p>
        </w:tc>
        <w:tc>
          <w:tcPr>
            <w:tcW w:w="1395" w:type="dxa"/>
            <w:noWrap w:val="0"/>
            <w:vAlign w:val="center"/>
          </w:tcPr>
          <w:p w14:paraId="60A9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9.97</w:t>
            </w:r>
          </w:p>
        </w:tc>
      </w:tr>
      <w:tr w14:paraId="7A24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0E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832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675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5F24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4D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EB1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2488.51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E65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2171.98</w:t>
            </w:r>
          </w:p>
        </w:tc>
      </w:tr>
      <w:tr w14:paraId="597F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3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29D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D6D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954.22</w:t>
            </w:r>
          </w:p>
        </w:tc>
      </w:tr>
      <w:tr w14:paraId="7FF4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66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F6F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5F5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77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2CDA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89A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645.69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A49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D1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76E2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F7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0141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15D9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4323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7A8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457F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45B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5913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D14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后勤保障工作</w:t>
            </w:r>
          </w:p>
          <w:p w14:paraId="7C6CA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目标1：购置相关仪器设备。</w:t>
            </w:r>
          </w:p>
          <w:p w14:paraId="4CA9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目标2：做好后勤保障管理工作。</w:t>
            </w:r>
          </w:p>
          <w:p w14:paraId="4909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师生培养工作</w:t>
            </w:r>
          </w:p>
          <w:p w14:paraId="7434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目标1：完成年初既定学生招生工作。</w:t>
            </w:r>
          </w:p>
          <w:p w14:paraId="54D0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目标2：引进优质教师，开展教师培训工作。</w:t>
            </w:r>
          </w:p>
          <w:p w14:paraId="683F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目标3：丰富学生课外活动。</w:t>
            </w:r>
          </w:p>
          <w:p w14:paraId="70EA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目标4：落实“双减”任务。</w:t>
            </w:r>
          </w:p>
          <w:p w14:paraId="0C77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校园管理与建设</w:t>
            </w:r>
          </w:p>
          <w:p w14:paraId="3BD2C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目标1：合理制定后勤及安全管理工作发展规划和计划。</w:t>
            </w:r>
          </w:p>
          <w:p w14:paraId="3883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目标2：加强校园基础设施建设。</w:t>
            </w:r>
          </w:p>
          <w:p w14:paraId="14B1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目标3：做好设施维修工。</w:t>
            </w:r>
          </w:p>
          <w:p w14:paraId="02AE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其他工作</w:t>
            </w:r>
          </w:p>
          <w:p w14:paraId="0786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目标1：坚持政治理论学习和业务能力培养,坚持建立正确有效的学校价值体系和文化。</w:t>
            </w:r>
          </w:p>
          <w:p w14:paraId="54A84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目标2：不断完善和提高学校的整体形象和水平。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02E1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后勤保障工作</w:t>
            </w:r>
          </w:p>
          <w:p w14:paraId="6A18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1.购置相关仪器设备，保证了学校的教学质量。</w:t>
            </w:r>
          </w:p>
          <w:p w14:paraId="65CF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2.做好后勤保障管理工作，解决了师生的后顾之忧，为师生提供了良好的教学环境。</w:t>
            </w:r>
          </w:p>
          <w:p w14:paraId="014A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师生培养工作</w:t>
            </w:r>
          </w:p>
          <w:p w14:paraId="0A40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1.完成了年初既定学生招生工作。</w:t>
            </w:r>
          </w:p>
          <w:p w14:paraId="0383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2.引进优质教师，开展教师培训工作，为学校建立了优质的师资队伍。</w:t>
            </w:r>
          </w:p>
          <w:p w14:paraId="13BD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3.丰富学生课外活动，拓展了学生的课外知识，调整了学生学习心态，秉持了以人为本的教育方式。</w:t>
            </w:r>
          </w:p>
          <w:p w14:paraId="640A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4.落实“双减”任务，减轻了学生过重作业负担和校外培训负担。</w:t>
            </w:r>
          </w:p>
          <w:p w14:paraId="3841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校园管理与建设</w:t>
            </w:r>
          </w:p>
          <w:p w14:paraId="65A9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1.合理制定后勤及安全管理工作发展规划和计划，保障了学校正常教学秩序、消防安全等。</w:t>
            </w:r>
          </w:p>
          <w:p w14:paraId="2887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2.加强校园基础设施建设，保障了学生与教师的校园生活。</w:t>
            </w:r>
          </w:p>
          <w:p w14:paraId="5B2B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3.做好设施维修工作，确保了环境安全。</w:t>
            </w:r>
          </w:p>
          <w:p w14:paraId="591F5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其他工作</w:t>
            </w:r>
          </w:p>
          <w:p w14:paraId="61C2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1.坚持政治理论学习和业务能力培养,坚持建立正确有效的学校价值体系和文化,创建了浓厚的学习氛围。</w:t>
            </w:r>
          </w:p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2.不断完善和提高了学校的整体形象和水平,起到时了引领示范的带头作用。</w:t>
            </w:r>
          </w:p>
        </w:tc>
      </w:tr>
      <w:tr w14:paraId="5F1CD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5B4D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E8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5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DA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9E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FD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EF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60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E0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E3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81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C5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3B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88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3B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71BB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0EED2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D7C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2E95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0834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3651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2EE37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350C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79" w:type="dxa"/>
            <w:noWrap w:val="0"/>
            <w:vAlign w:val="center"/>
          </w:tcPr>
          <w:p w14:paraId="2368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89" w:type="dxa"/>
            <w:noWrap w:val="0"/>
            <w:vAlign w:val="center"/>
          </w:tcPr>
          <w:p w14:paraId="2AF7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95" w:type="dxa"/>
            <w:noWrap w:val="0"/>
            <w:vAlign w:val="center"/>
          </w:tcPr>
          <w:p w14:paraId="52D5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145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5A1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E4EC3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4516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AC40CF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4D5A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学生招生数量</w:t>
            </w:r>
          </w:p>
        </w:tc>
        <w:tc>
          <w:tcPr>
            <w:tcW w:w="1167" w:type="dxa"/>
            <w:noWrap w:val="0"/>
            <w:vAlign w:val="center"/>
          </w:tcPr>
          <w:p w14:paraId="385B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noWrap w:val="0"/>
            <w:vAlign w:val="center"/>
          </w:tcPr>
          <w:p w14:paraId="0D80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679" w:type="dxa"/>
            <w:noWrap w:val="0"/>
            <w:vAlign w:val="center"/>
          </w:tcPr>
          <w:p w14:paraId="38EF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noWrap w:val="0"/>
            <w:vAlign w:val="center"/>
          </w:tcPr>
          <w:p w14:paraId="465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 w14:paraId="0762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B9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D3CD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D0E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15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58B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F1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F9F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79" w:type="dxa"/>
            <w:shd w:val="clear" w:color="auto" w:fill="auto"/>
            <w:noWrap w:val="0"/>
            <w:vAlign w:val="center"/>
          </w:tcPr>
          <w:p w14:paraId="624D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shd w:val="clear" w:color="auto" w:fill="auto"/>
            <w:noWrap w:val="0"/>
            <w:vAlign w:val="center"/>
          </w:tcPr>
          <w:p w14:paraId="216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 w14:paraId="02E0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F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B21C8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F3B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EC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650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31C8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46C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79" w:type="dxa"/>
            <w:shd w:val="clear" w:color="auto" w:fill="auto"/>
            <w:noWrap w:val="0"/>
            <w:vAlign w:val="center"/>
          </w:tcPr>
          <w:p w14:paraId="228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shd w:val="clear" w:color="auto" w:fill="auto"/>
            <w:noWrap w:val="0"/>
            <w:vAlign w:val="center"/>
          </w:tcPr>
          <w:p w14:paraId="672F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 w14:paraId="3B983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D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24C0B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626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56B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48B0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小学、中学毕业率/升学率</w:t>
            </w:r>
          </w:p>
        </w:tc>
        <w:tc>
          <w:tcPr>
            <w:tcW w:w="1167" w:type="dxa"/>
            <w:noWrap w:val="0"/>
            <w:vAlign w:val="center"/>
          </w:tcPr>
          <w:p w14:paraId="3136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1200" w:type="dxa"/>
            <w:noWrap w:val="0"/>
            <w:vAlign w:val="center"/>
          </w:tcPr>
          <w:p w14:paraId="02A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79" w:type="dxa"/>
            <w:noWrap w:val="0"/>
            <w:vAlign w:val="center"/>
          </w:tcPr>
          <w:p w14:paraId="0445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dxa"/>
            <w:noWrap w:val="0"/>
            <w:vAlign w:val="center"/>
          </w:tcPr>
          <w:p w14:paraId="0FC3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 w14:paraId="7C09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7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4E8EB5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53E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5D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3AFB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10EF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77B1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79" w:type="dxa"/>
            <w:noWrap w:val="0"/>
            <w:vAlign w:val="center"/>
          </w:tcPr>
          <w:p w14:paraId="3BFF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9" w:type="dxa"/>
            <w:noWrap w:val="0"/>
            <w:vAlign w:val="center"/>
          </w:tcPr>
          <w:p w14:paraId="79A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noWrap w:val="0"/>
            <w:vAlign w:val="center"/>
          </w:tcPr>
          <w:p w14:paraId="1540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D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67620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7D3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5393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2AD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167" w:type="dxa"/>
            <w:noWrap w:val="0"/>
            <w:vAlign w:val="center"/>
          </w:tcPr>
          <w:p w14:paraId="295A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2024.6.30（毕业时间）</w:t>
            </w:r>
          </w:p>
        </w:tc>
        <w:tc>
          <w:tcPr>
            <w:tcW w:w="1200" w:type="dxa"/>
            <w:noWrap w:val="0"/>
            <w:vAlign w:val="center"/>
          </w:tcPr>
          <w:p w14:paraId="1892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2024.6.30之前完成</w:t>
            </w:r>
          </w:p>
        </w:tc>
        <w:tc>
          <w:tcPr>
            <w:tcW w:w="679" w:type="dxa"/>
            <w:noWrap w:val="0"/>
            <w:vAlign w:val="center"/>
          </w:tcPr>
          <w:p w14:paraId="116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89" w:type="dxa"/>
            <w:noWrap w:val="0"/>
            <w:vAlign w:val="center"/>
          </w:tcPr>
          <w:p w14:paraId="361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noWrap w:val="0"/>
            <w:vAlign w:val="center"/>
          </w:tcPr>
          <w:p w14:paraId="324B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2024.9.30（入学时间）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2024.9.30之前完成</w:t>
            </w:r>
          </w:p>
        </w:tc>
        <w:tc>
          <w:tcPr>
            <w:tcW w:w="679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0ECD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DF062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220D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D5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28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C4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C92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094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64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069A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75D1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18EF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79" w:type="dxa"/>
            <w:noWrap w:val="0"/>
            <w:vAlign w:val="center"/>
          </w:tcPr>
          <w:p w14:paraId="2976DC96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noWrap w:val="0"/>
            <w:vAlign w:val="center"/>
          </w:tcPr>
          <w:p w14:paraId="379CACAD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noWrap w:val="0"/>
            <w:vAlign w:val="center"/>
          </w:tcPr>
          <w:p w14:paraId="0B58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0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449D4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D2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6B8D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7F04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1BCC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2BC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有所提高 </w:t>
            </w:r>
          </w:p>
        </w:tc>
        <w:tc>
          <w:tcPr>
            <w:tcW w:w="1200" w:type="dxa"/>
            <w:noWrap w:val="0"/>
            <w:vAlign w:val="center"/>
          </w:tcPr>
          <w:p w14:paraId="66E3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有所提高 </w:t>
            </w:r>
          </w:p>
        </w:tc>
        <w:tc>
          <w:tcPr>
            <w:tcW w:w="679" w:type="dxa"/>
            <w:noWrap w:val="0"/>
            <w:vAlign w:val="center"/>
          </w:tcPr>
          <w:p w14:paraId="6D12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dxa"/>
            <w:noWrap w:val="0"/>
            <w:vAlign w:val="center"/>
          </w:tcPr>
          <w:p w14:paraId="45F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 w14:paraId="029C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9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688FD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AE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01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640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2829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有所提高 </w:t>
            </w:r>
          </w:p>
        </w:tc>
        <w:tc>
          <w:tcPr>
            <w:tcW w:w="1200" w:type="dxa"/>
            <w:noWrap w:val="0"/>
            <w:vAlign w:val="center"/>
          </w:tcPr>
          <w:p w14:paraId="11D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有所提高 </w:t>
            </w:r>
          </w:p>
        </w:tc>
        <w:tc>
          <w:tcPr>
            <w:tcW w:w="679" w:type="dxa"/>
            <w:noWrap w:val="0"/>
            <w:vAlign w:val="center"/>
          </w:tcPr>
          <w:p w14:paraId="3E71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dxa"/>
            <w:noWrap w:val="0"/>
            <w:vAlign w:val="center"/>
          </w:tcPr>
          <w:p w14:paraId="5A0A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 w14:paraId="48DE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B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33A56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81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6DB0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4D6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167" w:type="dxa"/>
            <w:noWrap w:val="0"/>
            <w:vAlign w:val="center"/>
          </w:tcPr>
          <w:p w14:paraId="17D5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  <w:r>
              <w:rPr>
                <w:rStyle w:val="13"/>
                <w:rFonts w:eastAsia="仿宋_GB2312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noWrap w:val="0"/>
            <w:vAlign w:val="center"/>
          </w:tcPr>
          <w:p w14:paraId="6319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  <w:r>
              <w:rPr>
                <w:rStyle w:val="13"/>
                <w:rFonts w:eastAsia="仿宋_GB2312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79" w:type="dxa"/>
            <w:noWrap w:val="0"/>
            <w:vAlign w:val="center"/>
          </w:tcPr>
          <w:p w14:paraId="69A9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9" w:type="dxa"/>
            <w:noWrap w:val="0"/>
            <w:vAlign w:val="center"/>
          </w:tcPr>
          <w:p w14:paraId="1192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noWrap w:val="0"/>
            <w:vAlign w:val="center"/>
          </w:tcPr>
          <w:p w14:paraId="2E7F9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33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931BA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164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D36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98E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F9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2BC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6406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5045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79" w:type="dxa"/>
            <w:noWrap w:val="0"/>
            <w:vAlign w:val="center"/>
          </w:tcPr>
          <w:p w14:paraId="4B86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noWrap w:val="0"/>
            <w:vAlign w:val="center"/>
          </w:tcPr>
          <w:p w14:paraId="155F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noWrap w:val="0"/>
            <w:vAlign w:val="center"/>
          </w:tcPr>
          <w:p w14:paraId="4837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A7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7B5DD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1E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78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C1A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1B9B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23C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79" w:type="dxa"/>
            <w:noWrap w:val="0"/>
            <w:vAlign w:val="center"/>
          </w:tcPr>
          <w:p w14:paraId="77F1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noWrap w:val="0"/>
            <w:vAlign w:val="center"/>
          </w:tcPr>
          <w:p w14:paraId="3676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noWrap w:val="0"/>
            <w:vAlign w:val="center"/>
          </w:tcPr>
          <w:p w14:paraId="6853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5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AB5AE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78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B5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476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7C28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911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79" w:type="dxa"/>
            <w:shd w:val="clear" w:color="auto" w:fill="auto"/>
            <w:noWrap w:val="0"/>
            <w:vAlign w:val="center"/>
          </w:tcPr>
          <w:p w14:paraId="00E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shd w:val="clear" w:color="auto" w:fill="auto"/>
            <w:noWrap w:val="0"/>
            <w:vAlign w:val="center"/>
          </w:tcPr>
          <w:p w14:paraId="35C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F2E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F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55E3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79" w:type="dxa"/>
            <w:noWrap w:val="0"/>
            <w:vAlign w:val="center"/>
          </w:tcPr>
          <w:p w14:paraId="2810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89" w:type="dxa"/>
            <w:noWrap w:val="0"/>
            <w:vAlign w:val="center"/>
          </w:tcPr>
          <w:p w14:paraId="2192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99.97</w:t>
            </w:r>
          </w:p>
        </w:tc>
        <w:tc>
          <w:tcPr>
            <w:tcW w:w="1395" w:type="dxa"/>
            <w:noWrap w:val="0"/>
            <w:vAlign w:val="center"/>
          </w:tcPr>
          <w:p w14:paraId="139F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68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15F3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刘洁萍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0730-8703118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7638565C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5D38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CE3A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CE3A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EE87B"/>
    <w:multiLevelType w:val="singleLevel"/>
    <w:tmpl w:val="904EE87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3646BE5"/>
    <w:multiLevelType w:val="singleLevel"/>
    <w:tmpl w:val="A3646BE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3BD9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77490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4627</Words>
  <Characters>5220</Characters>
  <Lines>0</Lines>
  <Paragraphs>0</Paragraphs>
  <TotalTime>0</TotalTime>
  <ScaleCrop>false</ScaleCrop>
  <LinksUpToDate>false</LinksUpToDate>
  <CharactersWithSpaces>5297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