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B1EF7">
      <w:pPr>
        <w:spacing w:line="251" w:lineRule="auto"/>
        <w:rPr>
          <w:rFonts w:ascii="Arial"/>
          <w:sz w:val="21"/>
        </w:rPr>
      </w:pPr>
    </w:p>
    <w:p w14:paraId="5F9D98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年度岳阳市直管公房运营服务中心整体</w:t>
      </w:r>
    </w:p>
    <w:p w14:paraId="0D4888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支出绩效自评报告</w:t>
      </w:r>
    </w:p>
    <w:p w14:paraId="4F940144">
      <w:pPr>
        <w:spacing w:line="243" w:lineRule="auto"/>
        <w:rPr>
          <w:rFonts w:ascii="Arial"/>
          <w:sz w:val="21"/>
        </w:rPr>
      </w:pPr>
    </w:p>
    <w:p w14:paraId="00F3EA5B">
      <w:pPr>
        <w:spacing w:line="243" w:lineRule="auto"/>
        <w:rPr>
          <w:rFonts w:ascii="Arial"/>
          <w:sz w:val="21"/>
        </w:rPr>
      </w:pPr>
    </w:p>
    <w:p w14:paraId="4C72EA1E">
      <w:pPr>
        <w:spacing w:line="243" w:lineRule="auto"/>
        <w:rPr>
          <w:rFonts w:ascii="Arial"/>
          <w:sz w:val="21"/>
        </w:rPr>
      </w:pPr>
    </w:p>
    <w:p w14:paraId="66E11733">
      <w:pPr>
        <w:spacing w:line="243" w:lineRule="auto"/>
        <w:rPr>
          <w:rFonts w:ascii="Arial"/>
          <w:sz w:val="21"/>
        </w:rPr>
      </w:pPr>
    </w:p>
    <w:p w14:paraId="2980DDB4">
      <w:pPr>
        <w:spacing w:line="243" w:lineRule="auto"/>
        <w:rPr>
          <w:rFonts w:ascii="Arial"/>
          <w:sz w:val="21"/>
        </w:rPr>
      </w:pPr>
    </w:p>
    <w:p w14:paraId="788E7149">
      <w:pPr>
        <w:spacing w:line="243" w:lineRule="auto"/>
        <w:rPr>
          <w:rFonts w:ascii="Arial"/>
          <w:sz w:val="21"/>
        </w:rPr>
      </w:pPr>
    </w:p>
    <w:p w14:paraId="7C67728E">
      <w:pPr>
        <w:spacing w:line="243" w:lineRule="auto"/>
        <w:rPr>
          <w:rFonts w:ascii="Arial"/>
          <w:sz w:val="21"/>
        </w:rPr>
      </w:pPr>
    </w:p>
    <w:p w14:paraId="68DDB825">
      <w:pPr>
        <w:spacing w:line="243" w:lineRule="auto"/>
        <w:rPr>
          <w:rFonts w:ascii="Arial"/>
          <w:sz w:val="21"/>
        </w:rPr>
      </w:pPr>
    </w:p>
    <w:p w14:paraId="03DE9EA4">
      <w:pPr>
        <w:spacing w:line="243" w:lineRule="auto"/>
        <w:rPr>
          <w:rFonts w:ascii="Arial"/>
          <w:sz w:val="21"/>
        </w:rPr>
      </w:pPr>
    </w:p>
    <w:p w14:paraId="64F97C5A">
      <w:pPr>
        <w:spacing w:line="243" w:lineRule="auto"/>
        <w:rPr>
          <w:rFonts w:ascii="Arial"/>
          <w:sz w:val="21"/>
        </w:rPr>
      </w:pPr>
    </w:p>
    <w:p w14:paraId="1DA16C7B">
      <w:pPr>
        <w:spacing w:line="243" w:lineRule="auto"/>
        <w:rPr>
          <w:rFonts w:ascii="Arial"/>
          <w:sz w:val="21"/>
        </w:rPr>
      </w:pPr>
    </w:p>
    <w:p w14:paraId="09DDA985">
      <w:pPr>
        <w:spacing w:line="243" w:lineRule="auto"/>
        <w:rPr>
          <w:rFonts w:ascii="Arial"/>
          <w:sz w:val="21"/>
        </w:rPr>
      </w:pPr>
    </w:p>
    <w:p w14:paraId="1E2CEAFC">
      <w:pPr>
        <w:spacing w:line="243" w:lineRule="auto"/>
        <w:rPr>
          <w:rFonts w:ascii="Arial"/>
          <w:sz w:val="21"/>
        </w:rPr>
      </w:pPr>
    </w:p>
    <w:p w14:paraId="7E375F1A">
      <w:pPr>
        <w:spacing w:line="243" w:lineRule="auto"/>
        <w:rPr>
          <w:rFonts w:ascii="Arial"/>
          <w:sz w:val="21"/>
        </w:rPr>
      </w:pPr>
    </w:p>
    <w:p w14:paraId="02BCB4EE">
      <w:pPr>
        <w:spacing w:line="243" w:lineRule="auto"/>
        <w:rPr>
          <w:rFonts w:ascii="Arial"/>
          <w:sz w:val="21"/>
        </w:rPr>
      </w:pPr>
    </w:p>
    <w:p w14:paraId="67946846">
      <w:pPr>
        <w:spacing w:line="243" w:lineRule="auto"/>
        <w:rPr>
          <w:rFonts w:ascii="Arial"/>
          <w:sz w:val="21"/>
        </w:rPr>
      </w:pPr>
    </w:p>
    <w:p w14:paraId="1AC1B9A5">
      <w:pPr>
        <w:spacing w:line="243" w:lineRule="auto"/>
        <w:rPr>
          <w:rFonts w:ascii="Arial"/>
          <w:sz w:val="21"/>
        </w:rPr>
      </w:pPr>
    </w:p>
    <w:p w14:paraId="1700580F">
      <w:pPr>
        <w:spacing w:line="243" w:lineRule="auto"/>
        <w:rPr>
          <w:rFonts w:ascii="Arial"/>
          <w:sz w:val="21"/>
        </w:rPr>
      </w:pPr>
    </w:p>
    <w:p w14:paraId="3FF54E76">
      <w:pPr>
        <w:spacing w:line="243" w:lineRule="auto"/>
        <w:rPr>
          <w:rFonts w:ascii="Arial"/>
          <w:sz w:val="21"/>
        </w:rPr>
      </w:pPr>
    </w:p>
    <w:p w14:paraId="0CA36FC9">
      <w:pPr>
        <w:spacing w:line="243" w:lineRule="auto"/>
        <w:rPr>
          <w:rFonts w:ascii="Arial"/>
          <w:sz w:val="21"/>
        </w:rPr>
      </w:pPr>
    </w:p>
    <w:p w14:paraId="20DF0800">
      <w:pPr>
        <w:spacing w:line="243" w:lineRule="auto"/>
        <w:rPr>
          <w:rFonts w:ascii="Arial"/>
          <w:sz w:val="21"/>
        </w:rPr>
      </w:pPr>
    </w:p>
    <w:p w14:paraId="793A3BB6">
      <w:pPr>
        <w:spacing w:line="243" w:lineRule="auto"/>
        <w:rPr>
          <w:rFonts w:ascii="Arial"/>
          <w:sz w:val="21"/>
        </w:rPr>
      </w:pPr>
    </w:p>
    <w:p w14:paraId="5A880E9D">
      <w:pPr>
        <w:spacing w:line="243" w:lineRule="auto"/>
        <w:rPr>
          <w:rFonts w:ascii="Arial"/>
          <w:sz w:val="21"/>
        </w:rPr>
      </w:pPr>
    </w:p>
    <w:p w14:paraId="05D67073">
      <w:pPr>
        <w:spacing w:line="243" w:lineRule="auto"/>
        <w:rPr>
          <w:rFonts w:ascii="Arial"/>
          <w:sz w:val="21"/>
        </w:rPr>
      </w:pPr>
    </w:p>
    <w:p w14:paraId="329CC445">
      <w:pPr>
        <w:spacing w:line="243" w:lineRule="auto"/>
        <w:rPr>
          <w:rFonts w:ascii="Arial"/>
          <w:sz w:val="21"/>
        </w:rPr>
      </w:pPr>
    </w:p>
    <w:p w14:paraId="34AD89BD">
      <w:pPr>
        <w:spacing w:line="244" w:lineRule="auto"/>
        <w:rPr>
          <w:rFonts w:ascii="Arial"/>
          <w:sz w:val="21"/>
        </w:rPr>
      </w:pPr>
    </w:p>
    <w:p w14:paraId="6B5A6E2B">
      <w:pPr>
        <w:spacing w:line="244" w:lineRule="auto"/>
        <w:rPr>
          <w:rFonts w:ascii="Arial"/>
          <w:sz w:val="21"/>
        </w:rPr>
      </w:pPr>
    </w:p>
    <w:p w14:paraId="2AC3DD0C">
      <w:pPr>
        <w:pStyle w:val="3"/>
        <w:keepNext w:val="0"/>
        <w:keepLines w:val="0"/>
        <w:pageBreakBefore w:val="0"/>
        <w:widowControl w:val="0"/>
        <w:kinsoku/>
        <w:wordWrap/>
        <w:overflowPunct/>
        <w:topLinePunct w:val="0"/>
        <w:autoSpaceDE/>
        <w:autoSpaceDN/>
        <w:bidi w:val="0"/>
        <w:adjustRightInd/>
        <w:snapToGrid/>
        <w:spacing w:before="100" w:line="221" w:lineRule="auto"/>
        <w:ind w:firstLine="990" w:firstLineChars="300"/>
        <w:textAlignment w:val="auto"/>
      </w:pPr>
      <w:r>
        <w:rPr>
          <w:spacing w:val="-10"/>
        </w:rPr>
        <w:t>部门（单位）名称</w:t>
      </w:r>
      <w:r>
        <w:rPr>
          <w:spacing w:val="4"/>
        </w:rPr>
        <w:t>：</w:t>
      </w:r>
      <w:r>
        <w:rPr>
          <w:spacing w:val="-118"/>
        </w:rPr>
        <w:t xml:space="preserve"> </w:t>
      </w:r>
      <w:r>
        <w:rPr>
          <w:spacing w:val="-75"/>
          <w:u w:val="single" w:color="auto"/>
        </w:rPr>
        <w:t xml:space="preserve"> </w:t>
      </w:r>
      <w:r>
        <w:rPr>
          <w:rFonts w:hint="eastAsia"/>
          <w:spacing w:val="-75"/>
          <w:u w:val="single" w:color="auto"/>
          <w:lang w:eastAsia="zh-CN"/>
        </w:rPr>
        <w:t>岳</w:t>
      </w:r>
      <w:r>
        <w:rPr>
          <w:rFonts w:hint="eastAsia"/>
          <w:spacing w:val="-75"/>
          <w:u w:val="single" w:color="auto"/>
          <w:lang w:val="en-US" w:eastAsia="zh-CN"/>
        </w:rPr>
        <w:t xml:space="preserve">     </w:t>
      </w:r>
      <w:r>
        <w:rPr>
          <w:rFonts w:hint="eastAsia"/>
          <w:spacing w:val="-75"/>
          <w:u w:val="single" w:color="auto"/>
          <w:lang w:eastAsia="zh-CN"/>
        </w:rPr>
        <w:t>阳</w:t>
      </w:r>
      <w:r>
        <w:rPr>
          <w:rFonts w:hint="eastAsia"/>
          <w:spacing w:val="-75"/>
          <w:u w:val="single" w:color="auto"/>
          <w:lang w:val="en-US" w:eastAsia="zh-CN"/>
        </w:rPr>
        <w:t xml:space="preserve">    </w:t>
      </w:r>
      <w:r>
        <w:rPr>
          <w:rFonts w:hint="eastAsia"/>
          <w:spacing w:val="-75"/>
          <w:u w:val="single" w:color="auto"/>
          <w:lang w:eastAsia="zh-CN"/>
        </w:rPr>
        <w:t>市</w:t>
      </w:r>
      <w:r>
        <w:rPr>
          <w:rFonts w:hint="eastAsia"/>
          <w:spacing w:val="-75"/>
          <w:u w:val="single" w:color="auto"/>
          <w:lang w:val="en-US" w:eastAsia="zh-CN"/>
        </w:rPr>
        <w:t xml:space="preserve">   </w:t>
      </w:r>
      <w:r>
        <w:rPr>
          <w:rFonts w:hint="eastAsia"/>
          <w:spacing w:val="-75"/>
          <w:u w:val="single" w:color="auto"/>
          <w:lang w:eastAsia="zh-CN"/>
        </w:rPr>
        <w:t>直</w:t>
      </w:r>
      <w:r>
        <w:rPr>
          <w:rFonts w:hint="eastAsia"/>
          <w:spacing w:val="-75"/>
          <w:u w:val="single" w:color="auto"/>
          <w:lang w:val="en-US" w:eastAsia="zh-CN"/>
        </w:rPr>
        <w:t xml:space="preserve">   </w:t>
      </w:r>
      <w:r>
        <w:rPr>
          <w:rFonts w:hint="eastAsia"/>
          <w:spacing w:val="-75"/>
          <w:u w:val="single" w:color="auto"/>
          <w:lang w:eastAsia="zh-CN"/>
        </w:rPr>
        <w:t>管</w:t>
      </w:r>
      <w:r>
        <w:rPr>
          <w:rFonts w:hint="eastAsia"/>
          <w:spacing w:val="-75"/>
          <w:u w:val="single" w:color="auto"/>
          <w:lang w:val="en-US" w:eastAsia="zh-CN"/>
        </w:rPr>
        <w:t xml:space="preserve">   </w:t>
      </w:r>
      <w:r>
        <w:rPr>
          <w:rFonts w:hint="eastAsia"/>
          <w:spacing w:val="-75"/>
          <w:u w:val="single" w:color="auto"/>
          <w:lang w:eastAsia="zh-CN"/>
        </w:rPr>
        <w:t>公</w:t>
      </w:r>
      <w:r>
        <w:rPr>
          <w:rFonts w:hint="eastAsia"/>
          <w:spacing w:val="-75"/>
          <w:u w:val="single" w:color="auto"/>
          <w:lang w:val="en-US" w:eastAsia="zh-CN"/>
        </w:rPr>
        <w:t xml:space="preserve">   </w:t>
      </w:r>
      <w:r>
        <w:rPr>
          <w:rFonts w:hint="eastAsia"/>
          <w:spacing w:val="-75"/>
          <w:u w:val="single" w:color="auto"/>
          <w:lang w:eastAsia="zh-CN"/>
        </w:rPr>
        <w:t>房</w:t>
      </w:r>
      <w:r>
        <w:rPr>
          <w:rFonts w:hint="eastAsia"/>
          <w:spacing w:val="-75"/>
          <w:u w:val="single" w:color="auto"/>
          <w:lang w:val="en-US" w:eastAsia="zh-CN"/>
        </w:rPr>
        <w:t xml:space="preserve">   </w:t>
      </w:r>
      <w:r>
        <w:rPr>
          <w:rFonts w:hint="eastAsia"/>
          <w:spacing w:val="-75"/>
          <w:u w:val="single" w:color="auto"/>
          <w:lang w:eastAsia="zh-CN"/>
        </w:rPr>
        <w:t>运</w:t>
      </w:r>
      <w:r>
        <w:rPr>
          <w:rFonts w:hint="eastAsia"/>
          <w:spacing w:val="-75"/>
          <w:u w:val="single" w:color="auto"/>
          <w:lang w:val="en-US" w:eastAsia="zh-CN"/>
        </w:rPr>
        <w:t xml:space="preserve">   </w:t>
      </w:r>
      <w:r>
        <w:rPr>
          <w:rFonts w:hint="eastAsia"/>
          <w:spacing w:val="-75"/>
          <w:u w:val="single" w:color="auto"/>
          <w:lang w:eastAsia="zh-CN"/>
        </w:rPr>
        <w:t>营</w:t>
      </w:r>
      <w:r>
        <w:rPr>
          <w:rFonts w:hint="eastAsia"/>
          <w:spacing w:val="-75"/>
          <w:u w:val="single" w:color="auto"/>
          <w:lang w:val="en-US" w:eastAsia="zh-CN"/>
        </w:rPr>
        <w:t xml:space="preserve">   </w:t>
      </w:r>
      <w:r>
        <w:rPr>
          <w:rFonts w:hint="eastAsia"/>
          <w:spacing w:val="-75"/>
          <w:u w:val="single" w:color="auto"/>
          <w:lang w:eastAsia="zh-CN"/>
        </w:rPr>
        <w:t>服</w:t>
      </w:r>
      <w:r>
        <w:rPr>
          <w:rFonts w:hint="eastAsia"/>
          <w:spacing w:val="-75"/>
          <w:u w:val="single" w:color="auto"/>
          <w:lang w:val="en-US" w:eastAsia="zh-CN"/>
        </w:rPr>
        <w:t xml:space="preserve">   </w:t>
      </w:r>
      <w:r>
        <w:rPr>
          <w:rFonts w:hint="eastAsia"/>
          <w:spacing w:val="-75"/>
          <w:u w:val="single" w:color="auto"/>
          <w:lang w:eastAsia="zh-CN"/>
        </w:rPr>
        <w:t>务</w:t>
      </w:r>
      <w:r>
        <w:rPr>
          <w:rFonts w:hint="eastAsia"/>
          <w:spacing w:val="-75"/>
          <w:u w:val="single" w:color="auto"/>
          <w:lang w:val="en-US" w:eastAsia="zh-CN"/>
        </w:rPr>
        <w:t xml:space="preserve">   </w:t>
      </w:r>
      <w:r>
        <w:rPr>
          <w:rFonts w:hint="eastAsia"/>
          <w:spacing w:val="-75"/>
          <w:u w:val="single" w:color="auto"/>
          <w:lang w:eastAsia="zh-CN"/>
        </w:rPr>
        <w:t>中</w:t>
      </w:r>
      <w:r>
        <w:rPr>
          <w:rFonts w:hint="eastAsia"/>
          <w:spacing w:val="-75"/>
          <w:u w:val="single" w:color="auto"/>
          <w:lang w:val="en-US" w:eastAsia="zh-CN"/>
        </w:rPr>
        <w:t xml:space="preserve">   </w:t>
      </w:r>
      <w:r>
        <w:rPr>
          <w:rFonts w:hint="eastAsia"/>
          <w:spacing w:val="-75"/>
          <w:u w:val="single" w:color="auto"/>
          <w:lang w:eastAsia="zh-CN"/>
        </w:rPr>
        <w:t>心</w:t>
      </w:r>
      <w:r>
        <w:rPr>
          <w:u w:val="single" w:color="auto"/>
        </w:rPr>
        <w:t xml:space="preserve">  </w:t>
      </w:r>
    </w:p>
    <w:p w14:paraId="05918B5D">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2025</w:t>
      </w:r>
      <w:r>
        <w:rPr>
          <w:rFonts w:ascii="楷体" w:hAnsi="楷体" w:eastAsia="楷体" w:cs="楷体"/>
          <w:spacing w:val="-8"/>
          <w:sz w:val="31"/>
          <w:szCs w:val="31"/>
        </w:rPr>
        <w:t>年</w:t>
      </w:r>
      <w:r>
        <w:rPr>
          <w:rFonts w:hint="eastAsia" w:ascii="楷体" w:hAnsi="楷体" w:eastAsia="楷体" w:cs="楷体"/>
          <w:spacing w:val="-8"/>
          <w:sz w:val="31"/>
          <w:szCs w:val="31"/>
          <w:lang w:val="en-US" w:eastAsia="zh-CN"/>
        </w:rPr>
        <w:t>7</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30</w:t>
      </w:r>
      <w:r>
        <w:rPr>
          <w:rFonts w:ascii="楷体" w:hAnsi="楷体" w:eastAsia="楷体" w:cs="楷体"/>
          <w:spacing w:val="-8"/>
          <w:sz w:val="31"/>
          <w:szCs w:val="31"/>
        </w:rPr>
        <w:t>日</w:t>
      </w:r>
    </w:p>
    <w:p w14:paraId="5FB52EBF">
      <w:pPr>
        <w:spacing w:line="335" w:lineRule="auto"/>
        <w:rPr>
          <w:rFonts w:ascii="Arial"/>
          <w:sz w:val="21"/>
        </w:rPr>
      </w:pPr>
    </w:p>
    <w:p w14:paraId="2D68F91B">
      <w:pPr>
        <w:spacing w:line="224" w:lineRule="auto"/>
        <w:sectPr>
          <w:footerReference r:id="rId3" w:type="default"/>
          <w:pgSz w:w="11900" w:h="16833"/>
          <w:pgMar w:top="1287" w:right="1583" w:bottom="1049" w:left="1618" w:header="0" w:footer="1170" w:gutter="0"/>
          <w:pgNumType w:fmt="decimal"/>
          <w:cols w:space="720" w:num="1"/>
        </w:sectPr>
      </w:pPr>
      <w:bookmarkStart w:id="0" w:name="_GoBack"/>
      <w:bookmarkEnd w:id="0"/>
    </w:p>
    <w:p w14:paraId="59205547">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年度</w:t>
      </w:r>
      <w:r>
        <w:rPr>
          <w:rFonts w:hint="eastAsia" w:ascii="方正小标宋简体" w:hAnsi="方正小标宋简体" w:eastAsia="方正小标宋简体" w:cs="方正小标宋简体"/>
          <w:b w:val="0"/>
          <w:bCs w:val="0"/>
          <w:color w:val="000000"/>
          <w:spacing w:val="2"/>
          <w:sz w:val="42"/>
          <w:szCs w:val="42"/>
          <w:lang w:eastAsia="zh-CN"/>
        </w:rPr>
        <w:t>岳阳市直管公房运营服务中心</w:t>
      </w:r>
      <w:r>
        <w:rPr>
          <w:rFonts w:hint="eastAsia" w:ascii="方正小标宋简体" w:hAnsi="方正小标宋简体" w:eastAsia="方正小标宋简体" w:cs="方正小标宋简体"/>
          <w:spacing w:val="6"/>
          <w:sz w:val="44"/>
          <w:szCs w:val="44"/>
        </w:rPr>
        <w:t>整体</w:t>
      </w:r>
    </w:p>
    <w:p w14:paraId="658195BD">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支出</w:t>
      </w:r>
      <w:r>
        <w:rPr>
          <w:rFonts w:hint="eastAsia" w:ascii="方正小标宋简体" w:hAnsi="方正小标宋简体" w:eastAsia="方正小标宋简体" w:cs="方正小标宋简体"/>
          <w:spacing w:val="7"/>
          <w:sz w:val="44"/>
          <w:szCs w:val="44"/>
        </w:rPr>
        <w:t>绩效自评报告</w:t>
      </w:r>
    </w:p>
    <w:p w14:paraId="59234864">
      <w:pPr>
        <w:pStyle w:val="2"/>
        <w:ind w:firstLine="640" w:firstLineChars="200"/>
        <w:rPr>
          <w:rFonts w:ascii="Arial"/>
          <w:sz w:val="21"/>
        </w:rPr>
      </w:pPr>
      <w:r>
        <w:rPr>
          <w:rFonts w:hint="eastAsia" w:ascii="仿宋" w:hAnsi="仿宋" w:eastAsia="仿宋" w:cs="仿宋"/>
          <w:sz w:val="32"/>
          <w:szCs w:val="32"/>
          <w:lang w:val="en-US" w:eastAsia="zh-CN"/>
        </w:rPr>
        <w:t>为切实做好2024年度部门整体支出绩效自评工作，提高财政资金使用效益，根据上级指示精神，结合实际，我单位迅速组织成立了绩效评价工作小组，同以往各小组采取交叉检查与座谈方式听取今年来的所有情况，包括检查基本支出与项目支出等有关账目，收集整理支出相关资料进行分析、总结，现将我单位整体支出绩效自评结果报告如下:</w:t>
      </w:r>
    </w:p>
    <w:p w14:paraId="2D7AF06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2"/>
          <w:szCs w:val="32"/>
        </w:rPr>
      </w:pPr>
      <w:r>
        <w:rPr>
          <w:rFonts w:hint="eastAsia" w:ascii="黑体" w:hAnsi="黑体" w:eastAsia="黑体" w:cs="黑体"/>
          <w:spacing w:val="5"/>
          <w:sz w:val="32"/>
          <w:szCs w:val="32"/>
          <w:lang w:eastAsia="zh-CN"/>
        </w:rPr>
        <w:t>单位</w:t>
      </w:r>
      <w:r>
        <w:rPr>
          <w:rFonts w:ascii="黑体" w:hAnsi="黑体" w:eastAsia="黑体" w:cs="黑体"/>
          <w:spacing w:val="5"/>
          <w:sz w:val="32"/>
          <w:szCs w:val="32"/>
        </w:rPr>
        <w:t>基本情况</w:t>
      </w:r>
    </w:p>
    <w:p w14:paraId="2FD1D3EA">
      <w:pPr>
        <w:widowControl/>
        <w:spacing w:line="600" w:lineRule="exact"/>
        <w:ind w:firstLine="643" w:firstLineChars="200"/>
        <w:rPr>
          <w:rFonts w:hint="eastAsia" w:ascii="宋体" w:hAnsi="宋体" w:eastAsia="宋体" w:cs="宋体"/>
          <w:b/>
          <w:bCs/>
          <w:kern w:val="0"/>
          <w:sz w:val="32"/>
          <w:szCs w:val="32"/>
        </w:rPr>
      </w:pPr>
      <w:r>
        <w:rPr>
          <w:rFonts w:hint="eastAsia" w:ascii="宋体" w:hAnsi="宋体" w:eastAsia="宋体" w:cs="宋体"/>
          <w:b/>
          <w:bCs/>
          <w:kern w:val="0"/>
          <w:sz w:val="32"/>
          <w:szCs w:val="32"/>
        </w:rPr>
        <w:t>（一）职能职责</w:t>
      </w:r>
    </w:p>
    <w:p w14:paraId="352EEEF4">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负责贯彻执行公共租赁房屋管理的法律、法规和政策，参与拟定公共租赁房屋管理的政策法规文件；制定公共租赁房屋运营管理的各项制度；负责公共租赁房屋的管理、维修、租金收取工作，协助实施公共租赁房屋危旧房的改造及公共租赁房屋的征迁工作；负责公共租赁房屋运营腾退管理；负责查处有关违法违规行为，协调处理运营管理过程中有关信访问题；负责公共租赁房屋资产保值增值及安全管理工作；完成上级部门交办的其他工作。</w:t>
      </w:r>
    </w:p>
    <w:p w14:paraId="3869FAB9">
      <w:pPr>
        <w:widowControl/>
        <w:spacing w:line="600" w:lineRule="exact"/>
        <w:ind w:firstLine="643" w:firstLineChars="200"/>
        <w:rPr>
          <w:rFonts w:hint="eastAsia" w:ascii="宋体" w:hAnsi="宋体" w:eastAsia="宋体" w:cs="宋体"/>
          <w:b/>
          <w:bCs/>
          <w:kern w:val="0"/>
          <w:sz w:val="32"/>
          <w:szCs w:val="32"/>
        </w:rPr>
      </w:pPr>
      <w:r>
        <w:rPr>
          <w:rFonts w:hint="eastAsia" w:ascii="宋体" w:hAnsi="宋体" w:eastAsia="宋体" w:cs="宋体"/>
          <w:b/>
          <w:bCs/>
          <w:kern w:val="0"/>
          <w:sz w:val="32"/>
          <w:szCs w:val="32"/>
        </w:rPr>
        <w:t>（二）机构设置</w:t>
      </w:r>
    </w:p>
    <w:p w14:paraId="5CDA03B7">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eastAsia="zh-CN"/>
        </w:rPr>
        <w:t>根据党和国家机构改革“三定”方案：</w:t>
      </w:r>
      <w:r>
        <w:rPr>
          <w:rFonts w:hint="eastAsia" w:ascii="仿宋" w:hAnsi="仿宋" w:eastAsia="仿宋" w:cs="仿宋"/>
          <w:kern w:val="0"/>
          <w:sz w:val="32"/>
          <w:szCs w:val="32"/>
          <w:lang w:val="en-US" w:eastAsia="zh-CN"/>
        </w:rPr>
        <w:t>现共有编制34人，实有36人。</w:t>
      </w:r>
      <w:r>
        <w:rPr>
          <w:rFonts w:hint="eastAsia" w:ascii="仿宋" w:hAnsi="仿宋" w:eastAsia="仿宋" w:cs="仿宋"/>
          <w:kern w:val="0"/>
          <w:sz w:val="32"/>
          <w:szCs w:val="32"/>
        </w:rPr>
        <w:t>单位领导岗位4个。其中：正科级1</w:t>
      </w:r>
      <w:r>
        <w:rPr>
          <w:rFonts w:hint="eastAsia" w:ascii="仿宋" w:hAnsi="仿宋" w:eastAsia="仿宋" w:cs="仿宋"/>
          <w:kern w:val="0"/>
          <w:sz w:val="32"/>
          <w:szCs w:val="32"/>
          <w:lang w:val="en-US" w:eastAsia="zh-CN"/>
        </w:rPr>
        <w:t>人</w:t>
      </w:r>
      <w:r>
        <w:rPr>
          <w:rFonts w:hint="eastAsia" w:ascii="仿宋" w:hAnsi="仿宋" w:eastAsia="仿宋" w:cs="仿宋"/>
          <w:kern w:val="0"/>
          <w:sz w:val="32"/>
          <w:szCs w:val="32"/>
        </w:rPr>
        <w:t>，副科级3</w:t>
      </w:r>
      <w:r>
        <w:rPr>
          <w:rFonts w:hint="eastAsia" w:ascii="仿宋" w:hAnsi="仿宋" w:eastAsia="仿宋" w:cs="仿宋"/>
          <w:kern w:val="0"/>
          <w:sz w:val="32"/>
          <w:szCs w:val="32"/>
          <w:lang w:eastAsia="zh-CN"/>
        </w:rPr>
        <w:t>人。</w:t>
      </w:r>
      <w:r>
        <w:rPr>
          <w:rFonts w:hint="eastAsia" w:ascii="仿宋" w:hAnsi="仿宋" w:eastAsia="仿宋" w:cs="仿宋"/>
          <w:kern w:val="0"/>
          <w:sz w:val="32"/>
          <w:szCs w:val="32"/>
        </w:rPr>
        <w:t>内设</w:t>
      </w:r>
      <w:r>
        <w:rPr>
          <w:rFonts w:hint="eastAsia" w:ascii="仿宋" w:hAnsi="仿宋" w:eastAsia="仿宋" w:cs="仿宋"/>
          <w:kern w:val="0"/>
          <w:sz w:val="32"/>
          <w:szCs w:val="32"/>
          <w:lang w:val="en-US" w:eastAsia="zh-CN"/>
        </w:rPr>
        <w:t>股室</w:t>
      </w:r>
      <w:r>
        <w:rPr>
          <w:rFonts w:hint="eastAsia" w:ascii="仿宋" w:hAnsi="仿宋" w:eastAsia="仿宋" w:cs="仿宋"/>
          <w:kern w:val="0"/>
          <w:sz w:val="32"/>
          <w:szCs w:val="32"/>
        </w:rPr>
        <w:t xml:space="preserve"> 8个：计财股，住保股，工程股，稽查股，房管一所，房管二所，春和所，办公室。</w:t>
      </w:r>
    </w:p>
    <w:p w14:paraId="43D5862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2"/>
          <w:szCs w:val="32"/>
        </w:rPr>
      </w:pPr>
      <w:r>
        <w:rPr>
          <w:rFonts w:ascii="黑体" w:hAnsi="黑体" w:eastAsia="黑体" w:cs="黑体"/>
          <w:spacing w:val="-2"/>
          <w:sz w:val="32"/>
          <w:szCs w:val="32"/>
        </w:rPr>
        <w:t>二、</w:t>
      </w:r>
      <w:r>
        <w:rPr>
          <w:rFonts w:ascii="黑体" w:hAnsi="黑体" w:eastAsia="黑体" w:cs="黑体"/>
          <w:spacing w:val="-31"/>
          <w:sz w:val="32"/>
          <w:szCs w:val="32"/>
        </w:rPr>
        <w:t xml:space="preserve"> </w:t>
      </w:r>
      <w:r>
        <w:rPr>
          <w:rFonts w:ascii="黑体" w:hAnsi="黑体" w:eastAsia="黑体" w:cs="黑体"/>
          <w:spacing w:val="-2"/>
          <w:sz w:val="32"/>
          <w:szCs w:val="32"/>
        </w:rPr>
        <w:t>一般公共预算支出情况</w:t>
      </w:r>
    </w:p>
    <w:p w14:paraId="1ADBF3B5">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(一）、基本支出情况</w:t>
      </w:r>
    </w:p>
    <w:p w14:paraId="14F09139">
      <w:pPr>
        <w:widowControl/>
        <w:numPr>
          <w:ilvl w:val="0"/>
          <w:numId w:val="0"/>
        </w:numPr>
        <w:spacing w:line="600" w:lineRule="exact"/>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bCs/>
          <w:sz w:val="32"/>
          <w:szCs w:val="32"/>
          <w:highlight w:val="none"/>
        </w:rPr>
        <w:t>1</w:t>
      </w:r>
      <w:r>
        <w:rPr>
          <w:rFonts w:hint="eastAsia" w:ascii="仿宋" w:hAnsi="仿宋" w:eastAsia="仿宋" w:cs="仿宋"/>
          <w:bCs/>
          <w:sz w:val="32"/>
          <w:szCs w:val="32"/>
          <w:highlight w:val="none"/>
          <w:lang w:eastAsia="zh-CN"/>
        </w:rPr>
        <w:t>、</w:t>
      </w:r>
      <w:r>
        <w:rPr>
          <w:rFonts w:hint="eastAsia" w:ascii="仿宋" w:hAnsi="仿宋" w:eastAsia="仿宋" w:cs="仿宋"/>
          <w:kern w:val="0"/>
          <w:sz w:val="32"/>
          <w:szCs w:val="32"/>
          <w:highlight w:val="none"/>
        </w:rPr>
        <w:t>工资福利支出</w:t>
      </w:r>
      <w:r>
        <w:rPr>
          <w:rFonts w:hint="eastAsia" w:ascii="仿宋" w:hAnsi="仿宋" w:eastAsia="仿宋" w:cs="仿宋"/>
          <w:kern w:val="0"/>
          <w:sz w:val="32"/>
          <w:szCs w:val="32"/>
          <w:highlight w:val="none"/>
          <w:lang w:val="en-US" w:eastAsia="zh-CN"/>
        </w:rPr>
        <w:t>470.70</w:t>
      </w:r>
      <w:r>
        <w:rPr>
          <w:rFonts w:hint="eastAsia" w:ascii="仿宋" w:hAnsi="仿宋" w:eastAsia="仿宋" w:cs="仿宋"/>
          <w:kern w:val="0"/>
          <w:sz w:val="32"/>
          <w:szCs w:val="32"/>
          <w:highlight w:val="none"/>
        </w:rPr>
        <w:t>万元，占总支出的</w:t>
      </w:r>
      <w:r>
        <w:rPr>
          <w:rFonts w:hint="eastAsia" w:ascii="仿宋" w:hAnsi="仿宋" w:eastAsia="仿宋" w:cs="仿宋"/>
          <w:kern w:val="0"/>
          <w:sz w:val="32"/>
          <w:szCs w:val="32"/>
          <w:highlight w:val="none"/>
          <w:lang w:val="en-US" w:eastAsia="zh-CN"/>
        </w:rPr>
        <w:t>27.48</w:t>
      </w:r>
      <w:r>
        <w:rPr>
          <w:rFonts w:hint="eastAsia" w:ascii="仿宋" w:hAnsi="仿宋" w:eastAsia="仿宋" w:cs="仿宋"/>
          <w:kern w:val="0"/>
          <w:sz w:val="32"/>
          <w:szCs w:val="32"/>
          <w:highlight w:val="none"/>
        </w:rPr>
        <w:t>%。主要用于基本工资、津补贴、绩效</w:t>
      </w:r>
      <w:r>
        <w:rPr>
          <w:rFonts w:hint="eastAsia" w:ascii="仿宋" w:hAnsi="仿宋" w:eastAsia="仿宋" w:cs="仿宋"/>
          <w:kern w:val="0"/>
          <w:sz w:val="32"/>
          <w:szCs w:val="32"/>
          <w:highlight w:val="none"/>
          <w:lang w:eastAsia="zh-CN"/>
        </w:rPr>
        <w:t>工资</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eastAsia="zh-CN"/>
        </w:rPr>
        <w:t>资金、职工养老保险</w:t>
      </w:r>
      <w:r>
        <w:rPr>
          <w:rFonts w:hint="eastAsia" w:ascii="仿宋" w:hAnsi="仿宋" w:eastAsia="仿宋" w:cs="仿宋"/>
          <w:kern w:val="0"/>
          <w:sz w:val="32"/>
          <w:szCs w:val="32"/>
          <w:highlight w:val="none"/>
        </w:rPr>
        <w:t>、工伤保险、职工医疗</w:t>
      </w:r>
      <w:r>
        <w:rPr>
          <w:rFonts w:hint="eastAsia" w:ascii="仿宋" w:hAnsi="仿宋" w:eastAsia="仿宋" w:cs="仿宋"/>
          <w:kern w:val="0"/>
          <w:sz w:val="32"/>
          <w:szCs w:val="32"/>
          <w:highlight w:val="none"/>
          <w:lang w:eastAsia="zh-CN"/>
        </w:rPr>
        <w:t>保险、公积金</w:t>
      </w:r>
      <w:r>
        <w:rPr>
          <w:rFonts w:hint="eastAsia" w:ascii="仿宋" w:hAnsi="仿宋" w:eastAsia="仿宋" w:cs="仿宋"/>
          <w:kern w:val="0"/>
          <w:sz w:val="32"/>
          <w:szCs w:val="32"/>
          <w:highlight w:val="none"/>
        </w:rPr>
        <w:t>等方面。</w:t>
      </w:r>
    </w:p>
    <w:p w14:paraId="632B558B">
      <w:pPr>
        <w:widowControl/>
        <w:numPr>
          <w:ilvl w:val="0"/>
          <w:numId w:val="0"/>
        </w:numPr>
        <w:spacing w:line="600" w:lineRule="exact"/>
        <w:ind w:firstLine="640" w:firstLineChars="200"/>
        <w:jc w:val="left"/>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rPr>
        <w:t>2</w:t>
      </w:r>
      <w:r>
        <w:rPr>
          <w:rFonts w:hint="eastAsia" w:ascii="仿宋" w:hAnsi="仿宋" w:eastAsia="仿宋" w:cs="仿宋"/>
          <w:kern w:val="0"/>
          <w:sz w:val="32"/>
          <w:szCs w:val="32"/>
          <w:highlight w:val="none"/>
          <w:lang w:eastAsia="zh-CN"/>
        </w:rPr>
        <w:t>、商品和服务</w:t>
      </w:r>
      <w:r>
        <w:rPr>
          <w:rFonts w:hint="eastAsia" w:ascii="仿宋" w:hAnsi="仿宋" w:eastAsia="仿宋" w:cs="仿宋"/>
          <w:kern w:val="0"/>
          <w:sz w:val="32"/>
          <w:szCs w:val="32"/>
          <w:highlight w:val="none"/>
        </w:rPr>
        <w:t>支出</w:t>
      </w:r>
      <w:r>
        <w:rPr>
          <w:rFonts w:hint="eastAsia" w:ascii="仿宋" w:hAnsi="仿宋" w:eastAsia="仿宋" w:cs="仿宋"/>
          <w:kern w:val="0"/>
          <w:sz w:val="32"/>
          <w:szCs w:val="32"/>
          <w:highlight w:val="none"/>
          <w:lang w:val="en-US" w:eastAsia="zh-CN"/>
        </w:rPr>
        <w:t>64.74</w:t>
      </w:r>
      <w:r>
        <w:rPr>
          <w:rFonts w:hint="eastAsia" w:ascii="仿宋" w:hAnsi="仿宋" w:eastAsia="仿宋" w:cs="仿宋"/>
          <w:kern w:val="0"/>
          <w:sz w:val="32"/>
          <w:szCs w:val="32"/>
          <w:highlight w:val="none"/>
        </w:rPr>
        <w:t>万元，占总支出</w:t>
      </w:r>
      <w:r>
        <w:rPr>
          <w:rFonts w:hint="eastAsia" w:ascii="仿宋" w:hAnsi="仿宋" w:eastAsia="仿宋" w:cs="仿宋"/>
          <w:kern w:val="0"/>
          <w:sz w:val="32"/>
          <w:szCs w:val="32"/>
          <w:highlight w:val="none"/>
          <w:lang w:eastAsia="zh-CN"/>
        </w:rPr>
        <w:t>的</w:t>
      </w:r>
      <w:r>
        <w:rPr>
          <w:rFonts w:hint="eastAsia" w:ascii="仿宋" w:hAnsi="仿宋" w:eastAsia="仿宋" w:cs="仿宋"/>
          <w:kern w:val="0"/>
          <w:sz w:val="32"/>
          <w:szCs w:val="32"/>
          <w:highlight w:val="none"/>
          <w:lang w:val="en-US" w:eastAsia="zh-CN"/>
        </w:rPr>
        <w:t>3.78</w:t>
      </w:r>
      <w:r>
        <w:rPr>
          <w:rFonts w:hint="eastAsia" w:ascii="仿宋" w:hAnsi="仿宋" w:eastAsia="仿宋" w:cs="仿宋"/>
          <w:kern w:val="0"/>
          <w:sz w:val="32"/>
          <w:szCs w:val="32"/>
          <w:highlight w:val="none"/>
        </w:rPr>
        <w:t>%。其中办公费</w:t>
      </w:r>
      <w:r>
        <w:rPr>
          <w:rFonts w:hint="eastAsia" w:ascii="仿宋" w:hAnsi="仿宋" w:eastAsia="仿宋" w:cs="仿宋"/>
          <w:kern w:val="0"/>
          <w:sz w:val="32"/>
          <w:szCs w:val="32"/>
          <w:highlight w:val="none"/>
          <w:lang w:val="en-US" w:eastAsia="zh-CN"/>
        </w:rPr>
        <w:t>6.19</w:t>
      </w:r>
      <w:r>
        <w:rPr>
          <w:rFonts w:hint="eastAsia" w:ascii="仿宋" w:hAnsi="仿宋" w:eastAsia="仿宋" w:cs="仿宋"/>
          <w:kern w:val="0"/>
          <w:sz w:val="32"/>
          <w:szCs w:val="32"/>
          <w:highlight w:val="none"/>
        </w:rPr>
        <w:t>万元</w:t>
      </w:r>
      <w:r>
        <w:rPr>
          <w:rFonts w:hint="eastAsia" w:ascii="仿宋" w:hAnsi="仿宋" w:eastAsia="仿宋" w:cs="仿宋"/>
          <w:kern w:val="0"/>
          <w:sz w:val="32"/>
          <w:szCs w:val="32"/>
          <w:highlight w:val="none"/>
          <w:lang w:eastAsia="zh-CN"/>
        </w:rPr>
        <w:t>、水费</w:t>
      </w:r>
      <w:r>
        <w:rPr>
          <w:rFonts w:hint="eastAsia" w:ascii="仿宋" w:hAnsi="仿宋" w:eastAsia="仿宋" w:cs="仿宋"/>
          <w:kern w:val="0"/>
          <w:sz w:val="32"/>
          <w:szCs w:val="32"/>
          <w:highlight w:val="none"/>
          <w:lang w:val="en-US" w:eastAsia="zh-CN"/>
        </w:rPr>
        <w:t>0.3万元、</w:t>
      </w:r>
      <w:r>
        <w:rPr>
          <w:rFonts w:hint="eastAsia" w:ascii="仿宋" w:hAnsi="仿宋" w:eastAsia="仿宋" w:cs="仿宋"/>
          <w:kern w:val="0"/>
          <w:sz w:val="32"/>
          <w:szCs w:val="32"/>
          <w:highlight w:val="none"/>
        </w:rPr>
        <w:t>邮电费</w:t>
      </w:r>
      <w:r>
        <w:rPr>
          <w:rFonts w:hint="eastAsia" w:ascii="仿宋" w:hAnsi="仿宋" w:eastAsia="仿宋" w:cs="仿宋"/>
          <w:kern w:val="0"/>
          <w:sz w:val="32"/>
          <w:szCs w:val="32"/>
          <w:highlight w:val="none"/>
          <w:lang w:val="en-US" w:eastAsia="zh-CN"/>
        </w:rPr>
        <w:t>0.91</w:t>
      </w:r>
      <w:r>
        <w:rPr>
          <w:rFonts w:hint="eastAsia" w:ascii="仿宋" w:hAnsi="仿宋" w:eastAsia="仿宋" w:cs="仿宋"/>
          <w:kern w:val="0"/>
          <w:sz w:val="32"/>
          <w:szCs w:val="32"/>
          <w:highlight w:val="none"/>
        </w:rPr>
        <w:t>万元</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电费</w:t>
      </w: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rPr>
        <w:t>万元</w:t>
      </w:r>
      <w:r>
        <w:rPr>
          <w:rFonts w:hint="eastAsia" w:ascii="仿宋" w:hAnsi="仿宋" w:eastAsia="仿宋" w:cs="仿宋"/>
          <w:kern w:val="0"/>
          <w:sz w:val="32"/>
          <w:szCs w:val="32"/>
          <w:highlight w:val="none"/>
          <w:lang w:eastAsia="zh-CN"/>
        </w:rPr>
        <w:t>、物业管理费</w:t>
      </w:r>
      <w:r>
        <w:rPr>
          <w:rFonts w:hint="eastAsia" w:ascii="仿宋" w:hAnsi="仿宋" w:eastAsia="仿宋" w:cs="仿宋"/>
          <w:kern w:val="0"/>
          <w:sz w:val="32"/>
          <w:szCs w:val="32"/>
          <w:highlight w:val="none"/>
          <w:lang w:val="en-US" w:eastAsia="zh-CN"/>
        </w:rPr>
        <w:t>1.90万元、劳务费4.64万元、工会经费14.73万元、培训费0.024万元、其他交通费用24.41万元，其他商品和服务支出支出8.65万元。</w:t>
      </w:r>
    </w:p>
    <w:p w14:paraId="5DB806AB">
      <w:pPr>
        <w:widowControl/>
        <w:numPr>
          <w:ilvl w:val="0"/>
          <w:numId w:val="0"/>
        </w:numPr>
        <w:spacing w:line="600" w:lineRule="exact"/>
        <w:ind w:firstLine="640" w:firstLineChars="200"/>
        <w:jc w:val="left"/>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rPr>
        <w:t>对个人和家庭的补助</w:t>
      </w:r>
      <w:r>
        <w:rPr>
          <w:rFonts w:hint="eastAsia" w:ascii="仿宋" w:hAnsi="仿宋" w:eastAsia="仿宋" w:cs="仿宋"/>
          <w:kern w:val="0"/>
          <w:sz w:val="32"/>
          <w:szCs w:val="32"/>
          <w:highlight w:val="none"/>
          <w:lang w:val="en-US" w:eastAsia="zh-CN"/>
        </w:rPr>
        <w:t>78.48</w:t>
      </w:r>
      <w:r>
        <w:rPr>
          <w:rFonts w:hint="eastAsia" w:ascii="仿宋" w:hAnsi="仿宋" w:eastAsia="仿宋" w:cs="仿宋"/>
          <w:kern w:val="0"/>
          <w:sz w:val="32"/>
          <w:szCs w:val="32"/>
          <w:highlight w:val="none"/>
        </w:rPr>
        <w:t>万元，占总支出的</w:t>
      </w:r>
      <w:r>
        <w:rPr>
          <w:rFonts w:hint="eastAsia" w:ascii="仿宋" w:hAnsi="仿宋" w:eastAsia="仿宋" w:cs="仿宋"/>
          <w:kern w:val="0"/>
          <w:sz w:val="32"/>
          <w:szCs w:val="32"/>
          <w:highlight w:val="none"/>
          <w:lang w:val="en-US" w:eastAsia="zh-CN"/>
        </w:rPr>
        <w:t>4.58</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eastAsia="zh-CN"/>
        </w:rPr>
        <w:t>。</w:t>
      </w:r>
    </w:p>
    <w:p w14:paraId="0BF635CA">
      <w:pPr>
        <w:widowControl/>
        <w:numPr>
          <w:ilvl w:val="0"/>
          <w:numId w:val="0"/>
        </w:numPr>
        <w:spacing w:line="600" w:lineRule="exact"/>
        <w:ind w:firstLine="643" w:firstLineChars="200"/>
        <w:jc w:val="left"/>
        <w:rPr>
          <w:rFonts w:hint="eastAsia" w:ascii="仿宋" w:hAnsi="仿宋" w:eastAsia="楷体" w:cs="仿宋"/>
          <w:kern w:val="0"/>
          <w:sz w:val="32"/>
          <w:szCs w:val="32"/>
          <w:highlight w:val="none"/>
          <w:lang w:val="en-US" w:eastAsia="zh-CN"/>
        </w:rPr>
      </w:pPr>
      <w:r>
        <w:rPr>
          <w:rFonts w:hint="eastAsia" w:ascii="楷体" w:hAnsi="楷体" w:eastAsia="楷体" w:cs="楷体"/>
          <w:b/>
          <w:bCs/>
          <w:kern w:val="0"/>
          <w:sz w:val="32"/>
          <w:szCs w:val="32"/>
          <w:highlight w:val="none"/>
          <w:lang w:eastAsia="zh-CN"/>
        </w:rPr>
        <w:t>（二</w:t>
      </w:r>
      <w:r>
        <w:rPr>
          <w:rFonts w:hint="eastAsia" w:ascii="楷体" w:hAnsi="楷体" w:eastAsia="楷体" w:cs="楷体"/>
          <w:b/>
          <w:bCs/>
          <w:kern w:val="0"/>
          <w:sz w:val="32"/>
          <w:szCs w:val="32"/>
          <w:highlight w:val="none"/>
          <w:lang w:val="en-US" w:eastAsia="zh-CN"/>
        </w:rPr>
        <w:t>)、</w:t>
      </w:r>
      <w:r>
        <w:rPr>
          <w:rFonts w:hint="eastAsia" w:ascii="楷体" w:hAnsi="楷体" w:eastAsia="楷体" w:cs="楷体"/>
          <w:b/>
          <w:bCs/>
          <w:kern w:val="0"/>
          <w:sz w:val="32"/>
          <w:szCs w:val="32"/>
          <w:highlight w:val="none"/>
          <w:lang w:eastAsia="zh-CN"/>
        </w:rPr>
        <w:t>项目支出情况</w:t>
      </w:r>
    </w:p>
    <w:p w14:paraId="41E93B32">
      <w:pPr>
        <w:widowControl/>
        <w:numPr>
          <w:ilvl w:val="0"/>
          <w:numId w:val="0"/>
        </w:numPr>
        <w:spacing w:line="600" w:lineRule="exact"/>
        <w:ind w:firstLine="640" w:firstLineChars="200"/>
        <w:jc w:val="left"/>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rPr>
        <w:t>202</w:t>
      </w:r>
      <w:r>
        <w:rPr>
          <w:rFonts w:hint="eastAsia" w:ascii="仿宋" w:hAnsi="仿宋" w:eastAsia="仿宋" w:cs="仿宋"/>
          <w:kern w:val="0"/>
          <w:sz w:val="32"/>
          <w:szCs w:val="32"/>
          <w:highlight w:val="none"/>
          <w:lang w:val="en-US" w:eastAsia="zh-CN"/>
        </w:rPr>
        <w:t>4</w:t>
      </w:r>
      <w:r>
        <w:rPr>
          <w:rFonts w:hint="eastAsia" w:ascii="仿宋" w:hAnsi="仿宋" w:eastAsia="仿宋" w:cs="仿宋"/>
          <w:kern w:val="0"/>
          <w:sz w:val="32"/>
          <w:szCs w:val="32"/>
          <w:highlight w:val="none"/>
        </w:rPr>
        <w:t>年</w:t>
      </w:r>
      <w:r>
        <w:rPr>
          <w:rFonts w:hint="eastAsia" w:ascii="仿宋" w:hAnsi="仿宋" w:eastAsia="仿宋" w:cs="仿宋"/>
          <w:kern w:val="0"/>
          <w:sz w:val="32"/>
          <w:szCs w:val="32"/>
          <w:highlight w:val="none"/>
          <w:lang w:eastAsia="zh-CN"/>
        </w:rPr>
        <w:t>公租房管理与房屋修缮方面的</w:t>
      </w:r>
      <w:r>
        <w:rPr>
          <w:rFonts w:hint="eastAsia" w:ascii="仿宋" w:hAnsi="仿宋" w:eastAsia="仿宋" w:cs="仿宋"/>
          <w:kern w:val="0"/>
          <w:sz w:val="32"/>
          <w:szCs w:val="32"/>
          <w:highlight w:val="none"/>
        </w:rPr>
        <w:t>项目支出</w:t>
      </w:r>
      <w:r>
        <w:rPr>
          <w:rFonts w:hint="eastAsia" w:ascii="仿宋" w:hAnsi="仿宋" w:eastAsia="仿宋" w:cs="仿宋"/>
          <w:kern w:val="0"/>
          <w:sz w:val="32"/>
          <w:szCs w:val="32"/>
          <w:highlight w:val="none"/>
          <w:lang w:eastAsia="zh-CN"/>
        </w:rPr>
        <w:t>决</w:t>
      </w:r>
      <w:r>
        <w:rPr>
          <w:rFonts w:hint="eastAsia" w:ascii="仿宋" w:hAnsi="仿宋" w:eastAsia="仿宋" w:cs="仿宋"/>
          <w:kern w:val="0"/>
          <w:sz w:val="32"/>
          <w:szCs w:val="32"/>
          <w:highlight w:val="none"/>
        </w:rPr>
        <w:t>算数为</w:t>
      </w:r>
      <w:r>
        <w:rPr>
          <w:rFonts w:hint="eastAsia" w:ascii="仿宋" w:hAnsi="仿宋" w:eastAsia="仿宋" w:cs="仿宋"/>
          <w:kern w:val="0"/>
          <w:sz w:val="32"/>
          <w:szCs w:val="32"/>
          <w:highlight w:val="none"/>
          <w:lang w:val="en-US" w:eastAsia="zh-CN"/>
        </w:rPr>
        <w:t>1099.19</w:t>
      </w:r>
      <w:r>
        <w:rPr>
          <w:rFonts w:hint="eastAsia" w:ascii="仿宋" w:hAnsi="仿宋" w:eastAsia="仿宋" w:cs="仿宋"/>
          <w:kern w:val="0"/>
          <w:sz w:val="32"/>
          <w:szCs w:val="32"/>
          <w:highlight w:val="none"/>
        </w:rPr>
        <w:t>万元</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占总支出的</w:t>
      </w:r>
      <w:r>
        <w:rPr>
          <w:rFonts w:hint="eastAsia" w:ascii="仿宋" w:hAnsi="仿宋" w:eastAsia="仿宋" w:cs="仿宋"/>
          <w:kern w:val="0"/>
          <w:sz w:val="32"/>
          <w:szCs w:val="32"/>
          <w:highlight w:val="none"/>
          <w:lang w:val="en-US" w:eastAsia="zh-CN"/>
        </w:rPr>
        <w:t>64.16</w:t>
      </w:r>
      <w:r>
        <w:rPr>
          <w:rFonts w:hint="eastAsia" w:ascii="仿宋" w:hAnsi="仿宋" w:eastAsia="仿宋" w:cs="仿宋"/>
          <w:kern w:val="0"/>
          <w:sz w:val="32"/>
          <w:szCs w:val="32"/>
          <w:highlight w:val="none"/>
        </w:rPr>
        <w:t>%</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其中：</w:t>
      </w:r>
      <w:r>
        <w:rPr>
          <w:rFonts w:hint="eastAsia" w:ascii="仿宋" w:hAnsi="仿宋" w:eastAsia="仿宋" w:cs="仿宋"/>
          <w:sz w:val="32"/>
          <w:szCs w:val="32"/>
          <w:highlight w:val="none"/>
          <w:lang w:eastAsia="zh-CN"/>
        </w:rPr>
        <w:t>物业补贴</w:t>
      </w:r>
      <w:r>
        <w:rPr>
          <w:rFonts w:hint="eastAsia" w:ascii="仿宋" w:hAnsi="仿宋" w:eastAsia="仿宋" w:cs="仿宋"/>
          <w:sz w:val="32"/>
          <w:szCs w:val="32"/>
          <w:highlight w:val="none"/>
        </w:rPr>
        <w:t>经费支出</w:t>
      </w:r>
      <w:r>
        <w:rPr>
          <w:rFonts w:hint="eastAsia" w:ascii="仿宋" w:hAnsi="仿宋" w:eastAsia="仿宋" w:cs="仿宋"/>
          <w:sz w:val="32"/>
          <w:szCs w:val="32"/>
          <w:highlight w:val="none"/>
          <w:lang w:val="en-US" w:eastAsia="zh-CN"/>
        </w:rPr>
        <w:t>124.19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主要用</w:t>
      </w:r>
      <w:r>
        <w:rPr>
          <w:rFonts w:hint="eastAsia" w:ascii="仿宋" w:hAnsi="仿宋" w:eastAsia="仿宋" w:cs="仿宋"/>
          <w:sz w:val="32"/>
          <w:szCs w:val="32"/>
          <w:highlight w:val="none"/>
          <w:lang w:eastAsia="zh-CN"/>
        </w:rPr>
        <w:t>于公租房物业补贴与</w:t>
      </w:r>
      <w:r>
        <w:rPr>
          <w:rFonts w:hint="eastAsia" w:ascii="仿宋" w:hAnsi="仿宋" w:eastAsia="仿宋" w:cs="仿宋"/>
          <w:sz w:val="32"/>
          <w:szCs w:val="32"/>
          <w:highlight w:val="none"/>
          <w:lang w:val="en-US" w:eastAsia="zh-CN"/>
        </w:rPr>
        <w:t>公租房日常管理及零星支出；维（修）护方面的支出为304.74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主要用于</w:t>
      </w:r>
      <w:r>
        <w:rPr>
          <w:rFonts w:hint="eastAsia" w:ascii="仿宋" w:hAnsi="仿宋" w:eastAsia="仿宋" w:cs="仿宋"/>
          <w:sz w:val="32"/>
          <w:szCs w:val="32"/>
          <w:highlight w:val="none"/>
          <w:lang w:eastAsia="zh-CN"/>
        </w:rPr>
        <w:t>公租房日常修缮</w:t>
      </w:r>
      <w:r>
        <w:rPr>
          <w:rFonts w:hint="eastAsia" w:ascii="仿宋" w:hAnsi="仿宋" w:eastAsia="仿宋" w:cs="仿宋"/>
          <w:sz w:val="32"/>
          <w:szCs w:val="32"/>
          <w:highlight w:val="none"/>
        </w:rPr>
        <w:t>方面</w:t>
      </w:r>
      <w:r>
        <w:rPr>
          <w:rFonts w:hint="eastAsia" w:ascii="仿宋" w:hAnsi="仿宋" w:eastAsia="仿宋" w:cs="仿宋"/>
          <w:sz w:val="32"/>
          <w:szCs w:val="32"/>
          <w:highlight w:val="none"/>
          <w:lang w:eastAsia="zh-CN"/>
        </w:rPr>
        <w:t>的支出；编外人员工资及福利等为</w:t>
      </w:r>
      <w:r>
        <w:rPr>
          <w:rFonts w:hint="eastAsia" w:ascii="仿宋" w:hAnsi="仿宋" w:eastAsia="仿宋" w:cs="仿宋"/>
          <w:sz w:val="32"/>
          <w:szCs w:val="32"/>
          <w:highlight w:val="none"/>
          <w:lang w:val="en-US" w:eastAsia="zh-CN"/>
        </w:rPr>
        <w:t>73.17万元、公租房配套设施改造518.35万元、保障性住房腾退10.78万元、其他相关项目经费67.95万元</w:t>
      </w:r>
      <w:r>
        <w:rPr>
          <w:rFonts w:hint="eastAsia" w:ascii="仿宋" w:hAnsi="仿宋" w:eastAsia="仿宋" w:cs="仿宋"/>
          <w:kern w:val="0"/>
          <w:sz w:val="32"/>
          <w:szCs w:val="32"/>
          <w:highlight w:val="none"/>
          <w:lang w:val="en-US" w:eastAsia="zh-CN"/>
        </w:rPr>
        <w:t>。</w:t>
      </w:r>
    </w:p>
    <w:p w14:paraId="1FB99CF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themeColor="text1"/>
          <w:spacing w:val="0"/>
          <w:positio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highlight w:val="none"/>
          <w:lang w:val="en-US" w:eastAsia="zh-CN"/>
          <w14:textFill>
            <w14:solidFill>
              <w14:schemeClr w14:val="tx1"/>
            </w14:solidFill>
          </w14:textFill>
        </w:rPr>
        <w:t>三、政府性基金预算支出情况</w:t>
      </w:r>
    </w:p>
    <w:p w14:paraId="66328AF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rPr>
        <w:t>我单位2024年度无政府性基金预算。</w:t>
      </w:r>
    </w:p>
    <w:p w14:paraId="78852D6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四、国有资本经营预算支出情况</w:t>
      </w:r>
    </w:p>
    <w:p w14:paraId="5D78B6E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rPr>
        <w:t>我单位2024年度无国有资本经营预算支出。</w:t>
      </w:r>
    </w:p>
    <w:p w14:paraId="6985E31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五、社会保险基金预算支出情况</w:t>
      </w:r>
    </w:p>
    <w:p w14:paraId="74356F6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lang w:val="en-US" w:eastAsia="zh-CN"/>
        </w:rPr>
      </w:pPr>
      <w:r>
        <w:rPr>
          <w:rFonts w:hint="eastAsia" w:ascii="仿宋" w:hAnsi="仿宋" w:eastAsia="仿宋" w:cs="仿宋"/>
          <w:color w:val="auto"/>
          <w:kern w:val="2"/>
          <w:sz w:val="32"/>
          <w:szCs w:val="32"/>
          <w:highlight w:val="none"/>
          <w:u w:val="none"/>
          <w:lang w:val="en-US" w:eastAsia="zh-CN"/>
        </w:rPr>
        <w:t>我单位2024年度无社会保险基金预算。</w:t>
      </w:r>
    </w:p>
    <w:p w14:paraId="4C8DA69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六、单位整体支出绩效情况</w:t>
      </w:r>
    </w:p>
    <w:p w14:paraId="4F0348E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sz w:val="32"/>
          <w:szCs w:val="32"/>
          <w:lang w:val="en-US" w:eastAsia="zh-CN"/>
        </w:rPr>
        <w:t>2024年，我中心积极履职，不断强化管理，圆满完成了年度各项工作目标。通过加强预算收支管理，不断建立健全内部管理制度，梳理内部管理流程，部门整体支出管理水平得到明显提升。一组组数据记录今年持续发力打好各仗的奋斗足迹，切实可感的成果传递出坚定的信心。根据部门整体支出绩效评价指标体系，我单位2024年度部门整体支出绩效情况如下:</w:t>
      </w:r>
    </w:p>
    <w:p w14:paraId="0EBDEEFA">
      <w:pPr>
        <w:pStyle w:val="2"/>
        <w:numPr>
          <w:ilvl w:val="0"/>
          <w:numId w:val="2"/>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运行成本方面</w:t>
      </w:r>
    </w:p>
    <w:p w14:paraId="57F680CA">
      <w:pPr>
        <w:pStyle w:val="2"/>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我中心严格按照财政批复的预算支出，成本预算严格控制在预算内，无超预算项目支出。严格控制“三公经费”支出。注重提高资金安全性，严格执行“收支两条线”的规定，坚持做到量入为出，以收定支。</w:t>
      </w:r>
    </w:p>
    <w:p w14:paraId="3D8CA2D5">
      <w:pPr>
        <w:pStyle w:val="2"/>
        <w:numPr>
          <w:ilvl w:val="0"/>
          <w:numId w:val="2"/>
        </w:numPr>
        <w:ind w:left="0" w:leftChars="0"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管理效率方面</w:t>
      </w:r>
    </w:p>
    <w:p w14:paraId="1DBCB789">
      <w:pPr>
        <w:pStyle w:val="2"/>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中心按照区财政批复的用款计划支付报账资金，积极与区财政国库等协调资金支付业务，极力保障资金有效及时支付。使财政收支预算执行得到了良好的制度保障和实施效果。对财政资金建立了事前预测、事中控制、事后督查的全流程监管机制。</w:t>
      </w:r>
    </w:p>
    <w:p w14:paraId="65893B21">
      <w:pPr>
        <w:keepNext w:val="0"/>
        <w:keepLines w:val="0"/>
        <w:pageBreakBefore w:val="0"/>
        <w:widowControl w:val="0"/>
        <w:numPr>
          <w:ilvl w:val="0"/>
          <w:numId w:val="2"/>
        </w:numPr>
        <w:kinsoku/>
        <w:wordWrap/>
        <w:overflowPunct/>
        <w:topLinePunct w:val="0"/>
        <w:autoSpaceDE/>
        <w:autoSpaceDN/>
        <w:bidi w:val="0"/>
        <w:adjustRightInd/>
        <w:snapToGrid/>
        <w:ind w:left="0" w:leftChars="0"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履职效能方面</w:t>
      </w:r>
    </w:p>
    <w:p w14:paraId="25DDFC6E">
      <w:pPr>
        <w:keepNext w:val="0"/>
        <w:keepLines w:val="0"/>
        <w:pageBreakBefore w:val="0"/>
        <w:kinsoku/>
        <w:wordWrap/>
        <w:overflowPunct/>
        <w:topLinePunct w:val="0"/>
        <w:autoSpaceDE/>
        <w:autoSpaceDN/>
        <w:bidi w:val="0"/>
        <w:adjustRightInd/>
        <w:snapToGrid/>
        <w:spacing w:line="580" w:lineRule="exact"/>
        <w:ind w:firstLine="645"/>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2024年，在区委、区政府的正确领导下，直管公房运营服务中心全面贯彻党的二十大精神，紧扣全区中心工作，突出本单位职责和牵头负责的重点任务，围绕城市六治、民生实事、安全生产等领域狠抓落实。积极推进公租房租金收缴入库,着力规范公租房小区秩序，全面加强单位作风建设。干部职工团结一心、主动担当作为，在建设名副其实的核心引领区新征程上干在实处，跑在前列。现将本单位2024年工作总结如下：</w:t>
      </w:r>
    </w:p>
    <w:p w14:paraId="02B0F5EF">
      <w:pPr>
        <w:keepNext w:val="0"/>
        <w:keepLines w:val="0"/>
        <w:pageBreakBefore w:val="0"/>
        <w:numPr>
          <w:ilvl w:val="0"/>
          <w:numId w:val="3"/>
        </w:numPr>
        <w:kinsoku/>
        <w:wordWrap/>
        <w:overflowPunct/>
        <w:topLinePunct w:val="0"/>
        <w:autoSpaceDE/>
        <w:autoSpaceDN/>
        <w:bidi w:val="0"/>
        <w:adjustRightInd/>
        <w:snapToGrid/>
        <w:spacing w:line="580" w:lineRule="exact"/>
        <w:ind w:firstLine="645"/>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2024年度工作概述</w:t>
      </w:r>
    </w:p>
    <w:p w14:paraId="12B42615">
      <w:pPr>
        <w:pStyle w:val="11"/>
        <w:keepNext w:val="0"/>
        <w:keepLines w:val="0"/>
        <w:pageBreakBefore w:val="0"/>
        <w:numPr>
          <w:ilvl w:val="0"/>
          <w:numId w:val="0"/>
        </w:numPr>
        <w:kinsoku/>
        <w:wordWrap/>
        <w:overflowPunct/>
        <w:topLinePunct w:val="0"/>
        <w:autoSpaceDE/>
        <w:autoSpaceDN/>
        <w:bidi w:val="0"/>
        <w:adjustRightInd/>
        <w:snapToGrid/>
        <w:spacing w:line="580" w:lineRule="exact"/>
        <w:ind w:leftChars="0" w:firstLine="643" w:firstLineChars="200"/>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（一）激发党建活力，组织保障更加有力</w:t>
      </w:r>
    </w:p>
    <w:p w14:paraId="5D92A2C3">
      <w:pPr>
        <w:keepNext w:val="0"/>
        <w:keepLines w:val="0"/>
        <w:pageBreakBefore w:val="0"/>
        <w:widowControl/>
        <w:numPr>
          <w:ilvl w:val="0"/>
          <w:numId w:val="0"/>
        </w:numPr>
        <w:shd w:val="clear" w:color="auto" w:fill="FFFFFF"/>
        <w:tabs>
          <w:tab w:val="left" w:pos="891"/>
        </w:tabs>
        <w:kinsoku/>
        <w:wordWrap/>
        <w:overflowPunct/>
        <w:topLinePunct w:val="0"/>
        <w:autoSpaceDE/>
        <w:autoSpaceDN/>
        <w:bidi w:val="0"/>
        <w:adjustRightInd/>
        <w:snapToGrid/>
        <w:spacing w:before="0" w:beforeLines="0" w:after="0" w:afterLines="0" w:line="580" w:lineRule="exact"/>
        <w:ind w:right="0" w:rightChars="0"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一是以主题教育为关键节点，全面强化党的建设。</w:t>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t>我们借深入开展学习之东风，依托理论中心组学习、“三会一课”、“主题党日”等形式，组织全体党员干部系统研习习近平新时代中国特色社会主义思想、党的二十大精神及《中国共产党纪律处分条例》、《党章》等核心要义，紧跟系列重要讲话与重要指示批示精神的学习步伐。2024年4月与9月，党支部引领全体党员前往粤汉铁路工人运动历史陈列馆与岳阳市城陵矶水文站进行实地学习，夯实党员干部的思想基石。支部书记、主任孙志成率先垂范，中心班子成员轮流主讲党课，成功举办12次主题党日活动、开展4次学习教育研讨交流，并围绕“湖南省优秀共产党员”李东同志事迹、《中央八项规定精神及实施细则》及“党的二十大及二十届三中全会精神”等主题开展深入研讨。此外，还组织观看警示教育片、红色电影6场次，并在公租房小区多次开展志愿者活动。</w:t>
      </w:r>
      <w:r>
        <w:rPr>
          <w:rFonts w:hint="eastAsia" w:ascii="仿宋" w:hAnsi="仿宋" w:eastAsia="仿宋" w:cs="仿宋"/>
          <w:b/>
          <w:bCs/>
          <w:kern w:val="2"/>
          <w:sz w:val="32"/>
          <w:szCs w:val="32"/>
          <w:lang w:val="en-US" w:eastAsia="zh-CN" w:bidi="ar-SA"/>
        </w:rPr>
        <w:t>二是以学习为核心，夯实宣传思想工作。</w:t>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t>严格执行会议“第一议题”学习制度，理论中心组全年共开展学习12次，深化理论武装与教育培训。同时，高度重视意识形态工作，班子成员多次专题研讨，召开2次意识形态风险研判会。</w:t>
      </w:r>
      <w:r>
        <w:rPr>
          <w:rFonts w:hint="eastAsia" w:ascii="仿宋" w:hAnsi="仿宋" w:eastAsia="仿宋" w:cs="Times New Roman"/>
          <w:b/>
          <w:bCs/>
          <w:kern w:val="2"/>
          <w:sz w:val="32"/>
          <w:szCs w:val="32"/>
          <w:lang w:val="en-US" w:eastAsia="zh-CN" w:bidi="ar-SA"/>
        </w:rPr>
        <w:t>三是以铁的纪律，全面落实纪检监察工作。</w:t>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t>加强党风廉政建设，</w:t>
      </w:r>
      <w:r>
        <w:rPr>
          <w:rFonts w:hint="eastAsia" w:ascii="仿宋" w:hAnsi="仿宋" w:eastAsia="仿宋" w:cs="Times New Roman"/>
          <w:kern w:val="2"/>
          <w:sz w:val="32"/>
          <w:szCs w:val="32"/>
          <w:lang w:val="en-US" w:eastAsia="zh-CN" w:bidi="ar-SA"/>
        </w:rPr>
        <w:t>按照区纪监委要求,扎实抓好重点、常态工作,不断完善工作机制,经常性开展警示教育活动，组织召开全面从严治党专题会商会，开展风险排查，列出中心问题清单并制定出切实可行的整改措施，严抓考勤，</w:t>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t>强化干部职工作风建设，</w:t>
      </w:r>
      <w:r>
        <w:rPr>
          <w:rFonts w:hint="eastAsia" w:ascii="仿宋" w:hAnsi="仿宋" w:eastAsia="仿宋" w:cs="Times New Roman"/>
          <w:kern w:val="2"/>
          <w:sz w:val="32"/>
          <w:szCs w:val="32"/>
          <w:lang w:val="en-US" w:eastAsia="zh-CN" w:bidi="ar-SA"/>
        </w:rPr>
        <w:t>下发作风督查通报6期，</w:t>
      </w:r>
      <w:r>
        <w:rPr>
          <w:rFonts w:hint="eastAsia" w:ascii="仿宋_GB2312" w:hAnsi="仿宋_GB2312" w:eastAsia="仿宋_GB2312" w:cs="仿宋_GB2312"/>
          <w:kern w:val="2"/>
          <w:sz w:val="32"/>
          <w:szCs w:val="32"/>
          <w:lang w:val="en-US" w:eastAsia="zh-CN" w:bidi="ar-SA"/>
        </w:rPr>
        <w:t>推动全面从严治党向纵深发展。</w:t>
      </w:r>
    </w:p>
    <w:p w14:paraId="09725623">
      <w:pPr>
        <w:pStyle w:val="11"/>
        <w:keepNext w:val="0"/>
        <w:keepLines w:val="0"/>
        <w:pageBreakBefore w:val="0"/>
        <w:numPr>
          <w:ilvl w:val="0"/>
          <w:numId w:val="0"/>
        </w:numPr>
        <w:kinsoku/>
        <w:wordWrap/>
        <w:overflowPunct/>
        <w:topLinePunct w:val="0"/>
        <w:autoSpaceDE/>
        <w:autoSpaceDN/>
        <w:bidi w:val="0"/>
        <w:adjustRightInd/>
        <w:snapToGrid/>
        <w:spacing w:line="580" w:lineRule="exact"/>
        <w:ind w:leftChars="0" w:firstLine="643" w:firstLineChars="200"/>
        <w:rPr>
          <w:rFonts w:hint="eastAsia" w:ascii="楷体" w:hAnsi="楷体" w:eastAsia="楷体" w:cs="楷体"/>
          <w:b/>
          <w:bCs/>
          <w:sz w:val="32"/>
          <w:szCs w:val="32"/>
          <w:u w:val="none"/>
          <w:lang w:val="en-US" w:eastAsia="zh-CN"/>
        </w:rPr>
      </w:pPr>
      <w:r>
        <w:rPr>
          <w:rFonts w:hint="eastAsia" w:ascii="楷体" w:hAnsi="楷体" w:eastAsia="楷体" w:cs="楷体"/>
          <w:b/>
          <w:bCs/>
          <w:sz w:val="32"/>
          <w:szCs w:val="32"/>
          <w:u w:val="none"/>
          <w:lang w:val="en-US" w:eastAsia="zh-CN"/>
        </w:rPr>
        <w:t>（二）锚定任务目标，年度工作稳中向好</w:t>
      </w:r>
    </w:p>
    <w:p w14:paraId="2CE15967">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为全面落实区委区政府“七联七包”的工作任务，中心上下团结奋斗，砥砺奋进，在危机中育生机，于变局中开新局，用实干实绩实效彰显担当作为：</w:t>
      </w:r>
      <w:r>
        <w:rPr>
          <w:rFonts w:hint="eastAsia" w:ascii="仿宋" w:hAnsi="仿宋" w:eastAsia="仿宋" w:cs="仿宋"/>
          <w:b/>
          <w:bCs/>
          <w:sz w:val="32"/>
          <w:szCs w:val="32"/>
          <w:u w:val="none"/>
          <w:lang w:val="en-US" w:eastAsia="zh-CN"/>
        </w:rPr>
        <w:t>一是按期完成租金收缴任务。</w:t>
      </w:r>
      <w:r>
        <w:rPr>
          <w:rFonts w:hint="eastAsia" w:ascii="仿宋" w:hAnsi="仿宋" w:eastAsia="仿宋" w:cs="仿宋"/>
          <w:b w:val="0"/>
          <w:bCs w:val="0"/>
          <w:sz w:val="32"/>
          <w:szCs w:val="32"/>
          <w:u w:val="none"/>
          <w:lang w:val="en-US" w:eastAsia="zh-CN"/>
        </w:rPr>
        <w:t>今年以来，由于就业压力增大，公租房承租户欠租现象突出，我中心上下一心、多措并举、攻坚克难，采取广泛宣传、政策引导、不定时上门催缴等方式开展工作，按期完成520万的年度租金收缴任务。</w:t>
      </w:r>
      <w:r>
        <w:rPr>
          <w:rFonts w:hint="eastAsia" w:ascii="仿宋" w:hAnsi="仿宋" w:eastAsia="仿宋" w:cs="仿宋"/>
          <w:b/>
          <w:bCs/>
          <w:sz w:val="32"/>
          <w:szCs w:val="32"/>
          <w:u w:val="none"/>
          <w:lang w:val="en-US" w:eastAsia="zh-CN"/>
        </w:rPr>
        <w:t>二是不断推进公房秩序整治。</w:t>
      </w:r>
      <w:r>
        <w:rPr>
          <w:rFonts w:hint="eastAsia" w:ascii="仿宋" w:hAnsi="仿宋" w:eastAsia="仿宋" w:cs="仿宋"/>
          <w:sz w:val="32"/>
          <w:szCs w:val="32"/>
          <w:u w:val="none"/>
          <w:lang w:val="en-US" w:eastAsia="zh-CN"/>
        </w:rPr>
        <w:t>今年以来，</w:t>
      </w:r>
      <w:r>
        <w:rPr>
          <w:rFonts w:hint="eastAsia" w:ascii="仿宋" w:hAnsi="仿宋" w:eastAsia="仿宋" w:cs="仿宋"/>
          <w:sz w:val="32"/>
          <w:szCs w:val="32"/>
          <w:u w:val="none"/>
        </w:rPr>
        <w:t>我中心</w:t>
      </w:r>
      <w:r>
        <w:rPr>
          <w:rFonts w:hint="eastAsia" w:ascii="仿宋" w:hAnsi="仿宋" w:eastAsia="仿宋" w:cs="仿宋"/>
          <w:sz w:val="32"/>
          <w:szCs w:val="32"/>
          <w:u w:val="none"/>
          <w:lang w:val="en-US" w:eastAsia="zh-CN"/>
        </w:rPr>
        <w:t>持续开展了</w:t>
      </w:r>
      <w:r>
        <w:rPr>
          <w:rFonts w:hint="eastAsia" w:ascii="仿宋" w:hAnsi="仿宋" w:eastAsia="仿宋" w:cs="仿宋"/>
          <w:sz w:val="32"/>
          <w:szCs w:val="32"/>
          <w:u w:val="none"/>
        </w:rPr>
        <w:t>公租房</w:t>
      </w:r>
      <w:r>
        <w:rPr>
          <w:rFonts w:hint="eastAsia" w:ascii="仿宋" w:hAnsi="仿宋" w:eastAsia="仿宋" w:cs="仿宋"/>
          <w:sz w:val="32"/>
          <w:szCs w:val="32"/>
          <w:u w:val="none"/>
          <w:lang w:val="en-US" w:eastAsia="zh-CN"/>
        </w:rPr>
        <w:t>秩序整治行动，共收回公租房10套，收回欠租60余万元</w:t>
      </w:r>
      <w:r>
        <w:rPr>
          <w:rFonts w:hint="eastAsia" w:ascii="仿宋" w:hAnsi="仿宋" w:eastAsia="仿宋" w:cs="仿宋"/>
          <w:sz w:val="32"/>
          <w:szCs w:val="32"/>
          <w:u w:val="none"/>
        </w:rPr>
        <w:t>。</w:t>
      </w:r>
      <w:r>
        <w:rPr>
          <w:rFonts w:hint="eastAsia" w:ascii="仿宋" w:hAnsi="仿宋" w:eastAsia="仿宋" w:cs="仿宋"/>
          <w:b/>
          <w:bCs/>
          <w:sz w:val="32"/>
          <w:szCs w:val="32"/>
          <w:u w:val="none"/>
          <w:lang w:val="en-US" w:eastAsia="zh-CN"/>
        </w:rPr>
        <w:t>三是积极盘活闲置资产。</w:t>
      </w:r>
      <w:r>
        <w:rPr>
          <w:rFonts w:hint="eastAsia" w:ascii="仿宋" w:hAnsi="仿宋" w:eastAsia="仿宋" w:cs="仿宋"/>
          <w:b w:val="0"/>
          <w:bCs w:val="0"/>
          <w:sz w:val="32"/>
          <w:szCs w:val="32"/>
          <w:u w:val="none"/>
          <w:lang w:val="en-US" w:eastAsia="zh-CN"/>
        </w:rPr>
        <w:t>今年我中心对春和家园北侧87间空置门面</w:t>
      </w:r>
      <w:r>
        <w:rPr>
          <w:rFonts w:hint="eastAsia" w:ascii="仿宋" w:hAnsi="仿宋" w:eastAsia="仿宋"/>
          <w:sz w:val="32"/>
          <w:szCs w:val="32"/>
        </w:rPr>
        <w:t>9679.87m</w:t>
      </w:r>
      <w:r>
        <w:rPr>
          <w:rFonts w:hint="eastAsia" w:ascii="仿宋" w:hAnsi="仿宋" w:eastAsia="仿宋"/>
          <w:sz w:val="32"/>
          <w:szCs w:val="32"/>
          <w:vertAlign w:val="superscript"/>
        </w:rPr>
        <w:t>2</w:t>
      </w:r>
      <w:r>
        <w:rPr>
          <w:rFonts w:hint="eastAsia" w:ascii="仿宋" w:hAnsi="仿宋" w:eastAsia="仿宋" w:cs="仿宋"/>
          <w:b w:val="0"/>
          <w:bCs w:val="0"/>
          <w:sz w:val="32"/>
          <w:szCs w:val="32"/>
          <w:u w:val="none"/>
          <w:lang w:val="en-US" w:eastAsia="zh-CN"/>
        </w:rPr>
        <w:t>向社会公开招拍，</w:t>
      </w:r>
      <w:r>
        <w:rPr>
          <w:rFonts w:hint="eastAsia" w:ascii="仿宋" w:hAnsi="仿宋" w:eastAsia="仿宋" w:cs="仿宋"/>
          <w:color w:val="000000" w:themeColor="text1"/>
          <w:sz w:val="32"/>
          <w:szCs w:val="32"/>
          <w:lang w:val="en-US" w:eastAsia="zh-CN"/>
          <w14:textFill>
            <w14:solidFill>
              <w14:schemeClr w14:val="tx1"/>
            </w14:solidFill>
          </w14:textFill>
        </w:rPr>
        <w:t>2024年5月完成公开拍租。</w:t>
      </w:r>
      <w:r>
        <w:rPr>
          <w:rFonts w:hint="eastAsia" w:ascii="仿宋" w:hAnsi="仿宋" w:eastAsia="仿宋" w:cs="仿宋"/>
          <w:b/>
          <w:bCs/>
          <w:sz w:val="32"/>
          <w:szCs w:val="32"/>
          <w:u w:val="none"/>
          <w:lang w:val="en-US" w:eastAsia="zh-CN"/>
        </w:rPr>
        <w:t>四是努力配合项目建设</w:t>
      </w:r>
      <w:r>
        <w:rPr>
          <w:rFonts w:hint="eastAsia" w:ascii="仿宋" w:hAnsi="仿宋" w:eastAsia="仿宋" w:cs="仿宋"/>
          <w:color w:val="000000" w:themeColor="text1"/>
          <w:sz w:val="32"/>
          <w:szCs w:val="32"/>
          <w:lang w:val="en-US" w:eastAsia="zh-CN"/>
          <w14:textFill>
            <w14:solidFill>
              <w14:schemeClr w14:val="tx1"/>
            </w14:solidFill>
          </w14:textFill>
        </w:rPr>
        <w:t>。为按时完成区政府</w:t>
      </w:r>
      <w:r>
        <w:rPr>
          <w:rFonts w:hint="eastAsia" w:ascii="仿宋" w:hAnsi="仿宋" w:eastAsia="仿宋" w:cs="仿宋"/>
          <w:sz w:val="32"/>
          <w:szCs w:val="32"/>
          <w:lang w:val="en-US" w:eastAsia="zh-CN"/>
        </w:rPr>
        <w:t>洞庭南路历史文化街区建设任务，3月8日我中心成立岳阳市直管公房运营服务中心</w:t>
      </w:r>
      <w:r>
        <w:rPr>
          <w:rFonts w:hint="eastAsia" w:ascii="仿宋" w:hAnsi="仿宋" w:eastAsia="仿宋" w:cs="仿宋"/>
          <w:kern w:val="2"/>
          <w:sz w:val="32"/>
          <w:szCs w:val="32"/>
          <w:lang w:val="en-US" w:eastAsia="zh-CN" w:bidi="ar"/>
        </w:rPr>
        <w:t>洞庭南路二期改造项目腾房领导小组，加班加点，加速推进腾房工作，</w:t>
      </w:r>
      <w:r>
        <w:rPr>
          <w:rFonts w:hint="eastAsia" w:ascii="仿宋" w:hAnsi="仿宋" w:eastAsia="仿宋" w:cs="仿宋"/>
          <w:sz w:val="32"/>
          <w:szCs w:val="32"/>
          <w:lang w:val="en-US" w:eastAsia="zh-CN"/>
        </w:rPr>
        <w:t>截止12月底完成62户公房腾房工作。</w:t>
      </w:r>
    </w:p>
    <w:p w14:paraId="70552053">
      <w:pPr>
        <w:pStyle w:val="11"/>
        <w:keepNext w:val="0"/>
        <w:keepLines w:val="0"/>
        <w:pageBreakBefore w:val="0"/>
        <w:numPr>
          <w:ilvl w:val="0"/>
          <w:numId w:val="0"/>
        </w:numPr>
        <w:kinsoku/>
        <w:wordWrap/>
        <w:overflowPunct/>
        <w:topLinePunct w:val="0"/>
        <w:autoSpaceDE/>
        <w:autoSpaceDN/>
        <w:bidi w:val="0"/>
        <w:adjustRightInd/>
        <w:snapToGrid/>
        <w:spacing w:line="580" w:lineRule="exact"/>
        <w:ind w:leftChars="0" w:firstLine="643" w:firstLineChars="200"/>
        <w:rPr>
          <w:rFonts w:hint="eastAsia" w:ascii="楷体" w:hAnsi="楷体" w:eastAsia="楷体" w:cs="楷体"/>
          <w:b/>
          <w:bCs/>
          <w:sz w:val="32"/>
          <w:szCs w:val="32"/>
          <w:u w:val="none"/>
          <w:lang w:val="en-US" w:eastAsia="zh-CN"/>
        </w:rPr>
      </w:pPr>
      <w:r>
        <w:rPr>
          <w:rFonts w:hint="eastAsia" w:ascii="楷体" w:hAnsi="楷体" w:eastAsia="楷体" w:cs="楷体"/>
          <w:b/>
          <w:bCs/>
          <w:sz w:val="32"/>
          <w:szCs w:val="32"/>
          <w:u w:val="none"/>
          <w:lang w:val="en-US" w:eastAsia="zh-CN"/>
        </w:rPr>
        <w:t>（三）聚焦民生实事，小区建设再上台阶</w:t>
      </w:r>
    </w:p>
    <w:p w14:paraId="51320C8E">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今年以来为落实我区2024年区级重点民生实事工作，全面提升公租房的管理服务水平，我中心开展了一系列工作：</w:t>
      </w:r>
      <w:r>
        <w:rPr>
          <w:rFonts w:hint="eastAsia" w:ascii="仿宋" w:hAnsi="仿宋" w:eastAsia="仿宋" w:cs="仿宋"/>
          <w:b/>
          <w:bCs/>
          <w:sz w:val="32"/>
          <w:szCs w:val="32"/>
          <w:u w:val="none"/>
          <w:lang w:val="en-US" w:eastAsia="zh-CN"/>
        </w:rPr>
        <w:t>一是管服水平显著提高。</w:t>
      </w:r>
      <w:r>
        <w:rPr>
          <w:rFonts w:hint="eastAsia" w:ascii="仿宋" w:hAnsi="仿宋" w:eastAsia="仿宋" w:cs="仿宋"/>
          <w:sz w:val="32"/>
          <w:szCs w:val="32"/>
          <w:u w:val="none"/>
          <w:lang w:val="en-US" w:eastAsia="zh-CN"/>
        </w:rPr>
        <w:t>坚持督查问效，每周不定期对物业公司的服务质量开展督查，以文明、卫生城市的标准抓小区环境；坚持问题导向，热心接待来访人员，及时整改回复公租房领域的各种矛盾问题，截止目前，共计接待来访人员80余次，办理</w:t>
      </w:r>
      <w:r>
        <w:rPr>
          <w:rFonts w:hint="eastAsia" w:ascii="仿宋" w:hAnsi="仿宋" w:eastAsia="仿宋" w:cs="仿宋"/>
          <w:b w:val="0"/>
          <w:bCs w:val="0"/>
          <w:i w:val="0"/>
          <w:caps w:val="0"/>
          <w:color w:val="auto"/>
          <w:spacing w:val="0"/>
          <w:sz w:val="32"/>
          <w:szCs w:val="32"/>
          <w:shd w:val="clear" w:color="auto" w:fill="FFFFFF"/>
          <w:lang w:val="en-US" w:eastAsia="zh-CN"/>
        </w:rPr>
        <w:t>12345政府热线41件，市长信箱3件，信访案件3件，省委巡视组转派信访件2件</w:t>
      </w:r>
      <w:r>
        <w:rPr>
          <w:rFonts w:hint="eastAsia" w:ascii="仿宋" w:hAnsi="仿宋" w:eastAsia="仿宋" w:cs="仿宋"/>
          <w:sz w:val="32"/>
          <w:szCs w:val="32"/>
          <w:u w:val="none"/>
          <w:lang w:val="en-US" w:eastAsia="zh-CN"/>
        </w:rPr>
        <w:t>。</w:t>
      </w:r>
      <w:r>
        <w:rPr>
          <w:rFonts w:hint="eastAsia" w:ascii="仿宋" w:hAnsi="仿宋" w:eastAsia="仿宋" w:cs="仿宋"/>
          <w:b/>
          <w:bCs/>
          <w:sz w:val="32"/>
          <w:szCs w:val="32"/>
          <w:u w:val="none"/>
          <w:lang w:val="en-US" w:eastAsia="zh-CN"/>
        </w:rPr>
        <w:t>二是房屋维修及时快捷。</w:t>
      </w:r>
      <w:r>
        <w:rPr>
          <w:rFonts w:hint="eastAsia" w:ascii="仿宋" w:hAnsi="仿宋" w:eastAsia="仿宋" w:cs="仿宋"/>
          <w:b w:val="0"/>
          <w:bCs w:val="0"/>
          <w:sz w:val="32"/>
          <w:szCs w:val="32"/>
          <w:u w:val="none"/>
          <w:lang w:val="en-US" w:eastAsia="zh-CN"/>
        </w:rPr>
        <w:t>今年以来，在确保安全、尽量节约成本的原则下开展公租房维修养护工作，全年共计维修达到了690余次，确保了承租户申报的一般性问题应修尽修，确保了全年无房屋安全事故。</w:t>
      </w:r>
      <w:r>
        <w:rPr>
          <w:rFonts w:hint="eastAsia" w:ascii="仿宋" w:hAnsi="仿宋" w:eastAsia="仿宋" w:cs="仿宋"/>
          <w:b/>
          <w:bCs/>
          <w:sz w:val="32"/>
          <w:szCs w:val="32"/>
          <w:u w:val="none"/>
          <w:lang w:val="en-US" w:eastAsia="zh-CN"/>
        </w:rPr>
        <w:t>三是小区提质改造圆满完成。</w:t>
      </w:r>
      <w:r>
        <w:rPr>
          <w:rFonts w:hint="eastAsia" w:ascii="仿宋" w:hAnsi="仿宋" w:eastAsia="仿宋" w:cs="仿宋"/>
          <w:kern w:val="2"/>
          <w:sz w:val="32"/>
          <w:szCs w:val="32"/>
          <w:lang w:val="en-US" w:eastAsia="zh-CN" w:bidi="ar-SA"/>
        </w:rPr>
        <w:t>2024年9月春和家园、庆园小区、春晓园、娃娃塘、枫桥湖5个公租房小区配套设施维修改造工程相继竣工验收</w:t>
      </w:r>
      <w:r>
        <w:rPr>
          <w:rFonts w:hint="eastAsia" w:ascii="仿宋" w:hAnsi="仿宋" w:eastAsia="仿宋" w:cs="仿宋"/>
          <w:b w:val="0"/>
          <w:bCs w:val="0"/>
          <w:sz w:val="32"/>
          <w:szCs w:val="32"/>
          <w:u w:val="none"/>
          <w:lang w:val="en-US" w:eastAsia="zh-CN"/>
        </w:rPr>
        <w:t>，小区面貌焕然一新。</w:t>
      </w:r>
      <w:r>
        <w:rPr>
          <w:rFonts w:hint="eastAsia" w:ascii="仿宋" w:hAnsi="仿宋" w:eastAsia="仿宋" w:cs="仿宋"/>
          <w:b/>
          <w:bCs/>
          <w:sz w:val="32"/>
          <w:szCs w:val="32"/>
          <w:u w:val="none"/>
          <w:lang w:val="en-US" w:eastAsia="zh-CN"/>
        </w:rPr>
        <w:t>四是多方联动互帮互助。</w:t>
      </w:r>
      <w:r>
        <w:rPr>
          <w:rFonts w:hint="eastAsia" w:ascii="仿宋" w:hAnsi="仿宋" w:eastAsia="仿宋" w:cs="仿宋"/>
          <w:b w:val="0"/>
          <w:bCs w:val="0"/>
          <w:sz w:val="32"/>
          <w:szCs w:val="32"/>
          <w:u w:val="none"/>
          <w:lang w:val="en-US" w:eastAsia="zh-CN"/>
        </w:rPr>
        <w:t>今年来与街道、社区联系更加紧密，解决了一批多年来一直想解决但无法解决的问题，如枫桥湖廉租房小区内的违章建筑拆除；深化国家卫生城市、全国文明城市建设工作中与辖区街道、社区同部署、同标准、同建设等问题；联合社区采用“群英断是非”工作法解决了部分居民的矛盾纠纷。</w:t>
      </w:r>
    </w:p>
    <w:p w14:paraId="5BAA00E2">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rPr>
          <w:rFonts w:hint="eastAsia" w:ascii="楷体" w:hAnsi="楷体" w:eastAsia="楷体" w:cs="楷体"/>
          <w:sz w:val="32"/>
          <w:szCs w:val="32"/>
          <w:u w:val="none"/>
          <w:lang w:val="en-US" w:eastAsia="zh-CN"/>
        </w:rPr>
      </w:pPr>
      <w:r>
        <w:rPr>
          <w:rFonts w:hint="eastAsia" w:ascii="楷体" w:hAnsi="楷体" w:eastAsia="楷体" w:cs="楷体"/>
          <w:b/>
          <w:bCs/>
          <w:sz w:val="32"/>
          <w:szCs w:val="32"/>
          <w:u w:val="none"/>
          <w:lang w:val="en-US" w:eastAsia="zh-CN"/>
        </w:rPr>
        <w:t>（四）</w:t>
      </w:r>
      <w:r>
        <w:rPr>
          <w:rFonts w:hint="eastAsia" w:ascii="楷体" w:hAnsi="楷体" w:eastAsia="楷体" w:cs="楷体"/>
          <w:b/>
          <w:sz w:val="32"/>
          <w:szCs w:val="32"/>
          <w:u w:val="none"/>
          <w:lang w:val="en-US" w:eastAsia="zh-CN"/>
        </w:rPr>
        <w:t>强化作风建设，干部队伍风清气正</w:t>
      </w:r>
    </w:p>
    <w:p w14:paraId="44418B03">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为更好地适应新形势、新要求，今年来，我中心进一步强化管理，改进作风，全面提高干部队伍素质。按照“团结干事”的总要求，作表率、抓班子、带队伍，通过组织观看典型案件警示教育片、召开专题民主生活会等多种形式，加强对干部职工的思想教育，把作风建设引向深入，做到上下联动、整体推进，以学风促进工作作风，提高为人民服务的本领。</w:t>
      </w:r>
      <w:r>
        <w:rPr>
          <w:rFonts w:hint="eastAsia" w:ascii="仿宋" w:hAnsi="仿宋" w:eastAsia="仿宋" w:cs="仿宋"/>
          <w:b w:val="0"/>
          <w:bCs w:val="0"/>
          <w:sz w:val="32"/>
          <w:szCs w:val="32"/>
          <w:u w:val="none"/>
          <w:lang w:val="en-US" w:eastAsia="zh-CN"/>
        </w:rPr>
        <w:t>出台《“懒政怠政、不作为、慢作为、乱作为、形式主义”专项清理工作实施方案》，严格考勤纪律，加强监督检查，对上下班请销假手续、会议纪律等逐一进行细化管理。同时，完善各项规章制度，落</w:t>
      </w:r>
      <w:r>
        <w:rPr>
          <w:rFonts w:hint="eastAsia" w:ascii="仿宋" w:hAnsi="仿宋" w:eastAsia="仿宋" w:cs="仿宋"/>
          <w:b w:val="0"/>
          <w:bCs/>
          <w:sz w:val="32"/>
          <w:szCs w:val="32"/>
          <w:u w:val="none"/>
          <w:lang w:val="en-US" w:eastAsia="zh-CN"/>
        </w:rPr>
        <w:t>实责任追究，对不按章办事、不作为、慢作为等行为实行严格追究，坚决杜绝“吃、拿、卡、要”和门难进、脸难看、事难办的不正之风，努力打造人民群众满意的服务型队伍。</w:t>
      </w:r>
    </w:p>
    <w:p w14:paraId="6BF80DDD">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rPr>
          <w:rFonts w:hint="eastAsia" w:ascii="楷体" w:hAnsi="楷体" w:eastAsia="楷体" w:cs="楷体"/>
          <w:b/>
          <w:bCs/>
          <w:sz w:val="32"/>
          <w:szCs w:val="32"/>
          <w:u w:val="none"/>
          <w:lang w:val="en-US" w:eastAsia="zh-CN"/>
        </w:rPr>
      </w:pPr>
      <w:r>
        <w:rPr>
          <w:rFonts w:hint="eastAsia" w:ascii="楷体" w:hAnsi="楷体" w:eastAsia="楷体" w:cs="楷体"/>
          <w:b/>
          <w:bCs/>
          <w:sz w:val="32"/>
          <w:szCs w:val="32"/>
          <w:u w:val="none"/>
          <w:lang w:val="en-US" w:eastAsia="zh-CN"/>
        </w:rPr>
        <w:t>（五）接受巡察监督，思想认识全面提高</w:t>
      </w:r>
    </w:p>
    <w:p w14:paraId="43358D72">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今年下半年，我单位接受六届区委第八轮常规巡察，通过两个月的巡察，全体党员干部头脑更加清醒，信念更加坚定。同时积极配合区委巡察组开展好巡察整改工作，凡巡察组发现的问题，我们照单全收，凡巡察组提出的建议，我们认真研究梳理，做到即知即改，立行立改，巡察期间在巡察组的督导下成功收回违规入住的公租房8套，收回欠租10万余元。</w:t>
      </w:r>
    </w:p>
    <w:p w14:paraId="62E75E85">
      <w:pPr>
        <w:keepNext w:val="0"/>
        <w:keepLines w:val="0"/>
        <w:pageBreakBefore w:val="0"/>
        <w:numPr>
          <w:ilvl w:val="0"/>
          <w:numId w:val="3"/>
        </w:numPr>
        <w:kinsoku/>
        <w:wordWrap/>
        <w:overflowPunct/>
        <w:topLinePunct w:val="0"/>
        <w:autoSpaceDE/>
        <w:autoSpaceDN/>
        <w:bidi w:val="0"/>
        <w:adjustRightInd/>
        <w:snapToGrid/>
        <w:spacing w:line="580" w:lineRule="exact"/>
        <w:ind w:left="0" w:leftChars="0" w:firstLine="645" w:firstLineChars="0"/>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特色亮点工作</w:t>
      </w:r>
    </w:p>
    <w:p w14:paraId="5AA9C871">
      <w:pPr>
        <w:keepNext w:val="0"/>
        <w:keepLines w:val="0"/>
        <w:pageBreakBefore w:val="0"/>
        <w:numPr>
          <w:ilvl w:val="0"/>
          <w:numId w:val="4"/>
        </w:numPr>
        <w:kinsoku/>
        <w:wordWrap/>
        <w:overflowPunct/>
        <w:topLinePunct w:val="0"/>
        <w:autoSpaceDE/>
        <w:autoSpaceDN/>
        <w:bidi w:val="0"/>
        <w:adjustRightInd/>
        <w:snapToGrid/>
        <w:spacing w:line="580" w:lineRule="exact"/>
        <w:ind w:firstLine="643" w:firstLineChars="200"/>
        <w:rPr>
          <w:rFonts w:hint="eastAsia" w:ascii="楷体" w:hAnsi="楷体" w:eastAsia="楷体" w:cs="楷体"/>
          <w:b/>
          <w:bCs/>
          <w:sz w:val="32"/>
          <w:szCs w:val="32"/>
          <w:u w:val="none"/>
          <w:lang w:val="en-US" w:eastAsia="zh-CN"/>
        </w:rPr>
      </w:pPr>
      <w:r>
        <w:rPr>
          <w:rFonts w:hint="eastAsia" w:ascii="仿宋" w:hAnsi="仿宋" w:eastAsia="仿宋" w:cs="仿宋"/>
          <w:b/>
          <w:bCs/>
          <w:sz w:val="32"/>
          <w:szCs w:val="32"/>
          <w:u w:val="none"/>
          <w:lang w:val="en-US" w:eastAsia="zh-CN"/>
        </w:rPr>
        <w:t>春和家园等五个公租房小区提质改造</w:t>
      </w:r>
    </w:p>
    <w:p w14:paraId="3FEE5751">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rPr>
          <w:rFonts w:hint="eastAsia" w:ascii="楷体" w:hAnsi="楷体" w:eastAsia="楷体" w:cs="楷体"/>
          <w:b/>
          <w:bCs/>
          <w:sz w:val="32"/>
          <w:szCs w:val="32"/>
          <w:u w:val="none"/>
          <w:lang w:val="en-US" w:eastAsia="zh-CN"/>
        </w:rPr>
      </w:pPr>
      <w:r>
        <w:rPr>
          <w:rFonts w:hint="eastAsia" w:ascii="仿宋" w:hAnsi="仿宋" w:eastAsia="仿宋" w:cs="仿宋"/>
          <w:b w:val="0"/>
          <w:bCs w:val="0"/>
          <w:i w:val="0"/>
          <w:caps w:val="0"/>
          <w:color w:val="auto"/>
          <w:spacing w:val="0"/>
          <w:sz w:val="32"/>
          <w:szCs w:val="32"/>
          <w:shd w:val="clear" w:color="auto" w:fill="FFFFFF"/>
          <w:lang w:val="en-US" w:eastAsia="zh-CN"/>
        </w:rPr>
        <w:t>今年共计投入资金约600万元对春和家园、庆园小区、春晓园、娃娃塘小区、枫桥湖小区5个公租房小区进行了提质改造，公租房小区旧貌换新颜，人居环境得到了极大改善。</w:t>
      </w:r>
    </w:p>
    <w:p w14:paraId="28B7AF7F">
      <w:pPr>
        <w:keepNext w:val="0"/>
        <w:keepLines w:val="0"/>
        <w:pageBreakBefore w:val="0"/>
        <w:numPr>
          <w:ilvl w:val="0"/>
          <w:numId w:val="4"/>
        </w:numPr>
        <w:kinsoku/>
        <w:wordWrap/>
        <w:overflowPunct/>
        <w:topLinePunct w:val="0"/>
        <w:autoSpaceDE/>
        <w:autoSpaceDN/>
        <w:bidi w:val="0"/>
        <w:adjustRightInd/>
        <w:snapToGrid/>
        <w:spacing w:line="580" w:lineRule="exact"/>
        <w:ind w:firstLine="643" w:firstLineChars="200"/>
        <w:rPr>
          <w:rFonts w:hint="default" w:ascii="楷体" w:hAnsi="楷体" w:eastAsia="楷体" w:cs="楷体"/>
          <w:b/>
          <w:bCs/>
          <w:sz w:val="32"/>
          <w:szCs w:val="32"/>
          <w:u w:val="none"/>
          <w:lang w:val="en-US" w:eastAsia="zh-CN"/>
        </w:rPr>
      </w:pPr>
      <w:r>
        <w:rPr>
          <w:rFonts w:hint="eastAsia" w:ascii="楷体" w:hAnsi="楷体" w:eastAsia="楷体" w:cs="楷体"/>
          <w:b/>
          <w:bCs/>
          <w:sz w:val="32"/>
          <w:szCs w:val="32"/>
          <w:u w:val="none"/>
          <w:lang w:val="en-US" w:eastAsia="zh-CN"/>
        </w:rPr>
        <w:t>洞庭南路历史文化街99户公房腾退</w:t>
      </w:r>
    </w:p>
    <w:p w14:paraId="30456EAA">
      <w:pPr>
        <w:keepNext w:val="0"/>
        <w:keepLines w:val="0"/>
        <w:pageBreakBefore w:val="0"/>
        <w:widowControl/>
        <w:numPr>
          <w:ilvl w:val="0"/>
          <w:numId w:val="0"/>
        </w:numPr>
        <w:shd w:val="clear" w:color="auto" w:fill="FFFFFF"/>
        <w:tabs>
          <w:tab w:val="left" w:pos="891"/>
        </w:tabs>
        <w:kinsoku/>
        <w:wordWrap/>
        <w:overflowPunct/>
        <w:topLinePunct w:val="0"/>
        <w:autoSpaceDE/>
        <w:autoSpaceDN/>
        <w:bidi w:val="0"/>
        <w:adjustRightInd/>
        <w:snapToGrid/>
        <w:spacing w:before="0" w:beforeLines="0" w:after="0" w:afterLines="0" w:line="620" w:lineRule="exact"/>
        <w:ind w:right="0" w:rightChars="0" w:firstLine="640" w:firstLineChars="200"/>
        <w:textAlignment w:val="auto"/>
        <w:rPr>
          <w:rFonts w:hint="eastAsia" w:ascii="仿宋" w:hAnsi="仿宋" w:eastAsia="仿宋" w:cs="仿宋"/>
          <w:b w:val="0"/>
          <w:bCs w:val="0"/>
          <w:i w:val="0"/>
          <w:caps w:val="0"/>
          <w:color w:val="auto"/>
          <w:spacing w:val="0"/>
          <w:sz w:val="32"/>
          <w:szCs w:val="32"/>
          <w:shd w:val="clear" w:color="auto" w:fill="FFFFFF"/>
          <w:lang w:val="en-US" w:eastAsia="zh-CN"/>
        </w:rPr>
      </w:pPr>
      <w:r>
        <w:rPr>
          <w:rFonts w:hint="eastAsia" w:ascii="仿宋" w:hAnsi="仿宋" w:eastAsia="仿宋" w:cs="仿宋"/>
          <w:b w:val="0"/>
          <w:bCs w:val="0"/>
          <w:i w:val="0"/>
          <w:caps w:val="0"/>
          <w:color w:val="auto"/>
          <w:spacing w:val="0"/>
          <w:sz w:val="32"/>
          <w:szCs w:val="32"/>
          <w:shd w:val="clear" w:color="auto" w:fill="FFFFFF"/>
          <w:lang w:val="en-US" w:eastAsia="zh-CN"/>
        </w:rPr>
        <w:t>积极配合区委、区政府的城市更新计划，对涉及城市建设规划区域内的直管公房进行了合理处置。在洞庭南路历史文化街区项目中，我中心需要腾房4852.65平方米，共99户，目前已腾退62户，为项目的顺利推进提供了保障。</w:t>
      </w:r>
    </w:p>
    <w:p w14:paraId="1C3A5F58">
      <w:pPr>
        <w:keepNext w:val="0"/>
        <w:keepLines w:val="0"/>
        <w:pageBreakBefore w:val="0"/>
        <w:numPr>
          <w:ilvl w:val="0"/>
          <w:numId w:val="4"/>
        </w:numPr>
        <w:kinsoku/>
        <w:wordWrap/>
        <w:overflowPunct/>
        <w:topLinePunct w:val="0"/>
        <w:autoSpaceDE/>
        <w:autoSpaceDN/>
        <w:bidi w:val="0"/>
        <w:adjustRightInd/>
        <w:snapToGrid/>
        <w:spacing w:line="580" w:lineRule="exact"/>
        <w:ind w:firstLine="643" w:firstLineChars="200"/>
        <w:rPr>
          <w:rFonts w:hint="default" w:ascii="楷体" w:hAnsi="楷体" w:eastAsia="楷体" w:cs="楷体"/>
          <w:b/>
          <w:bCs/>
          <w:sz w:val="32"/>
          <w:szCs w:val="32"/>
          <w:u w:val="none"/>
          <w:lang w:val="en-US" w:eastAsia="zh-CN"/>
        </w:rPr>
      </w:pPr>
      <w:r>
        <w:rPr>
          <w:rFonts w:hint="eastAsia" w:ascii="楷体" w:hAnsi="楷体" w:eastAsia="楷体" w:cs="楷体"/>
          <w:b/>
          <w:bCs/>
          <w:sz w:val="32"/>
          <w:szCs w:val="32"/>
          <w:u w:val="none"/>
          <w:lang w:val="en-US" w:eastAsia="zh-CN"/>
        </w:rPr>
        <w:t>严格开展公租房乱象整治</w:t>
      </w:r>
    </w:p>
    <w:p w14:paraId="4E093804">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rPr>
          <w:rFonts w:hint="eastAsia" w:ascii="仿宋" w:hAnsi="仿宋" w:eastAsia="仿宋" w:cs="仿宋"/>
          <w:b/>
          <w:bCs/>
          <w:sz w:val="32"/>
          <w:szCs w:val="32"/>
          <w:u w:val="none"/>
          <w:lang w:val="en-US" w:eastAsia="zh-CN"/>
        </w:rPr>
      </w:pPr>
      <w:r>
        <w:rPr>
          <w:rFonts w:hint="eastAsia" w:ascii="仿宋" w:hAnsi="仿宋" w:eastAsia="仿宋" w:cs="仿宋"/>
          <w:b w:val="0"/>
          <w:bCs w:val="0"/>
          <w:i w:val="0"/>
          <w:caps w:val="0"/>
          <w:color w:val="auto"/>
          <w:spacing w:val="0"/>
          <w:sz w:val="32"/>
          <w:szCs w:val="32"/>
          <w:shd w:val="clear" w:color="auto" w:fill="FFFFFF"/>
          <w:lang w:val="en-US" w:eastAsia="zh-CN"/>
        </w:rPr>
        <w:t>不断推进公租房秩序整治。今年以来，我中心持续开展了公租房秩序整治行动。靶向纠治公租房领域转租、转借、恶意欠租等问题，截止2024年底已收回公租房10套，收回欠租60余万元。公租房运营秩序愈加规范。</w:t>
      </w:r>
    </w:p>
    <w:p w14:paraId="1A3D5F16">
      <w:pPr>
        <w:keepNext w:val="0"/>
        <w:keepLines w:val="0"/>
        <w:pageBreakBefore w:val="0"/>
        <w:numPr>
          <w:ilvl w:val="0"/>
          <w:numId w:val="4"/>
        </w:numPr>
        <w:kinsoku/>
        <w:wordWrap/>
        <w:overflowPunct/>
        <w:topLinePunct w:val="0"/>
        <w:autoSpaceDE/>
        <w:autoSpaceDN/>
        <w:bidi w:val="0"/>
        <w:adjustRightInd/>
        <w:snapToGrid/>
        <w:spacing w:line="580" w:lineRule="exact"/>
        <w:ind w:firstLine="643" w:firstLineChars="200"/>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春和家园门面拍租</w:t>
      </w:r>
    </w:p>
    <w:p w14:paraId="3035A051">
      <w:pPr>
        <w:keepNext w:val="0"/>
        <w:keepLines w:val="0"/>
        <w:pageBreakBefore w:val="0"/>
        <w:widowControl/>
        <w:numPr>
          <w:ilvl w:val="0"/>
          <w:numId w:val="0"/>
        </w:numPr>
        <w:shd w:val="clear" w:color="auto" w:fill="FFFFFF"/>
        <w:tabs>
          <w:tab w:val="left" w:pos="891"/>
        </w:tabs>
        <w:kinsoku/>
        <w:wordWrap/>
        <w:overflowPunct/>
        <w:topLinePunct w:val="0"/>
        <w:autoSpaceDE/>
        <w:autoSpaceDN/>
        <w:bidi w:val="0"/>
        <w:adjustRightInd/>
        <w:snapToGrid/>
        <w:spacing w:before="0" w:beforeLines="0" w:after="0" w:afterLines="0" w:line="620" w:lineRule="exact"/>
        <w:ind w:right="0" w:rightChars="0" w:firstLine="640" w:firstLineChars="200"/>
        <w:textAlignment w:val="auto"/>
        <w:rPr>
          <w:rFonts w:hint="eastAsia" w:ascii="仿宋" w:hAnsi="仿宋" w:eastAsia="仿宋" w:cs="仿宋"/>
          <w:b w:val="0"/>
          <w:bCs w:val="0"/>
          <w:i w:val="0"/>
          <w:caps w:val="0"/>
          <w:color w:val="auto"/>
          <w:spacing w:val="0"/>
          <w:sz w:val="32"/>
          <w:szCs w:val="32"/>
          <w:shd w:val="clear" w:color="auto" w:fill="FFFFFF"/>
          <w:lang w:val="en-US" w:eastAsia="zh-CN"/>
        </w:rPr>
      </w:pPr>
      <w:r>
        <w:rPr>
          <w:rFonts w:hint="eastAsia" w:ascii="仿宋" w:hAnsi="仿宋" w:eastAsia="仿宋" w:cs="仿宋"/>
          <w:b w:val="0"/>
          <w:bCs w:val="0"/>
          <w:sz w:val="32"/>
          <w:szCs w:val="32"/>
          <w:u w:val="none"/>
          <w:lang w:val="en-US" w:eastAsia="zh-CN"/>
        </w:rPr>
        <w:t>为增加财政收入，盘活闲置资产，今年，我中心对春和家园近一万平米的配套商业门面在完善基础设施、补齐各种资料的前提下，面向社会公开招拍，</w:t>
      </w:r>
      <w:r>
        <w:rPr>
          <w:rFonts w:hint="eastAsia" w:ascii="仿宋" w:hAnsi="仿宋" w:eastAsia="仿宋" w:cs="仿宋"/>
          <w:color w:val="000000"/>
          <w:sz w:val="32"/>
          <w:szCs w:val="32"/>
          <w:lang w:val="en-US" w:eastAsia="zh-CN"/>
        </w:rPr>
        <w:t>2024年5月完成公开拍租，预计每年节约物业费13万余元，增加租金收入36万余元。</w:t>
      </w:r>
    </w:p>
    <w:p w14:paraId="023B93FC">
      <w:pPr>
        <w:keepNext w:val="0"/>
        <w:keepLines w:val="0"/>
        <w:pageBreakBefore w:val="0"/>
        <w:numPr>
          <w:ilvl w:val="0"/>
          <w:numId w:val="0"/>
        </w:numPr>
        <w:kinsoku/>
        <w:wordWrap/>
        <w:overflowPunct/>
        <w:topLinePunct w:val="0"/>
        <w:autoSpaceDE/>
        <w:autoSpaceDN/>
        <w:bidi w:val="0"/>
        <w:adjustRightInd/>
        <w:snapToGrid/>
        <w:spacing w:line="580" w:lineRule="exact"/>
        <w:ind w:left="645" w:leftChars="0"/>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（七）、存在的问题及原因分析</w:t>
      </w:r>
    </w:p>
    <w:p w14:paraId="388CE94E">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（一）职责职能尚未理顺</w:t>
      </w:r>
    </w:p>
    <w:p w14:paraId="05B43A66">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rPr>
          <w:rFonts w:hint="default"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自事权下沉楼区以来，部分职责仍需明确，一是公租房的分配主体问题，来访群众反映最多的就是公租房分配、轮候等问题，我中心在政策解读上底气不足。二是公租房乱象整治的部门联动不够，没有形成合力，执法主体急需解决。</w:t>
      </w:r>
    </w:p>
    <w:p w14:paraId="4AA091B7">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（二）历史遗留问题较多</w:t>
      </w:r>
    </w:p>
    <w:p w14:paraId="3C9F48D6">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2021年机构改革下沉楼区后，历年来所欠公租房维修款及公租房小区物业管理补贴共计247万余元尚未支付。长期欠款，久拖不结，不仅给我单位正常运转造成了困扰，更影响了公租房后续的维修维护。另外历年来我单位运营管理的公租房，每户收取了几百到一千余元不等的租赁保证金，2021年，国家审计署驻长沙特派办要求将租赁保证金退回给租户。市住保中心已退付保证金 377 万元，还有105万余元尚未退付。</w:t>
      </w:r>
    </w:p>
    <w:p w14:paraId="1642639A">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（三）公租房维修资金有限</w:t>
      </w:r>
    </w:p>
    <w:p w14:paraId="548B9290">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我单位运营的公租房大多比较老旧，破损严重，维修成本高，维修资金不能满足重大维修项目的需求。如：春和家园小区12台高层电梯（两梯14户，共18层）严重超负荷运行了10年，经常出现故障，存在严重安全隐患，急需整体更换。今年9月份2栋一台电梯出现故障已无维修价值，我单位在资金困难的情况下，通过压缩其他维修费用应急更换了一台电梯。但其他11台电梯仍存在较大的问题，急需专项资金予以更换。春和家园还存在外墙渗水，瓷砖脱落的情况。另有一些公租房建于上世纪50、60年代，老化严重，还有一些公租房与私房共栋混搭，管理、维修成本都很大。</w:t>
      </w:r>
    </w:p>
    <w:p w14:paraId="38EFD2BC">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rPr>
          <w:rFonts w:hint="eastAsia" w:ascii="楷体" w:hAnsi="楷体" w:eastAsia="楷体" w:cs="楷体"/>
          <w:b/>
          <w:bCs/>
          <w:sz w:val="32"/>
          <w:szCs w:val="32"/>
          <w:u w:val="none"/>
          <w:lang w:val="en-US" w:eastAsia="zh-CN"/>
        </w:rPr>
      </w:pPr>
      <w:r>
        <w:rPr>
          <w:rFonts w:hint="eastAsia" w:ascii="楷体" w:hAnsi="楷体" w:eastAsia="楷体" w:cs="楷体"/>
          <w:b/>
          <w:bCs/>
          <w:sz w:val="32"/>
          <w:szCs w:val="32"/>
          <w:u w:val="none"/>
          <w:lang w:val="en-US" w:eastAsia="zh-CN"/>
        </w:rPr>
        <w:t>（四）技术人员缺少</w:t>
      </w:r>
    </w:p>
    <w:p w14:paraId="5FA3DFC9">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今年，六届区委第一巡察组在对我单位的常规巡察中发现，我单位部分专业岗位没有配备专业技术人员，工作质量偏低，还存在用工风险。</w:t>
      </w:r>
    </w:p>
    <w:p w14:paraId="3595D6F2">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rPr>
          <w:rFonts w:hint="default" w:ascii="楷体" w:hAnsi="楷体" w:eastAsia="楷体" w:cs="楷体"/>
          <w:b/>
          <w:bCs/>
          <w:sz w:val="32"/>
          <w:szCs w:val="32"/>
          <w:u w:val="none"/>
          <w:lang w:val="en-US" w:eastAsia="zh-CN"/>
        </w:rPr>
      </w:pPr>
      <w:r>
        <w:rPr>
          <w:rFonts w:hint="eastAsia" w:ascii="楷体" w:hAnsi="楷体" w:eastAsia="楷体" w:cs="楷体"/>
          <w:b/>
          <w:bCs/>
          <w:sz w:val="32"/>
          <w:szCs w:val="32"/>
          <w:u w:val="none"/>
          <w:lang w:val="en-US" w:eastAsia="zh-CN"/>
        </w:rPr>
        <w:t>（五）多层公租房租户上下楼困难问题突出</w:t>
      </w:r>
    </w:p>
    <w:p w14:paraId="5ACE7A7D">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我们共运营管理169个单元的多层公租房，随着租住时间推移，截止2024年底，70岁以上928人，残疾人603人，这些群体上下楼梯困难，申请调换低楼层房屋或电梯房的租户越来越多，急需对多层公租房加装电梯。</w:t>
      </w:r>
    </w:p>
    <w:p w14:paraId="198883C7">
      <w:pPr>
        <w:keepNext w:val="0"/>
        <w:keepLines w:val="0"/>
        <w:pageBreakBefore w:val="0"/>
        <w:numPr>
          <w:ilvl w:val="0"/>
          <w:numId w:val="5"/>
        </w:numPr>
        <w:kinsoku/>
        <w:wordWrap/>
        <w:overflowPunct/>
        <w:topLinePunct w:val="0"/>
        <w:autoSpaceDE/>
        <w:autoSpaceDN/>
        <w:bidi w:val="0"/>
        <w:adjustRightInd/>
        <w:snapToGrid/>
        <w:spacing w:line="580" w:lineRule="exact"/>
        <w:ind w:firstLine="640" w:firstLineChars="200"/>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下一步改进措施、工作建议</w:t>
      </w:r>
    </w:p>
    <w:p w14:paraId="2741DD3F">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（一）再接再厉搞好项目建设</w:t>
      </w:r>
    </w:p>
    <w:p w14:paraId="47E2A0C0">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对各公租房小区的基础设施、惠民工程再调查、再摸底，制作详细整改清单，按照清单轻重缓急制定2025年旧改方案。</w:t>
      </w:r>
    </w:p>
    <w:p w14:paraId="0C61510D">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rPr>
          <w:rFonts w:hint="eastAsia" w:ascii="仿宋" w:hAnsi="仿宋" w:eastAsia="仿宋" w:cs="仿宋"/>
          <w:b/>
          <w:bCs/>
          <w:sz w:val="32"/>
          <w:szCs w:val="32"/>
          <w:u w:val="none"/>
          <w:lang w:val="en-US" w:eastAsia="zh-CN"/>
        </w:rPr>
      </w:pPr>
      <w:r>
        <w:rPr>
          <w:rFonts w:hint="eastAsia" w:ascii="楷体" w:hAnsi="楷体" w:eastAsia="楷体" w:cs="楷体"/>
          <w:b/>
          <w:bCs/>
          <w:sz w:val="32"/>
          <w:szCs w:val="32"/>
          <w:u w:val="none"/>
          <w:lang w:val="en-US" w:eastAsia="zh-CN"/>
        </w:rPr>
        <w:t>（二）</w:t>
      </w:r>
      <w:r>
        <w:rPr>
          <w:rFonts w:hint="eastAsia" w:ascii="仿宋" w:hAnsi="仿宋" w:eastAsia="仿宋" w:cs="仿宋"/>
          <w:b/>
          <w:bCs/>
          <w:sz w:val="32"/>
          <w:szCs w:val="32"/>
          <w:u w:val="none"/>
          <w:lang w:val="en-US" w:eastAsia="zh-CN"/>
        </w:rPr>
        <w:t>走深走实运营服务质量</w:t>
      </w:r>
    </w:p>
    <w:p w14:paraId="6C155080">
      <w:pPr>
        <w:keepNext w:val="0"/>
        <w:keepLines w:val="0"/>
        <w:pageBreakBefore w:val="0"/>
        <w:numPr>
          <w:ilvl w:val="0"/>
          <w:numId w:val="0"/>
        </w:numPr>
        <w:kinsoku/>
        <w:wordWrap/>
        <w:overflowPunct/>
        <w:topLinePunct w:val="0"/>
        <w:autoSpaceDE/>
        <w:autoSpaceDN/>
        <w:bidi w:val="0"/>
        <w:adjustRightInd/>
        <w:snapToGrid/>
        <w:spacing w:line="580" w:lineRule="exact"/>
        <w:ind w:leftChars="200"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进一步规范公房运营秩序，立足为民服务理念，拓宽监管举措，在租金收缴、维修维护、物业服务上要有新的要求、新的举措、新的突破。及时掌握运营过程中的突出苗头性、倾向性问题，将矛盾化解在小区、在居民家里。</w:t>
      </w:r>
    </w:p>
    <w:p w14:paraId="0220634C">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rPr>
          <w:rFonts w:hint="eastAsia" w:ascii="仿宋" w:hAnsi="仿宋" w:eastAsia="仿宋" w:cs="仿宋"/>
          <w:b/>
          <w:bCs/>
          <w:sz w:val="32"/>
          <w:szCs w:val="32"/>
          <w:u w:val="none"/>
          <w:lang w:val="en-US" w:eastAsia="zh-CN"/>
        </w:rPr>
      </w:pPr>
      <w:r>
        <w:rPr>
          <w:rFonts w:hint="eastAsia" w:ascii="楷体" w:hAnsi="楷体" w:eastAsia="楷体" w:cs="楷体"/>
          <w:b/>
          <w:bCs/>
          <w:sz w:val="32"/>
          <w:szCs w:val="32"/>
          <w:u w:val="none"/>
          <w:lang w:val="en-US" w:eastAsia="zh-CN"/>
        </w:rPr>
        <w:t>（三）</w:t>
      </w:r>
      <w:r>
        <w:rPr>
          <w:rFonts w:hint="eastAsia" w:ascii="仿宋" w:hAnsi="仿宋" w:eastAsia="仿宋" w:cs="仿宋"/>
          <w:b/>
          <w:bCs/>
          <w:sz w:val="32"/>
          <w:szCs w:val="32"/>
          <w:u w:val="none"/>
          <w:lang w:val="en-US" w:eastAsia="zh-CN"/>
        </w:rPr>
        <w:t>多措并举守好安全底线</w:t>
      </w:r>
    </w:p>
    <w:p w14:paraId="39BA0C0C">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rPr>
          <w:rFonts w:hint="eastAsia" w:ascii="方正仿宋_GB2312" w:hAnsi="方正仿宋_GB2312" w:eastAsia="方正仿宋_GB2312" w:cs="方正仿宋_GB2312"/>
          <w:b w:val="0"/>
          <w:bCs w:val="0"/>
          <w:sz w:val="32"/>
          <w:szCs w:val="32"/>
          <w:lang w:val="en-US" w:eastAsia="zh-CN"/>
        </w:rPr>
      </w:pPr>
      <w:r>
        <w:rPr>
          <w:rFonts w:hint="eastAsia" w:ascii="仿宋" w:hAnsi="仿宋" w:eastAsia="仿宋" w:cs="仿宋"/>
          <w:b w:val="0"/>
          <w:bCs w:val="0"/>
          <w:sz w:val="32"/>
          <w:szCs w:val="32"/>
          <w:lang w:val="en-US" w:eastAsia="zh-CN"/>
        </w:rPr>
        <w:t>建立健全安全生产责任体系，完善安全生产机制，巩固提升安全风险整治效果，扎实做好房屋安全评估工作，在涉及到建筑安全的事项上，做到及时疏散、尽快处理、应修尽修。</w:t>
      </w:r>
    </w:p>
    <w:p w14:paraId="1D5019C4">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rPr>
          <w:rFonts w:hint="eastAsia" w:ascii="楷体" w:hAnsi="楷体" w:eastAsia="楷体" w:cs="楷体"/>
          <w:b/>
          <w:bCs/>
          <w:sz w:val="32"/>
          <w:szCs w:val="32"/>
          <w:u w:val="none"/>
          <w:lang w:val="en-US" w:eastAsia="zh-CN"/>
        </w:rPr>
      </w:pPr>
      <w:r>
        <w:rPr>
          <w:rFonts w:hint="eastAsia" w:ascii="楷体" w:hAnsi="楷体" w:eastAsia="楷体" w:cs="楷体"/>
          <w:b/>
          <w:bCs/>
          <w:sz w:val="32"/>
          <w:szCs w:val="32"/>
          <w:u w:val="none"/>
          <w:lang w:val="en-US" w:eastAsia="zh-CN"/>
        </w:rPr>
        <w:t>（四）</w:t>
      </w:r>
      <w:r>
        <w:rPr>
          <w:rFonts w:hint="eastAsia" w:ascii="仿宋" w:hAnsi="仿宋" w:eastAsia="仿宋" w:cs="仿宋"/>
          <w:b/>
          <w:bCs/>
          <w:sz w:val="32"/>
          <w:szCs w:val="32"/>
          <w:u w:val="none"/>
          <w:lang w:val="en-US" w:eastAsia="zh-CN"/>
        </w:rPr>
        <w:t>从严从实抓好廉政建设</w:t>
      </w:r>
    </w:p>
    <w:p w14:paraId="176642E2">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开展专题学习，夯实思想基础，聚焦一线民生，对房管所开展常态化监管，努力提高承租户的幸福感、获得感；坚持全面从严治党方针，建设清廉机关，组织机关党员全面学习《中国共产党纪律处分条例》，教育党员干部从思想源头上筑牢防线，不踩“红线”，守住“底线”。</w:t>
      </w:r>
    </w:p>
    <w:p w14:paraId="65534D2D">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（五）坚定决心搞好巡察整改</w:t>
      </w:r>
    </w:p>
    <w:p w14:paraId="58E0357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b w:val="0"/>
          <w:bCs w:val="0"/>
          <w:sz w:val="32"/>
          <w:szCs w:val="32"/>
          <w:lang w:val="en-US" w:eastAsia="zh-CN"/>
        </w:rPr>
        <w:t>以巡察反馈问题为导向，深入剖析问题，明确其根源与影响范围。将问题按性质分类及班子成员分工，为每个问题设定专人负责，规定严格的整改期限。在整改措施方面，从制度完善、人员培训、流程优化等多维度着手，定期开展整改情况检查，对未达预期的部分及时调整策略，同时建立长效机制，防止问题再次出现，以提升整体工作质量与合规性。</w:t>
      </w:r>
    </w:p>
    <w:p w14:paraId="54AC60EA">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(六）下一步改进措施</w:t>
      </w:r>
    </w:p>
    <w:p w14:paraId="6B98BD13">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于以上问题，我们将认真应对，优化资金分配，提高使用效益。一是加强绩效业务人员培训力度，建立健全绩效管理制度，进一步科学完善绩效指标体系，编制范围尽可能全面，不遗不漏。二是进一步细化公租房治理机制，</w:t>
      </w:r>
      <w:r>
        <w:rPr>
          <w:rFonts w:hint="eastAsia" w:ascii="仿宋" w:hAnsi="仿宋" w:eastAsia="仿宋"/>
          <w:sz w:val="32"/>
          <w:szCs w:val="32"/>
        </w:rPr>
        <w:t>为</w:t>
      </w:r>
      <w:r>
        <w:rPr>
          <w:rFonts w:ascii="仿宋" w:hAnsi="仿宋" w:eastAsia="仿宋"/>
          <w:sz w:val="32"/>
          <w:szCs w:val="32"/>
        </w:rPr>
        <w:t>提高行政效率和公信力，务必扎实推进依法行政，</w:t>
      </w:r>
      <w:r>
        <w:rPr>
          <w:rFonts w:hint="eastAsia" w:ascii="仿宋" w:hAnsi="仿宋" w:eastAsia="仿宋"/>
          <w:sz w:val="32"/>
          <w:szCs w:val="32"/>
        </w:rPr>
        <w:t>完善公租房退出机制，起草地方法规，做到有法可依，让更多保障对象早日得到保障</w:t>
      </w:r>
      <w:r>
        <w:rPr>
          <w:rFonts w:hint="eastAsia" w:ascii="仿宋" w:hAnsi="仿宋" w:eastAsia="仿宋" w:cs="仿宋"/>
          <w:sz w:val="32"/>
          <w:szCs w:val="32"/>
          <w:lang w:val="en-US" w:eastAsia="zh-CN"/>
        </w:rPr>
        <w:t>;三是将以严谨、务实的态度，夯实采购数据库，以详实的数据做好每一次采购工作。四是按照上级部门常态化工作要求，持续保持定力，确保方向不变、力度不减，从严治标，持续治本。</w:t>
      </w:r>
    </w:p>
    <w:p w14:paraId="418523B7">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九、单位整体支出绩效自评结果拟应用和公开情况</w:t>
      </w:r>
    </w:p>
    <w:p w14:paraId="1236EE5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仿宋" w:hAnsi="仿宋" w:eastAsia="仿宋" w:cs="仿宋"/>
          <w:color w:val="auto"/>
          <w:spacing w:val="0"/>
          <w:position w:val="0"/>
          <w:sz w:val="32"/>
          <w:szCs w:val="32"/>
          <w:lang w:val="en-US" w:eastAsia="zh-CN"/>
        </w:rPr>
      </w:pPr>
      <w:r>
        <w:rPr>
          <w:rFonts w:hint="eastAsia" w:ascii="仿宋" w:hAnsi="仿宋" w:eastAsia="仿宋" w:cs="仿宋"/>
          <w:color w:val="auto"/>
          <w:spacing w:val="0"/>
          <w:position w:val="0"/>
          <w:sz w:val="32"/>
          <w:szCs w:val="32"/>
          <w:lang w:val="en-US" w:eastAsia="zh-CN"/>
        </w:rPr>
        <w:t>根据楼区财政局规定，我单位将在楼区政府门户网公示2024年度绩效自评结果，接受社会各界的监督。</w:t>
      </w:r>
    </w:p>
    <w:p w14:paraId="0B1593C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b/>
          <w:bCs/>
          <w:color w:val="auto"/>
          <w:lang w:val="en-US" w:eastAsia="zh-CN"/>
        </w:rPr>
      </w:pPr>
      <w:r>
        <w:rPr>
          <w:rFonts w:hint="eastAsia" w:ascii="黑体" w:hAnsi="黑体" w:eastAsia="黑体" w:cs="黑体"/>
          <w:b/>
          <w:bCs/>
          <w:color w:val="auto"/>
          <w:spacing w:val="0"/>
          <w:position w:val="0"/>
          <w:sz w:val="32"/>
          <w:szCs w:val="32"/>
          <w:lang w:val="en-US" w:eastAsia="zh-CN"/>
        </w:rPr>
        <w:t>十、其他需要说明的情况</w:t>
      </w:r>
    </w:p>
    <w:p w14:paraId="1A42C441">
      <w:pPr>
        <w:pStyle w:val="2"/>
        <w:ind w:firstLine="640" w:firstLineChars="200"/>
        <w:rPr>
          <w:rFonts w:hint="eastAsia"/>
          <w:spacing w:val="7"/>
          <w:lang w:eastAsia="zh-CN"/>
        </w:rPr>
      </w:pPr>
      <w:r>
        <w:rPr>
          <w:rFonts w:hint="eastAsia" w:ascii="仿宋" w:hAnsi="仿宋" w:eastAsia="仿宋" w:cs="仿宋"/>
          <w:color w:val="auto"/>
          <w:spacing w:val="0"/>
          <w:position w:val="0"/>
          <w:sz w:val="32"/>
          <w:szCs w:val="32"/>
          <w:lang w:val="en-US" w:eastAsia="zh-CN"/>
        </w:rPr>
        <w:t>无。</w:t>
      </w:r>
    </w:p>
    <w:sectPr>
      <w:footerReference r:id="rId4" w:type="default"/>
      <w:pgSz w:w="11906" w:h="16838"/>
      <w:pgMar w:top="1145" w:right="1009" w:bottom="1026" w:left="10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8B494">
    <w:pPr>
      <w:pStyle w:val="3"/>
      <w:spacing w:before="1" w:line="174" w:lineRule="auto"/>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F6A2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D3F6A2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9C92C">
    <w:pPr>
      <w:pStyle w:val="3"/>
      <w:spacing w:before="1" w:line="174" w:lineRule="auto"/>
      <w:ind w:left="574"/>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3C7CF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43C7CF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D7FFD"/>
    <w:multiLevelType w:val="singleLevel"/>
    <w:tmpl w:val="911D7FFD"/>
    <w:lvl w:ilvl="0" w:tentative="0">
      <w:start w:val="1"/>
      <w:numFmt w:val="chineseCounting"/>
      <w:lvlText w:val="(%1)"/>
      <w:lvlJc w:val="left"/>
      <w:pPr>
        <w:tabs>
          <w:tab w:val="left" w:pos="312"/>
        </w:tabs>
      </w:pPr>
      <w:rPr>
        <w:rFonts w:hint="eastAsia"/>
      </w:rPr>
    </w:lvl>
  </w:abstractNum>
  <w:abstractNum w:abstractNumId="1">
    <w:nsid w:val="BC651ED3"/>
    <w:multiLevelType w:val="singleLevel"/>
    <w:tmpl w:val="BC651ED3"/>
    <w:lvl w:ilvl="0" w:tentative="0">
      <w:start w:val="8"/>
      <w:numFmt w:val="chineseCounting"/>
      <w:suff w:val="nothing"/>
      <w:lvlText w:val="%1、"/>
      <w:lvlJc w:val="left"/>
      <w:rPr>
        <w:rFonts w:hint="eastAsia"/>
      </w:rPr>
    </w:lvl>
  </w:abstractNum>
  <w:abstractNum w:abstractNumId="2">
    <w:nsid w:val="DC96D3DF"/>
    <w:multiLevelType w:val="singleLevel"/>
    <w:tmpl w:val="DC96D3DF"/>
    <w:lvl w:ilvl="0" w:tentative="0">
      <w:start w:val="1"/>
      <w:numFmt w:val="chineseCounting"/>
      <w:suff w:val="nothing"/>
      <w:lvlText w:val="（%1）"/>
      <w:lvlJc w:val="left"/>
      <w:rPr>
        <w:rFonts w:hint="eastAsia" w:ascii="仿宋" w:hAnsi="仿宋" w:eastAsia="仿宋" w:cs="仿宋"/>
      </w:rPr>
    </w:lvl>
  </w:abstractNum>
  <w:abstractNum w:abstractNumId="3">
    <w:nsid w:val="072E1358"/>
    <w:multiLevelType w:val="singleLevel"/>
    <w:tmpl w:val="072E1358"/>
    <w:lvl w:ilvl="0" w:tentative="0">
      <w:start w:val="1"/>
      <w:numFmt w:val="chineseCounting"/>
      <w:suff w:val="nothing"/>
      <w:lvlText w:val="%1、"/>
      <w:lvlJc w:val="left"/>
      <w:rPr>
        <w:rFonts w:hint="eastAsia"/>
      </w:rPr>
    </w:lvl>
  </w:abstractNum>
  <w:abstractNum w:abstractNumId="4">
    <w:nsid w:val="77088F79"/>
    <w:multiLevelType w:val="singleLevel"/>
    <w:tmpl w:val="77088F79"/>
    <w:lvl w:ilvl="0" w:tentative="0">
      <w:start w:val="1"/>
      <w:numFmt w:val="chineseCounting"/>
      <w:suff w:val="nothing"/>
      <w:lvlText w:val="%1、"/>
      <w:lvlJc w:val="left"/>
      <w:rPr>
        <w:rFonts w:hint="eastAsia"/>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NTA2NDNmMDI4MzgzNzRlM2U3MmM3ZmQxZjU4MDM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1F4265"/>
    <w:rsid w:val="02363BD8"/>
    <w:rsid w:val="023809F7"/>
    <w:rsid w:val="02431066"/>
    <w:rsid w:val="02595CF1"/>
    <w:rsid w:val="025C47D6"/>
    <w:rsid w:val="0263675C"/>
    <w:rsid w:val="02656E75"/>
    <w:rsid w:val="0266462D"/>
    <w:rsid w:val="027431E5"/>
    <w:rsid w:val="02760A27"/>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55551"/>
    <w:rsid w:val="055F3A4C"/>
    <w:rsid w:val="05621117"/>
    <w:rsid w:val="056D275D"/>
    <w:rsid w:val="057448C8"/>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57009F"/>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676BC"/>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DB117D"/>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BE467B"/>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4EF7"/>
    <w:rsid w:val="0E11550B"/>
    <w:rsid w:val="0E1E619E"/>
    <w:rsid w:val="0E207478"/>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0A326B"/>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2DE2"/>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022AB5"/>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C87522"/>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239FC"/>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40D26"/>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73705"/>
    <w:rsid w:val="1BF80892"/>
    <w:rsid w:val="1C0435DD"/>
    <w:rsid w:val="1C044A22"/>
    <w:rsid w:val="1C0500B1"/>
    <w:rsid w:val="1C165874"/>
    <w:rsid w:val="1C1D4C3D"/>
    <w:rsid w:val="1C212C7F"/>
    <w:rsid w:val="1C3A6458"/>
    <w:rsid w:val="1C416491"/>
    <w:rsid w:val="1C4C28F3"/>
    <w:rsid w:val="1C51648E"/>
    <w:rsid w:val="1C552287"/>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AF24EA"/>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2617E"/>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C740D"/>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01B1F"/>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222FB"/>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2FC6A5B"/>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3D0A5B"/>
    <w:rsid w:val="255061EE"/>
    <w:rsid w:val="255A0F8D"/>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60F58"/>
    <w:rsid w:val="28083AAF"/>
    <w:rsid w:val="280D297A"/>
    <w:rsid w:val="282705F3"/>
    <w:rsid w:val="28276A98"/>
    <w:rsid w:val="282D426D"/>
    <w:rsid w:val="283E4B96"/>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752CE2"/>
    <w:rsid w:val="298756CC"/>
    <w:rsid w:val="29A81FA5"/>
    <w:rsid w:val="29AB297C"/>
    <w:rsid w:val="29C535D7"/>
    <w:rsid w:val="29C65905"/>
    <w:rsid w:val="29CD16A4"/>
    <w:rsid w:val="29D478FA"/>
    <w:rsid w:val="29D94598"/>
    <w:rsid w:val="29DA5777"/>
    <w:rsid w:val="29DF2425"/>
    <w:rsid w:val="29E40890"/>
    <w:rsid w:val="29E46D67"/>
    <w:rsid w:val="29E90B31"/>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1690F"/>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04F0C"/>
    <w:rsid w:val="2D4E073F"/>
    <w:rsid w:val="2D510DD6"/>
    <w:rsid w:val="2D5A7835"/>
    <w:rsid w:val="2D6578A0"/>
    <w:rsid w:val="2D6B21D3"/>
    <w:rsid w:val="2D6D2389"/>
    <w:rsid w:val="2D7343C9"/>
    <w:rsid w:val="2D9F7082"/>
    <w:rsid w:val="2DA20908"/>
    <w:rsid w:val="2DB45073"/>
    <w:rsid w:val="2DB713DE"/>
    <w:rsid w:val="2DC72B92"/>
    <w:rsid w:val="2DE44256"/>
    <w:rsid w:val="2DE557EB"/>
    <w:rsid w:val="2E0449DE"/>
    <w:rsid w:val="2E0E6D42"/>
    <w:rsid w:val="2E0F4249"/>
    <w:rsid w:val="2E2F0A58"/>
    <w:rsid w:val="2E301D0F"/>
    <w:rsid w:val="2E372A65"/>
    <w:rsid w:val="2E447583"/>
    <w:rsid w:val="2E4B4467"/>
    <w:rsid w:val="2E5520B9"/>
    <w:rsid w:val="2E5E24D0"/>
    <w:rsid w:val="2E63548C"/>
    <w:rsid w:val="2E640C1C"/>
    <w:rsid w:val="2E642D9D"/>
    <w:rsid w:val="2E6B523D"/>
    <w:rsid w:val="2E704114"/>
    <w:rsid w:val="2E7A08F9"/>
    <w:rsid w:val="2E7B33BD"/>
    <w:rsid w:val="2E96363C"/>
    <w:rsid w:val="2EAA0E75"/>
    <w:rsid w:val="2EAF22FD"/>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57C4D"/>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729DF"/>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0724"/>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54B45"/>
    <w:rsid w:val="37FB64C2"/>
    <w:rsid w:val="38026A1B"/>
    <w:rsid w:val="3807648B"/>
    <w:rsid w:val="38173CE1"/>
    <w:rsid w:val="38197832"/>
    <w:rsid w:val="381E7591"/>
    <w:rsid w:val="383903C6"/>
    <w:rsid w:val="383C423B"/>
    <w:rsid w:val="38415136"/>
    <w:rsid w:val="384D66AB"/>
    <w:rsid w:val="38551750"/>
    <w:rsid w:val="386C1D38"/>
    <w:rsid w:val="387A25A5"/>
    <w:rsid w:val="3887148F"/>
    <w:rsid w:val="388A1731"/>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16CFD"/>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AFB06C4"/>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0D2837"/>
    <w:rsid w:val="3E167168"/>
    <w:rsid w:val="3E204675"/>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3778C"/>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12D07"/>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BF71D5"/>
    <w:rsid w:val="48C53CF5"/>
    <w:rsid w:val="48C96968"/>
    <w:rsid w:val="48E977B9"/>
    <w:rsid w:val="48F84416"/>
    <w:rsid w:val="490874C4"/>
    <w:rsid w:val="491A6A98"/>
    <w:rsid w:val="491D4AAF"/>
    <w:rsid w:val="491D5621"/>
    <w:rsid w:val="4926292B"/>
    <w:rsid w:val="492F22AB"/>
    <w:rsid w:val="49371235"/>
    <w:rsid w:val="494324F6"/>
    <w:rsid w:val="49455D20"/>
    <w:rsid w:val="49524E56"/>
    <w:rsid w:val="497B341F"/>
    <w:rsid w:val="49967AF4"/>
    <w:rsid w:val="49B415EE"/>
    <w:rsid w:val="49B43B7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62E25"/>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B5820"/>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145E8"/>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90349"/>
    <w:rsid w:val="4FBF34BA"/>
    <w:rsid w:val="4FC633C3"/>
    <w:rsid w:val="4FCA2B98"/>
    <w:rsid w:val="4FCB218A"/>
    <w:rsid w:val="4FCE7BAE"/>
    <w:rsid w:val="4FDD7B67"/>
    <w:rsid w:val="4FDF25A5"/>
    <w:rsid w:val="4FE42FCB"/>
    <w:rsid w:val="4FFB4FE1"/>
    <w:rsid w:val="500344EA"/>
    <w:rsid w:val="500B7B4C"/>
    <w:rsid w:val="501D6EE2"/>
    <w:rsid w:val="502C2CA4"/>
    <w:rsid w:val="503C3296"/>
    <w:rsid w:val="5041577C"/>
    <w:rsid w:val="50476C20"/>
    <w:rsid w:val="504A5D02"/>
    <w:rsid w:val="504B0F0D"/>
    <w:rsid w:val="5050226F"/>
    <w:rsid w:val="50527689"/>
    <w:rsid w:val="505E6691"/>
    <w:rsid w:val="50640B3B"/>
    <w:rsid w:val="506633AA"/>
    <w:rsid w:val="507237E3"/>
    <w:rsid w:val="5082118F"/>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8779E9"/>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4563A5"/>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13A05"/>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854316"/>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683540"/>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9903EA"/>
    <w:rsid w:val="5EAC620C"/>
    <w:rsid w:val="5EAF12A6"/>
    <w:rsid w:val="5EB56E43"/>
    <w:rsid w:val="5EBF60CC"/>
    <w:rsid w:val="5EBF6AA7"/>
    <w:rsid w:val="5ED82627"/>
    <w:rsid w:val="5EDB6E5E"/>
    <w:rsid w:val="5EE96902"/>
    <w:rsid w:val="5F050603"/>
    <w:rsid w:val="5F073AC0"/>
    <w:rsid w:val="5F0F5BF5"/>
    <w:rsid w:val="5F1070E5"/>
    <w:rsid w:val="5F137093"/>
    <w:rsid w:val="5F144956"/>
    <w:rsid w:val="5F2E4A29"/>
    <w:rsid w:val="5F3B5980"/>
    <w:rsid w:val="5F475DFB"/>
    <w:rsid w:val="5F4A6912"/>
    <w:rsid w:val="5F5D3310"/>
    <w:rsid w:val="5F792AFF"/>
    <w:rsid w:val="5F826595"/>
    <w:rsid w:val="5F86616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43967"/>
    <w:rsid w:val="61E53D34"/>
    <w:rsid w:val="61E73697"/>
    <w:rsid w:val="61EE3162"/>
    <w:rsid w:val="61F62056"/>
    <w:rsid w:val="620208E6"/>
    <w:rsid w:val="62072D0F"/>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9854A4"/>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A43CF"/>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7D2981"/>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3D3743"/>
    <w:rsid w:val="694D0C27"/>
    <w:rsid w:val="69544350"/>
    <w:rsid w:val="696077C1"/>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EE301F"/>
    <w:rsid w:val="69F31D1B"/>
    <w:rsid w:val="69F54308"/>
    <w:rsid w:val="69FC31CB"/>
    <w:rsid w:val="6A0A7A54"/>
    <w:rsid w:val="6A0C706C"/>
    <w:rsid w:val="6A242290"/>
    <w:rsid w:val="6A2622A1"/>
    <w:rsid w:val="6A29523C"/>
    <w:rsid w:val="6A35577F"/>
    <w:rsid w:val="6A3A22EA"/>
    <w:rsid w:val="6A3B76D1"/>
    <w:rsid w:val="6A3F2D1D"/>
    <w:rsid w:val="6A504EEE"/>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750A58"/>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13923"/>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55410F"/>
    <w:rsid w:val="73625723"/>
    <w:rsid w:val="737007D9"/>
    <w:rsid w:val="73861499"/>
    <w:rsid w:val="738B5B50"/>
    <w:rsid w:val="73AA53A0"/>
    <w:rsid w:val="73B04F6B"/>
    <w:rsid w:val="73BC23E0"/>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6D40F7"/>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7F3B89"/>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42EDD"/>
    <w:rsid w:val="777E537D"/>
    <w:rsid w:val="77A06542"/>
    <w:rsid w:val="77A922C9"/>
    <w:rsid w:val="77AC049C"/>
    <w:rsid w:val="77B23714"/>
    <w:rsid w:val="77BB772D"/>
    <w:rsid w:val="77C33F18"/>
    <w:rsid w:val="77D43FD2"/>
    <w:rsid w:val="77E22F48"/>
    <w:rsid w:val="77EA419F"/>
    <w:rsid w:val="77ED0DBA"/>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52B"/>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93BB7"/>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246D74"/>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DF958D1"/>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02D84"/>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99"/>
    <w:pPr>
      <w:spacing w:before="120" w:after="200" w:line="276" w:lineRule="auto"/>
    </w:pPr>
    <w:rPr>
      <w:rFonts w:ascii="Arial" w:hAnsi="Arial"/>
      <w:sz w:val="24"/>
    </w:rPr>
  </w:style>
  <w:style w:type="paragraph" w:styleId="3">
    <w:name w:val="Body Text"/>
    <w:basedOn w:val="1"/>
    <w:autoRedefine/>
    <w:semiHidden/>
    <w:qFormat/>
    <w:uiPriority w:val="0"/>
    <w:rPr>
      <w:rFonts w:ascii="仿宋" w:hAnsi="仿宋" w:eastAsia="仿宋" w:cs="仿宋"/>
      <w:sz w:val="35"/>
      <w:szCs w:val="35"/>
      <w:lang w:val="en-US" w:eastAsia="en-US"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TextIndent2"/>
    <w:basedOn w:val="1"/>
    <w:autoRedefine/>
    <w:qFormat/>
    <w:uiPriority w:val="99"/>
    <w:pPr>
      <w:spacing w:after="120" w:line="480" w:lineRule="auto"/>
      <w:ind w:left="420" w:leftChars="200"/>
    </w:pPr>
  </w:style>
  <w:style w:type="table" w:customStyle="1" w:styleId="9">
    <w:name w:val="Table Normal"/>
    <w:autoRedefine/>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 w:type="paragraph" w:customStyle="1" w:styleId="11">
    <w:name w:val="BodyText1I2"/>
    <w:basedOn w:val="12"/>
    <w:autoRedefine/>
    <w:qFormat/>
    <w:uiPriority w:val="0"/>
    <w:pPr>
      <w:spacing w:after="0" w:afterLines="0"/>
    </w:pPr>
  </w:style>
  <w:style w:type="paragraph" w:customStyle="1" w:styleId="12">
    <w:name w:val="BodyTextIndent"/>
    <w:basedOn w:val="1"/>
    <w:autoRedefine/>
    <w:qFormat/>
    <w:uiPriority w:val="0"/>
    <w:pPr>
      <w:spacing w:after="120" w:afterLines="0"/>
      <w:ind w:left="420" w:leftChars="200"/>
      <w:textAlignment w:val="baseline"/>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5744</Words>
  <Characters>5973</Characters>
  <Lines>0</Lines>
  <Paragraphs>0</Paragraphs>
  <TotalTime>78</TotalTime>
  <ScaleCrop>false</ScaleCrop>
  <LinksUpToDate>false</LinksUpToDate>
  <CharactersWithSpaces>6024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Roy</cp:lastModifiedBy>
  <cp:lastPrinted>2024-05-24T06:19:00Z</cp:lastPrinted>
  <dcterms:modified xsi:type="dcterms:W3CDTF">2025-10-09T06:51:18Z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1C48F23B714F4E35AF317F6A5963CEFC_13</vt:lpwstr>
  </property>
  <property fmtid="{D5CDD505-2E9C-101B-9397-08002B2CF9AE}" pid="4" name="KSOTemplateDocerSaveRecord">
    <vt:lpwstr>eyJoZGlkIjoiOGY1NTA2NDNmMDI4MzgzNzRlM2U3MmM3ZmQxZjU4MDMiLCJ1c2VySWQiOiI0MTIxOTQ5MjIifQ==</vt:lpwstr>
  </property>
</Properties>
</file>