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25A48">
      <w:pPr>
        <w:pStyle w:val="4"/>
        <w:widowControl/>
        <w:spacing w:line="23" w:lineRule="atLeast"/>
        <w:jc w:val="center"/>
        <w:rPr>
          <w:rFonts w:ascii="Calibri" w:hAnsi="Calibri" w:cs="Calibri"/>
          <w:sz w:val="21"/>
          <w:szCs w:val="21"/>
        </w:rPr>
      </w:pPr>
      <w:r>
        <w:rPr>
          <w:rFonts w:ascii="方正小标宋简体" w:hAnsi="方正小标宋简体" w:eastAsia="方正小标宋简体" w:cs="方正小标宋简体"/>
          <w:color w:val="212529"/>
          <w:spacing w:val="2"/>
          <w:sz w:val="42"/>
          <w:szCs w:val="42"/>
        </w:rPr>
        <w:t>202</w:t>
      </w:r>
      <w:r>
        <w:rPr>
          <w:rFonts w:hint="eastAsia" w:ascii="方正小标宋简体" w:hAnsi="方正小标宋简体" w:eastAsia="方正小标宋简体" w:cs="方正小标宋简体"/>
          <w:color w:val="212529"/>
          <w:spacing w:val="2"/>
          <w:sz w:val="42"/>
          <w:szCs w:val="42"/>
        </w:rPr>
        <w:t>4年度中国共产主义青年团岳阳市岳阳楼区委员会整体支出绩效自评报告</w:t>
      </w:r>
    </w:p>
    <w:p w14:paraId="1E6768E9">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75D67A4C">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4EE98E9C">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3B1145E2">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6D6679C0">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2B614E4A">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6D33FF19">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50C1E01E">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2C3AE41F">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4652B73B">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1383DD50">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69AF6D11">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3DC16325">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3213FE40">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0D247B86">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2C3D3471">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117BC1BB">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47D9E72D">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6ABA49BF">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17073C0F">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099413AD">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08987ECC">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36537169">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0D30A1B9">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21B4E53A">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693D9D33">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5D387B95">
      <w:pPr>
        <w:pStyle w:val="4"/>
        <w:widowControl/>
        <w:spacing w:line="15" w:lineRule="atLeast"/>
        <w:jc w:val="both"/>
        <w:rPr>
          <w:rFonts w:ascii="Calibri" w:hAnsi="Calibri" w:cs="Calibri"/>
          <w:sz w:val="21"/>
          <w:szCs w:val="21"/>
        </w:rPr>
      </w:pPr>
      <w:r>
        <w:rPr>
          <w:rFonts w:ascii="Arial" w:hAnsi="Arial" w:eastAsia="微软雅黑" w:cs="Arial"/>
          <w:color w:val="212529"/>
          <w:sz w:val="21"/>
          <w:szCs w:val="21"/>
        </w:rPr>
        <w:t> </w:t>
      </w:r>
    </w:p>
    <w:p w14:paraId="44F1D5ED">
      <w:pPr>
        <w:pStyle w:val="4"/>
        <w:widowControl/>
        <w:spacing w:before="100" w:line="14" w:lineRule="atLeast"/>
        <w:ind w:left="1902"/>
        <w:jc w:val="both"/>
        <w:rPr>
          <w:rFonts w:ascii="仿宋" w:hAnsi="仿宋" w:eastAsia="仿宋" w:cs="仿宋"/>
          <w:sz w:val="35"/>
          <w:szCs w:val="35"/>
        </w:rPr>
      </w:pPr>
      <w:r>
        <w:rPr>
          <w:rFonts w:hint="eastAsia" w:ascii="仿宋" w:hAnsi="仿宋" w:eastAsia="仿宋" w:cs="仿宋"/>
          <w:color w:val="212529"/>
          <w:spacing w:val="-10"/>
          <w:sz w:val="35"/>
          <w:szCs w:val="35"/>
        </w:rPr>
        <w:t>部门（单位）名称</w:t>
      </w:r>
      <w:r>
        <w:rPr>
          <w:rFonts w:hint="eastAsia" w:ascii="仿宋" w:hAnsi="仿宋" w:eastAsia="仿宋" w:cs="仿宋"/>
          <w:color w:val="212529"/>
          <w:spacing w:val="4"/>
          <w:sz w:val="35"/>
          <w:szCs w:val="35"/>
        </w:rPr>
        <w:t>：</w:t>
      </w:r>
      <w:r>
        <w:rPr>
          <w:rFonts w:hint="eastAsia" w:ascii="仿宋" w:hAnsi="仿宋" w:eastAsia="仿宋" w:cs="仿宋"/>
          <w:color w:val="212529"/>
          <w:spacing w:val="-118"/>
          <w:sz w:val="35"/>
          <w:szCs w:val="35"/>
        </w:rPr>
        <w:t xml:space="preserve"> </w:t>
      </w:r>
      <w:r>
        <w:rPr>
          <w:rFonts w:hint="eastAsia" w:ascii="仿宋" w:hAnsi="仿宋" w:eastAsia="仿宋" w:cs="仿宋"/>
          <w:color w:val="212529"/>
          <w:spacing w:val="-75"/>
          <w:sz w:val="35"/>
          <w:szCs w:val="35"/>
          <w:u w:val="single"/>
        </w:rPr>
        <w:t> </w:t>
      </w:r>
      <w:r>
        <w:rPr>
          <w:rFonts w:hint="eastAsia" w:ascii="仿宋" w:hAnsi="仿宋" w:eastAsia="仿宋" w:cs="仿宋"/>
          <w:color w:val="212529"/>
          <w:spacing w:val="4"/>
          <w:sz w:val="35"/>
          <w:szCs w:val="35"/>
          <w:u w:val="single"/>
        </w:rPr>
        <w:t>（</w:t>
      </w:r>
      <w:r>
        <w:rPr>
          <w:rFonts w:hint="eastAsia" w:ascii="仿宋" w:hAnsi="仿宋" w:eastAsia="仿宋" w:cs="仿宋"/>
          <w:color w:val="212529"/>
          <w:spacing w:val="-10"/>
          <w:sz w:val="35"/>
          <w:szCs w:val="35"/>
          <w:u w:val="single"/>
        </w:rPr>
        <w:t>盖章）</w:t>
      </w:r>
      <w:r>
        <w:rPr>
          <w:rFonts w:hint="eastAsia" w:ascii="仿宋" w:hAnsi="仿宋" w:eastAsia="仿宋" w:cs="仿宋"/>
          <w:color w:val="212529"/>
          <w:sz w:val="35"/>
          <w:szCs w:val="35"/>
          <w:u w:val="single"/>
        </w:rPr>
        <w:t xml:space="preserve">         </w:t>
      </w:r>
    </w:p>
    <w:p w14:paraId="2FB241F6">
      <w:pPr>
        <w:pStyle w:val="4"/>
        <w:widowControl/>
        <w:spacing w:before="228" w:line="14" w:lineRule="atLeast"/>
        <w:ind w:left="3180"/>
        <w:jc w:val="both"/>
        <w:rPr>
          <w:rFonts w:ascii="Calibri" w:hAnsi="Calibri" w:cs="Calibri"/>
          <w:sz w:val="21"/>
          <w:szCs w:val="21"/>
        </w:rPr>
      </w:pPr>
      <w:r>
        <w:rPr>
          <w:rFonts w:ascii="楷体" w:hAnsi="楷体" w:eastAsia="楷体" w:cs="楷体"/>
          <w:color w:val="212529"/>
          <w:spacing w:val="-8"/>
          <w:sz w:val="31"/>
          <w:szCs w:val="31"/>
        </w:rPr>
        <w:t>年</w:t>
      </w:r>
      <w:r>
        <w:rPr>
          <w:rFonts w:hint="eastAsia" w:ascii="楷体" w:hAnsi="楷体" w:eastAsia="楷体" w:cs="楷体"/>
          <w:color w:val="212529"/>
          <w:spacing w:val="21"/>
          <w:sz w:val="31"/>
          <w:szCs w:val="31"/>
        </w:rPr>
        <w:t xml:space="preserve">  </w:t>
      </w:r>
      <w:r>
        <w:rPr>
          <w:rFonts w:hint="eastAsia" w:ascii="楷体" w:hAnsi="楷体" w:eastAsia="楷体" w:cs="楷体"/>
          <w:color w:val="212529"/>
          <w:spacing w:val="-8"/>
          <w:sz w:val="31"/>
          <w:szCs w:val="31"/>
        </w:rPr>
        <w:t>月</w:t>
      </w:r>
      <w:r>
        <w:rPr>
          <w:rFonts w:hint="eastAsia" w:ascii="楷体" w:hAnsi="楷体" w:eastAsia="楷体" w:cs="楷体"/>
          <w:color w:val="212529"/>
          <w:spacing w:val="43"/>
          <w:sz w:val="31"/>
          <w:szCs w:val="31"/>
        </w:rPr>
        <w:t xml:space="preserve">  </w:t>
      </w:r>
      <w:r>
        <w:rPr>
          <w:rFonts w:hint="eastAsia" w:ascii="楷体" w:hAnsi="楷体" w:eastAsia="楷体" w:cs="楷体"/>
          <w:color w:val="212529"/>
          <w:spacing w:val="-8"/>
          <w:sz w:val="31"/>
          <w:szCs w:val="31"/>
        </w:rPr>
        <w:t>日</w:t>
      </w:r>
    </w:p>
    <w:p w14:paraId="340F874E">
      <w:pPr>
        <w:pStyle w:val="4"/>
        <w:widowControl/>
        <w:spacing w:line="21" w:lineRule="atLeast"/>
        <w:jc w:val="both"/>
        <w:rPr>
          <w:rFonts w:ascii="Calibri" w:hAnsi="Calibri" w:cs="Calibri"/>
          <w:sz w:val="21"/>
          <w:szCs w:val="21"/>
        </w:rPr>
      </w:pPr>
      <w:r>
        <w:rPr>
          <w:rFonts w:ascii="Arial" w:hAnsi="Arial" w:eastAsia="微软雅黑" w:cs="Arial"/>
          <w:color w:val="212529"/>
          <w:sz w:val="21"/>
          <w:szCs w:val="21"/>
        </w:rPr>
        <w:t> </w:t>
      </w:r>
    </w:p>
    <w:p w14:paraId="5B5BA511">
      <w:pPr>
        <w:pStyle w:val="4"/>
        <w:widowControl/>
        <w:spacing w:before="102" w:line="14" w:lineRule="atLeast"/>
        <w:ind w:left="3216"/>
        <w:jc w:val="both"/>
        <w:rPr>
          <w:rFonts w:ascii="仿宋" w:hAnsi="仿宋" w:eastAsia="仿宋" w:cs="仿宋"/>
          <w:sz w:val="35"/>
          <w:szCs w:val="35"/>
        </w:rPr>
      </w:pPr>
      <w:r>
        <w:rPr>
          <w:rFonts w:hint="eastAsia" w:ascii="仿宋" w:hAnsi="仿宋" w:eastAsia="仿宋" w:cs="仿宋"/>
          <w:color w:val="212529"/>
          <w:spacing w:val="8"/>
          <w:sz w:val="35"/>
          <w:szCs w:val="35"/>
        </w:rPr>
        <w:t>（此页为封面）</w:t>
      </w:r>
    </w:p>
    <w:p w14:paraId="61992640">
      <w:pPr>
        <w:pStyle w:val="4"/>
        <w:widowControl/>
        <w:spacing w:line="700" w:lineRule="atLeast"/>
        <w:jc w:val="center"/>
        <w:rPr>
          <w:rFonts w:ascii="Calibri" w:hAnsi="Calibri" w:cs="Calibri"/>
          <w:sz w:val="21"/>
          <w:szCs w:val="21"/>
        </w:rPr>
      </w:pPr>
      <w:r>
        <w:rPr>
          <w:rFonts w:ascii="Calibri" w:hAnsi="Calibri" w:eastAsia="微软雅黑" w:cs="Calibri"/>
          <w:color w:val="212529"/>
          <w:sz w:val="21"/>
          <w:szCs w:val="21"/>
        </w:rPr>
        <w:br w:type="page"/>
      </w:r>
      <w:r>
        <w:rPr>
          <w:rFonts w:hint="eastAsia" w:ascii="方正小标宋简体" w:hAnsi="方正小标宋简体" w:eastAsia="方正小标宋简体" w:cs="方正小标宋简体"/>
          <w:color w:val="000000"/>
          <w:spacing w:val="6"/>
          <w:sz w:val="44"/>
          <w:szCs w:val="44"/>
        </w:rPr>
        <w:t>2024 年度中国共产主义青年团岳阳市岳阳楼区委员会整体支出</w:t>
      </w:r>
      <w:r>
        <w:rPr>
          <w:rFonts w:hint="eastAsia" w:ascii="方正小标宋简体" w:hAnsi="方正小标宋简体" w:eastAsia="方正小标宋简体" w:cs="方正小标宋简体"/>
          <w:color w:val="000000"/>
          <w:spacing w:val="7"/>
          <w:sz w:val="44"/>
          <w:szCs w:val="44"/>
        </w:rPr>
        <w:t>绩效自评报告</w:t>
      </w:r>
    </w:p>
    <w:p w14:paraId="6FE60792">
      <w:pPr>
        <w:pStyle w:val="4"/>
        <w:widowControl/>
        <w:spacing w:line="640" w:lineRule="atLeast"/>
        <w:ind w:firstLine="640"/>
        <w:jc w:val="both"/>
        <w:rPr>
          <w:rFonts w:ascii="Calibri" w:hAnsi="Calibri" w:cs="Calibri"/>
          <w:sz w:val="21"/>
          <w:szCs w:val="21"/>
        </w:rPr>
      </w:pPr>
      <w:r>
        <w:rPr>
          <w:rFonts w:ascii="Calibri" w:hAnsi="Calibri" w:eastAsia="微软雅黑" w:cs="Calibri"/>
          <w:color w:val="000000"/>
          <w:sz w:val="32"/>
          <w:szCs w:val="32"/>
        </w:rPr>
        <w:t> </w:t>
      </w:r>
    </w:p>
    <w:p w14:paraId="5D7C64F8">
      <w:pPr>
        <w:pStyle w:val="4"/>
        <w:widowControl/>
        <w:spacing w:line="640" w:lineRule="atLeast"/>
        <w:ind w:left="1360" w:hanging="720"/>
        <w:jc w:val="both"/>
        <w:rPr>
          <w:rFonts w:ascii="Calibri" w:hAnsi="Calibri" w:cs="Calibri"/>
          <w:sz w:val="21"/>
          <w:szCs w:val="21"/>
        </w:rPr>
      </w:pPr>
      <w:r>
        <w:rPr>
          <w:rFonts w:ascii="黑体" w:hAnsi="宋体" w:eastAsia="黑体" w:cs="黑体"/>
          <w:color w:val="000000"/>
          <w:sz w:val="32"/>
          <w:szCs w:val="32"/>
        </w:rPr>
        <w:t>一、</w:t>
      </w:r>
      <w:r>
        <w:rPr>
          <w:rFonts w:ascii="Times New Roman" w:hAnsi="Times New Roman" w:eastAsia="黑体"/>
          <w:color w:val="000000"/>
          <w:sz w:val="14"/>
          <w:szCs w:val="14"/>
        </w:rPr>
        <w:t xml:space="preserve"> </w:t>
      </w:r>
      <w:r>
        <w:rPr>
          <w:rFonts w:hint="eastAsia" w:ascii="黑体" w:hAnsi="宋体" w:eastAsia="黑体" w:cs="黑体"/>
          <w:color w:val="000000"/>
          <w:sz w:val="32"/>
          <w:szCs w:val="32"/>
        </w:rPr>
        <w:t>单位基本情况</w:t>
      </w:r>
    </w:p>
    <w:p w14:paraId="082B451F">
      <w:pPr>
        <w:pStyle w:val="4"/>
        <w:widowControl/>
        <w:spacing w:line="640" w:lineRule="atLeast"/>
        <w:ind w:firstLine="560" w:firstLineChars="200"/>
        <w:jc w:val="both"/>
        <w:rPr>
          <w:rFonts w:ascii="Calibri" w:hAnsi="Calibri" w:cs="Calibri"/>
          <w:sz w:val="21"/>
          <w:szCs w:val="21"/>
        </w:rPr>
      </w:pPr>
      <w:r>
        <w:rPr>
          <w:rFonts w:hint="eastAsia" w:ascii="仿宋" w:hAnsi="仿宋" w:eastAsia="仿宋" w:cs="仿宋"/>
          <w:color w:val="000000"/>
          <w:sz w:val="28"/>
          <w:szCs w:val="28"/>
        </w:rPr>
        <w:t>共青团岳阳楼区委员会隶属区委群团机关，为正科级单位，内设办公室、青年发展部、学少部三个股室。年末实有编制5人，在编4人。</w:t>
      </w:r>
    </w:p>
    <w:p w14:paraId="39E4C263">
      <w:pPr>
        <w:pStyle w:val="4"/>
        <w:widowControl/>
        <w:spacing w:line="640" w:lineRule="atLeast"/>
        <w:ind w:firstLine="640"/>
        <w:jc w:val="both"/>
        <w:rPr>
          <w:rFonts w:ascii="Calibri" w:hAnsi="Calibri" w:cs="Calibri"/>
          <w:sz w:val="21"/>
          <w:szCs w:val="21"/>
        </w:rPr>
      </w:pPr>
      <w:r>
        <w:rPr>
          <w:rFonts w:hint="eastAsia" w:ascii="黑体" w:hAnsi="宋体" w:eastAsia="黑体" w:cs="黑体"/>
          <w:color w:val="000000"/>
          <w:sz w:val="32"/>
          <w:szCs w:val="32"/>
        </w:rPr>
        <w:t>二、一般公共预算支出情况</w:t>
      </w:r>
    </w:p>
    <w:p w14:paraId="43022DC5">
      <w:pPr>
        <w:pStyle w:val="4"/>
        <w:widowControl/>
        <w:spacing w:line="640" w:lineRule="atLeast"/>
        <w:ind w:firstLine="640"/>
        <w:jc w:val="both"/>
        <w:rPr>
          <w:rFonts w:ascii="Calibri" w:hAnsi="Calibri" w:cs="Calibri"/>
          <w:sz w:val="21"/>
          <w:szCs w:val="21"/>
        </w:rPr>
      </w:pPr>
      <w:r>
        <w:rPr>
          <w:rFonts w:hint="eastAsia" w:ascii="黑体" w:hAnsi="宋体" w:eastAsia="黑体" w:cs="黑体"/>
          <w:color w:val="000000"/>
          <w:sz w:val="32"/>
          <w:szCs w:val="32"/>
        </w:rPr>
        <w:t>（一）基本支出情况</w:t>
      </w:r>
    </w:p>
    <w:p w14:paraId="7802DF44">
      <w:pPr>
        <w:pStyle w:val="4"/>
        <w:widowControl/>
        <w:spacing w:line="640" w:lineRule="atLeast"/>
        <w:ind w:firstLine="560"/>
        <w:rPr>
          <w:rFonts w:ascii="Calibri" w:hAnsi="Calibri" w:cs="Calibri"/>
          <w:sz w:val="21"/>
          <w:szCs w:val="21"/>
        </w:rPr>
      </w:pPr>
      <w:r>
        <w:rPr>
          <w:rFonts w:hint="eastAsia" w:ascii="仿宋" w:hAnsi="仿宋" w:eastAsia="仿宋" w:cs="仿宋"/>
          <w:color w:val="000000"/>
          <w:sz w:val="28"/>
          <w:szCs w:val="28"/>
        </w:rPr>
        <w:t>2024年基本支出</w:t>
      </w:r>
      <w:r>
        <w:rPr>
          <w:rFonts w:ascii="仿宋" w:hAnsi="仿宋" w:eastAsia="仿宋" w:cs="仿宋"/>
          <w:color w:val="000000"/>
          <w:sz w:val="28"/>
          <w:szCs w:val="28"/>
        </w:rPr>
        <w:t>56.5</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万元，其中：人员经费50.92万元，主要包括：基本工资、津贴补贴、奖金、伙食补助费、机关事业单位基本养老保险缴费、职工基本医疗保险缴费、其他社会保障缴费、住房公积金、生活补助；公用经费5.6</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万元，主要包括：办公费、印刷费、邮电费、差旅费、维修（护）费、会议费、培训费、公务接待费、劳务费、工会经费、其他交通费用、税金及附加费用、其他商品和服务支出。</w:t>
      </w:r>
    </w:p>
    <w:p w14:paraId="50EAF922">
      <w:pPr>
        <w:pStyle w:val="4"/>
        <w:widowControl/>
        <w:spacing w:line="640" w:lineRule="atLeast"/>
        <w:ind w:firstLine="640"/>
        <w:jc w:val="both"/>
        <w:rPr>
          <w:rFonts w:ascii="Calibri" w:hAnsi="Calibri" w:cs="Calibri"/>
          <w:sz w:val="21"/>
          <w:szCs w:val="21"/>
        </w:rPr>
      </w:pPr>
      <w:r>
        <w:rPr>
          <w:rFonts w:hint="eastAsia" w:ascii="黑体" w:hAnsi="宋体" w:eastAsia="黑体" w:cs="黑体"/>
          <w:color w:val="000000"/>
          <w:sz w:val="32"/>
          <w:szCs w:val="32"/>
        </w:rPr>
        <w:t>（二）项目支出情况</w:t>
      </w:r>
    </w:p>
    <w:p w14:paraId="40C4A183">
      <w:pPr>
        <w:pStyle w:val="4"/>
        <w:widowControl/>
        <w:spacing w:line="640" w:lineRule="atLeast"/>
        <w:ind w:firstLine="560"/>
        <w:rPr>
          <w:rFonts w:ascii="Calibri" w:hAnsi="Calibri" w:cs="Calibri"/>
          <w:sz w:val="21"/>
          <w:szCs w:val="21"/>
        </w:rPr>
      </w:pPr>
      <w:r>
        <w:rPr>
          <w:rFonts w:hint="eastAsia" w:ascii="仿宋" w:hAnsi="仿宋" w:eastAsia="仿宋" w:cs="仿宋"/>
          <w:sz w:val="28"/>
          <w:szCs w:val="28"/>
        </w:rPr>
        <w:t>2024年项目支出34.7</w:t>
      </w:r>
      <w:r>
        <w:rPr>
          <w:rFonts w:hint="eastAsia" w:ascii="仿宋" w:hAnsi="仿宋" w:eastAsia="仿宋" w:cs="仿宋"/>
          <w:sz w:val="28"/>
          <w:szCs w:val="28"/>
          <w:lang w:val="en-US" w:eastAsia="zh-CN"/>
        </w:rPr>
        <w:t>5</w:t>
      </w:r>
      <w:r>
        <w:rPr>
          <w:rFonts w:hint="eastAsia" w:ascii="仿宋" w:hAnsi="仿宋" w:eastAsia="仿宋" w:cs="仿宋"/>
          <w:sz w:val="28"/>
          <w:szCs w:val="28"/>
        </w:rPr>
        <w:t>万元，主要</w:t>
      </w:r>
      <w:bookmarkStart w:id="0" w:name="_GoBack"/>
      <w:bookmarkEnd w:id="0"/>
      <w:r>
        <w:rPr>
          <w:rFonts w:hint="eastAsia" w:ascii="仿宋" w:hAnsi="仿宋" w:eastAsia="仿宋" w:cs="仿宋"/>
          <w:sz w:val="28"/>
          <w:szCs w:val="28"/>
        </w:rPr>
        <w:t>用于青少年事业发展。</w:t>
      </w:r>
    </w:p>
    <w:p w14:paraId="259A4FDD">
      <w:pPr>
        <w:pStyle w:val="4"/>
        <w:widowControl/>
        <w:spacing w:line="640" w:lineRule="atLeast"/>
        <w:ind w:firstLine="640" w:firstLineChars="200"/>
        <w:rPr>
          <w:rFonts w:ascii="Calibri" w:hAnsi="Calibri" w:cs="Calibri"/>
          <w:sz w:val="21"/>
          <w:szCs w:val="21"/>
        </w:rPr>
      </w:pPr>
      <w:r>
        <w:rPr>
          <w:rFonts w:hint="eastAsia" w:ascii="黑体" w:hAnsi="宋体" w:eastAsia="黑体" w:cs="黑体"/>
          <w:color w:val="000000"/>
          <w:sz w:val="32"/>
          <w:szCs w:val="32"/>
        </w:rPr>
        <w:t>三、政府性基金预算支出情况</w:t>
      </w:r>
    </w:p>
    <w:p w14:paraId="6B7505AB">
      <w:pPr>
        <w:pStyle w:val="4"/>
        <w:widowControl/>
        <w:spacing w:line="640" w:lineRule="atLeast"/>
        <w:ind w:firstLine="560" w:firstLineChars="200"/>
        <w:rPr>
          <w:rFonts w:ascii="Calibri" w:hAnsi="Calibri" w:cs="Calibri"/>
          <w:sz w:val="21"/>
          <w:szCs w:val="21"/>
        </w:rPr>
      </w:pPr>
      <w:r>
        <w:rPr>
          <w:rFonts w:hint="eastAsia" w:ascii="仿宋" w:hAnsi="仿宋" w:eastAsia="仿宋" w:cs="仿宋"/>
          <w:color w:val="000000"/>
          <w:sz w:val="28"/>
          <w:szCs w:val="28"/>
        </w:rPr>
        <w:t>2024年度本单位无政府性基金预算支出。</w:t>
      </w:r>
    </w:p>
    <w:p w14:paraId="4C6F3583">
      <w:pPr>
        <w:pStyle w:val="4"/>
        <w:widowControl/>
        <w:spacing w:line="640" w:lineRule="atLeast"/>
        <w:ind w:firstLine="640" w:firstLineChars="200"/>
        <w:rPr>
          <w:rFonts w:ascii="Calibri" w:hAnsi="Calibri" w:cs="Calibri"/>
          <w:sz w:val="21"/>
          <w:szCs w:val="21"/>
        </w:rPr>
      </w:pPr>
      <w:r>
        <w:rPr>
          <w:rFonts w:hint="eastAsia" w:ascii="黑体" w:hAnsi="宋体" w:eastAsia="黑体" w:cs="黑体"/>
          <w:color w:val="000000"/>
          <w:sz w:val="32"/>
          <w:szCs w:val="32"/>
        </w:rPr>
        <w:t>四、国有资本经营预算支出情况</w:t>
      </w:r>
    </w:p>
    <w:p w14:paraId="13F52541">
      <w:pPr>
        <w:pStyle w:val="4"/>
        <w:widowControl/>
        <w:spacing w:line="640" w:lineRule="atLeast"/>
        <w:ind w:firstLine="560"/>
        <w:jc w:val="both"/>
        <w:rPr>
          <w:rFonts w:ascii="Calibri" w:hAnsi="Calibri" w:cs="Calibri"/>
          <w:sz w:val="21"/>
          <w:szCs w:val="21"/>
        </w:rPr>
      </w:pPr>
      <w:r>
        <w:rPr>
          <w:rFonts w:hint="eastAsia" w:ascii="仿宋" w:hAnsi="仿宋" w:eastAsia="仿宋" w:cs="仿宋"/>
          <w:color w:val="000000"/>
          <w:sz w:val="28"/>
          <w:szCs w:val="28"/>
        </w:rPr>
        <w:t>2024年度本单位无国有资本经营预算支出。</w:t>
      </w:r>
    </w:p>
    <w:p w14:paraId="0F495F30">
      <w:pPr>
        <w:pStyle w:val="4"/>
        <w:widowControl/>
        <w:spacing w:line="640" w:lineRule="atLeast"/>
        <w:ind w:firstLine="640"/>
        <w:jc w:val="both"/>
        <w:rPr>
          <w:rFonts w:ascii="黑体" w:hAnsi="宋体" w:eastAsia="黑体" w:cs="黑体"/>
          <w:color w:val="000000"/>
          <w:sz w:val="32"/>
          <w:szCs w:val="32"/>
        </w:rPr>
      </w:pPr>
      <w:r>
        <w:rPr>
          <w:rFonts w:hint="eastAsia" w:ascii="黑体" w:hAnsi="宋体" w:eastAsia="黑体" w:cs="黑体"/>
          <w:color w:val="000000"/>
          <w:sz w:val="32"/>
          <w:szCs w:val="32"/>
        </w:rPr>
        <w:t>五、社会保险基金预算支出情况</w:t>
      </w:r>
    </w:p>
    <w:p w14:paraId="504BDB0F">
      <w:pPr>
        <w:pStyle w:val="4"/>
        <w:widowControl/>
        <w:spacing w:line="640" w:lineRule="atLeast"/>
        <w:ind w:firstLine="640"/>
        <w:jc w:val="both"/>
        <w:rPr>
          <w:rFonts w:ascii="Calibri" w:hAnsi="Calibri" w:cs="Calibri"/>
          <w:sz w:val="21"/>
          <w:szCs w:val="21"/>
        </w:rPr>
      </w:pPr>
      <w:r>
        <w:rPr>
          <w:rFonts w:hint="eastAsia" w:ascii="仿宋" w:hAnsi="仿宋" w:eastAsia="仿宋" w:cs="仿宋"/>
          <w:color w:val="000000"/>
          <w:sz w:val="28"/>
          <w:szCs w:val="28"/>
        </w:rPr>
        <w:t>2024年度本单位无社会保险基金预算支出。</w:t>
      </w:r>
    </w:p>
    <w:p w14:paraId="1658E310">
      <w:pPr>
        <w:pStyle w:val="4"/>
        <w:widowControl/>
        <w:spacing w:line="640" w:lineRule="atLeast"/>
        <w:ind w:firstLine="640"/>
        <w:jc w:val="both"/>
        <w:rPr>
          <w:rFonts w:ascii="Calibri" w:hAnsi="Calibri" w:cs="Calibri"/>
          <w:sz w:val="21"/>
          <w:szCs w:val="21"/>
        </w:rPr>
      </w:pPr>
      <w:r>
        <w:rPr>
          <w:rFonts w:hint="eastAsia" w:ascii="黑体" w:hAnsi="宋体" w:eastAsia="黑体" w:cs="黑体"/>
          <w:color w:val="000000"/>
          <w:sz w:val="32"/>
          <w:szCs w:val="32"/>
        </w:rPr>
        <w:t>六、单位整体支出绩效情况</w:t>
      </w:r>
    </w:p>
    <w:p w14:paraId="0896D2BE">
      <w:pPr>
        <w:pStyle w:val="4"/>
        <w:widowControl/>
        <w:spacing w:line="640" w:lineRule="atLeast"/>
        <w:ind w:firstLine="640"/>
        <w:jc w:val="both"/>
        <w:rPr>
          <w:rFonts w:ascii="仿宋" w:hAnsi="仿宋" w:eastAsia="仿宋" w:cs="仿宋"/>
          <w:color w:val="000000"/>
          <w:sz w:val="28"/>
          <w:szCs w:val="28"/>
        </w:rPr>
      </w:pPr>
      <w:r>
        <w:rPr>
          <w:rFonts w:hint="eastAsia" w:ascii="仿宋" w:hAnsi="仿宋" w:eastAsia="仿宋" w:cs="仿宋"/>
          <w:color w:val="000000"/>
          <w:sz w:val="28"/>
          <w:szCs w:val="28"/>
        </w:rPr>
        <w:t>2024年，共青团岳阳楼区委坚持以习近平新时代中国特色社会主义思想为指导，在区委的坚强领导和团市委的精准指导下，紧紧围绕中心大局，把促进青少年健康成长作为工作的出发点和落脚点，不断优化青少年成长环境，组织动员青年建功立业取得了较大成效。主要工作亮点有：1. 服务中心大局。动员1500余名青年志愿者参与到文明城市创建、爱国卫生运动、森林防火宣传等志愿活动当中。在年初极端低温雨雪冰冻天气期间，动员全区各级团组织1100余名青年志愿者参与道路除冰铲雪、路口秩序维护、入户排查安全隐患等志愿服务。积极参与2024年岳阳市“学雷锋正青春·文明实践我行动”主题活动，3月5日，发动310余名青年志愿者为梅子柿社区居民提供爱心义剪、免费健康检查、家电维修、手机贴膜等多元化志愿服务；6月7日至9日，组织700名青年志愿者在城区19个高考点设置志愿服务点，做好考生心理减压、爱心车辆送考、文明交通指引等志愿服务。2. 联系服务新兴领域青年。 2月2日，团区委联合区委组织部、区总工会等多家单位，在高山坡社区户外劳动者暖心驿站开展筑梦计划-岳阳楼区关爱快递（外卖）从业青年“暖蜂行动”，为邮政快递、京东快递、美团外卖等12家快递、外卖行业单位送上油、米、牛奶、暖宝宝等新年大礼包。3月7日，团区委联合市快递行业协会开展筑梦计划|2024 年岳阳市“快递从业青年服务月”观影活动，来自11个快递品牌60余名快递小哥、30余名青年志愿者免费观影。3. 关心关爱特殊青少年。一是开展关爱特殊儿童活动。在2024年4月2日，“世界自闭症日”，联合岳阳楼区青年志愿者协会和湖南理工学院春行义工志愿服务团队，一同前往康森残障人士帮扶中心，开展主题为“彩绘春意，与‘星’相约”的志愿活动。通过和残障青年一起看电影、K歌、画画、做陶艺、陪伴学习等方式提高他们自主交流意识和能力，增强他们的社会融入感，加快其身心融入社会的进程。二是开展岳阳楼区暑期七彩假期系列活动。活动内容涵盖防溺水宣讲、关爱特殊儿童志愿服务、反电诈宣讲服务、河小青志愿服务、教育关爱服务等，引导广大团员青年在与现实相结合的“大思政课”中受教育、长才干、作贡献，切实帮助少年儿童度过充实而又快乐的暑期，营造关心关爱青少年群体的良好氛围，推动共青团实践育人工作成效持续增强。三是开展三个万家关爱你我他慰问活动。9月至10月联合岳阳楼区青年志愿者协会，对100名特殊困难青少年进行上门慰问，发放慰问金和慰问物资，用实际行动将温暖送给需要关心关爱的青少年群体，推动关心下一代工作走实走深，助力青少年健康成长。</w:t>
      </w:r>
    </w:p>
    <w:p w14:paraId="65D3261C">
      <w:pPr>
        <w:pStyle w:val="4"/>
        <w:widowControl/>
        <w:spacing w:line="640" w:lineRule="atLeast"/>
        <w:ind w:left="1360" w:hanging="720"/>
        <w:jc w:val="both"/>
        <w:rPr>
          <w:rFonts w:ascii="Calibri" w:hAnsi="Calibri" w:cs="Calibri"/>
          <w:sz w:val="21"/>
          <w:szCs w:val="21"/>
        </w:rPr>
      </w:pPr>
      <w:r>
        <w:rPr>
          <w:rFonts w:hint="eastAsia" w:ascii="黑体" w:hAnsi="宋体" w:eastAsia="黑体" w:cs="黑体"/>
          <w:color w:val="000000"/>
          <w:sz w:val="32"/>
          <w:szCs w:val="32"/>
        </w:rPr>
        <w:t>七、</w:t>
      </w:r>
      <w:r>
        <w:rPr>
          <w:rFonts w:ascii="Times New Roman" w:hAnsi="Times New Roman" w:eastAsia="黑体"/>
          <w:color w:val="000000"/>
          <w:sz w:val="14"/>
          <w:szCs w:val="14"/>
        </w:rPr>
        <w:t xml:space="preserve"> </w:t>
      </w:r>
      <w:r>
        <w:rPr>
          <w:rFonts w:hint="eastAsia" w:ascii="黑体" w:hAnsi="宋体" w:eastAsia="黑体" w:cs="黑体"/>
          <w:color w:val="000000"/>
          <w:sz w:val="32"/>
          <w:szCs w:val="32"/>
        </w:rPr>
        <w:t>存在的问题及原因分析</w:t>
      </w:r>
    </w:p>
    <w:p w14:paraId="018C7934">
      <w:pPr>
        <w:pStyle w:val="4"/>
        <w:widowControl/>
        <w:spacing w:line="23" w:lineRule="atLeast"/>
        <w:ind w:firstLine="560"/>
        <w:jc w:val="both"/>
        <w:rPr>
          <w:rFonts w:ascii="Calibri" w:hAnsi="Calibri" w:cs="Calibri"/>
          <w:sz w:val="21"/>
          <w:szCs w:val="21"/>
        </w:rPr>
      </w:pPr>
      <w:r>
        <w:rPr>
          <w:rFonts w:hint="eastAsia" w:ascii="仿宋" w:hAnsi="仿宋" w:eastAsia="仿宋" w:cs="仿宋"/>
          <w:color w:val="000000"/>
          <w:sz w:val="28"/>
          <w:szCs w:val="28"/>
        </w:rPr>
        <w:t>1、预算管理制度不够完善，年初预算不够精细，建立更加规范的预算制度和标准化管理体系。</w:t>
      </w:r>
    </w:p>
    <w:p w14:paraId="030439F5">
      <w:pPr>
        <w:pStyle w:val="4"/>
        <w:widowControl/>
        <w:spacing w:line="23" w:lineRule="atLeast"/>
        <w:ind w:firstLine="560"/>
        <w:jc w:val="both"/>
        <w:rPr>
          <w:rFonts w:ascii="Calibri" w:hAnsi="Calibri" w:cs="Calibri"/>
          <w:sz w:val="21"/>
          <w:szCs w:val="21"/>
        </w:rPr>
      </w:pPr>
      <w:r>
        <w:rPr>
          <w:rFonts w:hint="eastAsia" w:ascii="仿宋" w:hAnsi="仿宋" w:eastAsia="仿宋" w:cs="仿宋"/>
          <w:color w:val="000000"/>
          <w:sz w:val="28"/>
          <w:szCs w:val="28"/>
        </w:rPr>
        <w:t>2、内控制度需进一步完善，随着资金管理改革的进一步推进，我单位内部机构进行了相应的优化，建立健全了财务管理制度、费用报销规程等制度，但仍需进一步强化财务约束监督体制。</w:t>
      </w:r>
    </w:p>
    <w:p w14:paraId="4C835C1F">
      <w:pPr>
        <w:pStyle w:val="4"/>
        <w:widowControl/>
        <w:spacing w:line="640" w:lineRule="atLeast"/>
        <w:ind w:firstLine="640"/>
        <w:jc w:val="both"/>
        <w:rPr>
          <w:rFonts w:ascii="Calibri" w:hAnsi="Calibri" w:cs="Calibri"/>
          <w:sz w:val="21"/>
          <w:szCs w:val="21"/>
        </w:rPr>
      </w:pPr>
      <w:r>
        <w:rPr>
          <w:rFonts w:hint="eastAsia" w:ascii="黑体" w:hAnsi="宋体" w:eastAsia="黑体" w:cs="黑体"/>
          <w:color w:val="000000"/>
          <w:sz w:val="32"/>
          <w:szCs w:val="32"/>
        </w:rPr>
        <w:t>八、下一步改进措施</w:t>
      </w:r>
    </w:p>
    <w:p w14:paraId="35619C41">
      <w:pPr>
        <w:pStyle w:val="4"/>
        <w:widowControl/>
        <w:spacing w:line="560" w:lineRule="atLeast"/>
        <w:ind w:firstLine="560"/>
        <w:jc w:val="both"/>
        <w:rPr>
          <w:rFonts w:ascii="Calibri" w:hAnsi="Calibri" w:cs="Calibri"/>
          <w:sz w:val="21"/>
          <w:szCs w:val="21"/>
        </w:rPr>
      </w:pPr>
      <w:r>
        <w:rPr>
          <w:rFonts w:hint="eastAsia" w:ascii="仿宋" w:hAnsi="仿宋" w:eastAsia="仿宋" w:cs="仿宋"/>
          <w:color w:val="000000"/>
          <w:sz w:val="28"/>
          <w:szCs w:val="28"/>
        </w:rPr>
        <w:t>1、预算财务分析常态化，定期做好预算支出财务分析，做好单位整体支出预算评价工作。</w:t>
      </w:r>
    </w:p>
    <w:p w14:paraId="3F512010">
      <w:pPr>
        <w:pStyle w:val="4"/>
        <w:widowControl/>
        <w:spacing w:line="560" w:lineRule="atLeast"/>
        <w:ind w:firstLine="560"/>
        <w:jc w:val="both"/>
        <w:rPr>
          <w:rFonts w:ascii="Calibri" w:hAnsi="Calibri" w:cs="Calibri"/>
          <w:sz w:val="21"/>
          <w:szCs w:val="21"/>
        </w:rPr>
      </w:pPr>
      <w:r>
        <w:rPr>
          <w:rFonts w:hint="eastAsia" w:ascii="仿宋" w:hAnsi="仿宋" w:eastAsia="仿宋" w:cs="仿宋"/>
          <w:color w:val="000000"/>
          <w:sz w:val="28"/>
          <w:szCs w:val="28"/>
        </w:rPr>
        <w:t>2、建立绩效评价管理工作的长效机制，将绩效评价作为各部门的日常性工作，加强相关培训。</w:t>
      </w:r>
    </w:p>
    <w:p w14:paraId="631DCD2B">
      <w:pPr>
        <w:pStyle w:val="4"/>
        <w:widowControl/>
        <w:spacing w:line="640" w:lineRule="atLeast"/>
        <w:ind w:firstLine="640"/>
        <w:jc w:val="both"/>
        <w:rPr>
          <w:rFonts w:ascii="Calibri" w:hAnsi="Calibri" w:cs="Calibri"/>
          <w:sz w:val="21"/>
          <w:szCs w:val="21"/>
        </w:rPr>
      </w:pPr>
      <w:r>
        <w:rPr>
          <w:rFonts w:hint="eastAsia" w:ascii="黑体" w:hAnsi="宋体" w:eastAsia="黑体" w:cs="黑体"/>
          <w:color w:val="000000"/>
          <w:sz w:val="32"/>
          <w:szCs w:val="32"/>
        </w:rPr>
        <w:t>九、单位整体支出绩效自评结果拟应用和公开情况</w:t>
      </w:r>
    </w:p>
    <w:p w14:paraId="3F29A824">
      <w:pPr>
        <w:pStyle w:val="4"/>
        <w:widowControl/>
        <w:spacing w:line="520" w:lineRule="atLeast"/>
        <w:ind w:firstLine="560"/>
        <w:jc w:val="both"/>
        <w:rPr>
          <w:rFonts w:ascii="Calibri" w:hAnsi="Calibri" w:cs="Calibri"/>
          <w:sz w:val="21"/>
          <w:szCs w:val="21"/>
        </w:rPr>
      </w:pPr>
      <w:r>
        <w:rPr>
          <w:rFonts w:hint="eastAsia" w:ascii="仿宋" w:hAnsi="仿宋" w:eastAsia="仿宋" w:cs="仿宋"/>
          <w:color w:val="000000"/>
          <w:sz w:val="28"/>
          <w:szCs w:val="28"/>
        </w:rPr>
        <w:t>本单位高度重视此项绩效自评工作，积极落实主体责任，切实加强组织领导，按照绩效评价相关制度规定，明确具体责任人，认真开展自评，撰写了此份绩效评价报告，确保绩效自评工作顺利实施，并将按照要求进行信息公开，对存在的问题积极整改。</w:t>
      </w:r>
    </w:p>
    <w:p w14:paraId="590ECDA7">
      <w:pPr>
        <w:pStyle w:val="4"/>
        <w:widowControl/>
        <w:spacing w:line="640" w:lineRule="atLeast"/>
        <w:ind w:firstLine="640"/>
        <w:jc w:val="both"/>
        <w:rPr>
          <w:rFonts w:ascii="仿宋" w:hAnsi="仿宋" w:eastAsia="仿宋" w:cs="仿宋"/>
          <w:color w:val="000000"/>
          <w:sz w:val="28"/>
          <w:szCs w:val="28"/>
        </w:rPr>
      </w:pPr>
      <w:r>
        <w:rPr>
          <w:rFonts w:hint="eastAsia" w:ascii="黑体" w:hAnsi="宋体" w:eastAsia="黑体" w:cs="黑体"/>
          <w:color w:val="000000"/>
          <w:sz w:val="32"/>
          <w:szCs w:val="32"/>
        </w:rPr>
        <w:t>十、 其他需要说明的情况</w:t>
      </w:r>
    </w:p>
    <w:p w14:paraId="1DA7DFCF">
      <w:pPr>
        <w:pStyle w:val="4"/>
        <w:widowControl/>
        <w:spacing w:line="520" w:lineRule="atLeast"/>
        <w:ind w:firstLine="560"/>
        <w:jc w:val="both"/>
        <w:rPr>
          <w:rFonts w:ascii="仿宋" w:hAnsi="仿宋" w:eastAsia="仿宋" w:cs="仿宋"/>
          <w:color w:val="000000"/>
          <w:sz w:val="28"/>
          <w:szCs w:val="28"/>
        </w:rPr>
      </w:pPr>
      <w:r>
        <w:rPr>
          <w:rFonts w:hint="eastAsia" w:ascii="仿宋" w:hAnsi="仿宋" w:eastAsia="仿宋" w:cs="仿宋"/>
          <w:color w:val="000000"/>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方正小标宋简体">
    <w:altName w:val="黑体"/>
    <w:panose1 w:val="00000000000000000000"/>
    <w:charset w:val="86"/>
    <w:family w:val="auto"/>
    <w:pitch w:val="default"/>
    <w:sig w:usb0="00000000" w:usb1="00000000" w:usb2="00000012" w:usb3="00000000" w:csb0="00040001"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90604">
    <w:pPr>
      <w:widowControl/>
      <w:kinsoku w:val="0"/>
      <w:autoSpaceDE w:val="0"/>
      <w:autoSpaceDN w:val="0"/>
      <w:adjustRightInd w:val="0"/>
      <w:snapToGrid w:val="0"/>
      <w:spacing w:before="1" w:line="176" w:lineRule="auto"/>
      <w:ind w:left="8815"/>
      <w:jc w:val="left"/>
      <w:textAlignment w:val="baseline"/>
      <w:rPr>
        <w:rFonts w:ascii="宋体" w:hAnsi="宋体" w:eastAsia="宋体" w:cs="宋体"/>
        <w:snapToGrid w:val="0"/>
        <w:color w:val="000000"/>
        <w:kern w:val="0"/>
        <w:sz w:val="30"/>
        <w:szCs w:val="30"/>
        <w:lang w:eastAsia="en-US"/>
      </w:rPr>
    </w:pPr>
    <w:r>
      <w:rPr>
        <w:rFonts w:ascii="宋体" w:hAnsi="宋体" w:eastAsia="宋体" w:cs="宋体"/>
        <w:snapToGrid w:val="0"/>
        <w:color w:val="000000"/>
        <w:spacing w:val="-18"/>
        <w:w w:val="98"/>
        <w:kern w:val="0"/>
        <w:sz w:val="30"/>
        <w:szCs w:val="30"/>
        <w:lang w:eastAsia="en-US"/>
      </w:rPr>
      <w:t>—</w:t>
    </w:r>
    <w:r>
      <w:rPr>
        <w:rFonts w:ascii="宋体" w:hAnsi="宋体" w:eastAsia="宋体" w:cs="宋体"/>
        <w:snapToGrid w:val="0"/>
        <w:color w:val="000000"/>
        <w:spacing w:val="15"/>
        <w:kern w:val="0"/>
        <w:sz w:val="30"/>
        <w:szCs w:val="30"/>
        <w:lang w:eastAsia="en-US"/>
      </w:rPr>
      <w:t xml:space="preserve"> </w:t>
    </w:r>
    <w:r>
      <w:rPr>
        <w:rFonts w:ascii="宋体" w:hAnsi="宋体" w:eastAsia="宋体" w:cs="宋体"/>
        <w:snapToGrid w:val="0"/>
        <w:color w:val="000000"/>
        <w:spacing w:val="-18"/>
        <w:w w:val="98"/>
        <w:kern w:val="0"/>
        <w:sz w:val="30"/>
        <w:szCs w:val="30"/>
        <w:lang w:eastAsia="en-US"/>
      </w:rPr>
      <w:t>9—</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VhM2RiODNhYzYwODk5ZTg2MTVmODIyMGIzNjA1OGYifQ=="/>
  </w:docVars>
  <w:rsids>
    <w:rsidRoot w:val="005917E0"/>
    <w:rsid w:val="000C09DC"/>
    <w:rsid w:val="001D1F52"/>
    <w:rsid w:val="002208AE"/>
    <w:rsid w:val="00397A47"/>
    <w:rsid w:val="005000CE"/>
    <w:rsid w:val="00524673"/>
    <w:rsid w:val="005917E0"/>
    <w:rsid w:val="007374BA"/>
    <w:rsid w:val="00791D6D"/>
    <w:rsid w:val="007C29EA"/>
    <w:rsid w:val="009566D1"/>
    <w:rsid w:val="009C2212"/>
    <w:rsid w:val="00A23EAF"/>
    <w:rsid w:val="00A54C3E"/>
    <w:rsid w:val="00BB1D0F"/>
    <w:rsid w:val="00BE5A9F"/>
    <w:rsid w:val="00CF4CCB"/>
    <w:rsid w:val="00D70E51"/>
    <w:rsid w:val="00E70526"/>
    <w:rsid w:val="00EB6FFB"/>
    <w:rsid w:val="0734533F"/>
    <w:rsid w:val="07347C72"/>
    <w:rsid w:val="09907D5D"/>
    <w:rsid w:val="0A710254"/>
    <w:rsid w:val="105F4207"/>
    <w:rsid w:val="136457B7"/>
    <w:rsid w:val="14923059"/>
    <w:rsid w:val="191A3976"/>
    <w:rsid w:val="1D632B53"/>
    <w:rsid w:val="1FF60FC9"/>
    <w:rsid w:val="22C22BC2"/>
    <w:rsid w:val="28F27ADA"/>
    <w:rsid w:val="2A003C5F"/>
    <w:rsid w:val="2C3016BC"/>
    <w:rsid w:val="3C16141A"/>
    <w:rsid w:val="47B82347"/>
    <w:rsid w:val="4B2B48E0"/>
    <w:rsid w:val="507C0EB3"/>
    <w:rsid w:val="54352A41"/>
    <w:rsid w:val="549E1612"/>
    <w:rsid w:val="55FE085D"/>
    <w:rsid w:val="60021951"/>
    <w:rsid w:val="608E5A3C"/>
    <w:rsid w:val="687D43A0"/>
    <w:rsid w:val="69596E50"/>
    <w:rsid w:val="74A72CE2"/>
    <w:rsid w:val="74A86832"/>
    <w:rsid w:val="7C6B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textAlignment w:val="center"/>
    </w:pPr>
    <w:rPr>
      <w:rFonts w:cs="Times New Roman"/>
      <w:kern w:val="0"/>
      <w:sz w:val="24"/>
    </w:rPr>
  </w:style>
  <w:style w:type="character" w:styleId="7">
    <w:name w:val="Strong"/>
    <w:basedOn w:val="6"/>
    <w:qFormat/>
    <w:uiPriority w:val="0"/>
    <w:rPr>
      <w:b/>
      <w:bCs/>
    </w:rPr>
  </w:style>
  <w:style w:type="character" w:styleId="8">
    <w:name w:val="FollowedHyperlink"/>
    <w:basedOn w:val="6"/>
    <w:qFormat/>
    <w:uiPriority w:val="0"/>
    <w:rPr>
      <w:color w:val="333333"/>
      <w:u w:val="none"/>
    </w:rPr>
  </w:style>
  <w:style w:type="character" w:styleId="9">
    <w:name w:val="Emphasis"/>
    <w:basedOn w:val="6"/>
    <w:qFormat/>
    <w:uiPriority w:val="0"/>
  </w:style>
  <w:style w:type="character" w:styleId="10">
    <w:name w:val="Hyperlink"/>
    <w:basedOn w:val="6"/>
    <w:qFormat/>
    <w:uiPriority w:val="0"/>
    <w:rPr>
      <w:color w:val="333333"/>
      <w:u w:val="none"/>
    </w:rPr>
  </w:style>
  <w:style w:type="character" w:styleId="11">
    <w:name w:val="HTML Code"/>
    <w:basedOn w:val="6"/>
    <w:qFormat/>
    <w:uiPriority w:val="0"/>
    <w:rPr>
      <w:rFonts w:ascii="Consolas" w:hAnsi="Consolas" w:eastAsia="Consolas" w:cs="Consolas"/>
      <w:color w:val="E83E8C"/>
      <w:sz w:val="21"/>
      <w:szCs w:val="21"/>
    </w:rPr>
  </w:style>
  <w:style w:type="character" w:styleId="12">
    <w:name w:val="HTML Keyboard"/>
    <w:basedOn w:val="6"/>
    <w:qFormat/>
    <w:uiPriority w:val="0"/>
    <w:rPr>
      <w:rFonts w:hint="default" w:ascii="Consolas" w:hAnsi="Consolas" w:eastAsia="Consolas" w:cs="Consolas"/>
      <w:color w:val="FFFFFF"/>
      <w:sz w:val="21"/>
      <w:szCs w:val="21"/>
      <w:shd w:val="clear" w:color="auto" w:fill="212529"/>
    </w:rPr>
  </w:style>
  <w:style w:type="character" w:styleId="13">
    <w:name w:val="HTML Sample"/>
    <w:basedOn w:val="6"/>
    <w:qFormat/>
    <w:uiPriority w:val="0"/>
    <w:rPr>
      <w:rFonts w:hint="default" w:ascii="Consolas" w:hAnsi="Consolas" w:eastAsia="Consolas" w:cs="Consolas"/>
      <w:sz w:val="21"/>
      <w:szCs w:val="21"/>
    </w:rPr>
  </w:style>
  <w:style w:type="character" w:customStyle="1" w:styleId="14">
    <w:name w:val="wx-space"/>
    <w:basedOn w:val="6"/>
    <w:qFormat/>
    <w:uiPriority w:val="0"/>
  </w:style>
  <w:style w:type="character" w:customStyle="1" w:styleId="15">
    <w:name w:val="wx-space1"/>
    <w:basedOn w:val="6"/>
    <w:qFormat/>
    <w:uiPriority w:val="0"/>
  </w:style>
  <w:style w:type="character" w:customStyle="1" w:styleId="16">
    <w:name w:val="hover9"/>
    <w:basedOn w:val="6"/>
    <w:qFormat/>
    <w:uiPriority w:val="0"/>
    <w:rPr>
      <w:color w:val="000000"/>
      <w:shd w:val="clear" w:color="auto" w:fill="FFFFFF"/>
    </w:rPr>
  </w:style>
  <w:style w:type="character" w:customStyle="1" w:styleId="17">
    <w:name w:val="d-inline-block1"/>
    <w:basedOn w:val="6"/>
    <w:qFormat/>
    <w:uiPriority w:val="0"/>
  </w:style>
  <w:style w:type="table" w:customStyle="1" w:styleId="18">
    <w:name w:val="Table Normal"/>
    <w:semiHidden/>
    <w:unhideWhenUsed/>
    <w:qFormat/>
    <w:uiPriority w:val="0"/>
    <w:tblPr>
      <w:tblCellMar>
        <w:top w:w="0" w:type="dxa"/>
        <w:left w:w="0" w:type="dxa"/>
        <w:bottom w:w="0" w:type="dxa"/>
        <w:right w:w="0" w:type="dxa"/>
      </w:tblCellMar>
    </w:tblPr>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SXC</Company>
  <Pages>5</Pages>
  <Words>1892</Words>
  <Characters>1962</Characters>
  <Lines>1</Lines>
  <Paragraphs>4</Paragraphs>
  <TotalTime>17</TotalTime>
  <ScaleCrop>false</ScaleCrop>
  <LinksUpToDate>false</LinksUpToDate>
  <CharactersWithSpaces>2015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2024-09-04T07:37:00Z</dcterms:created>
  <dc:creator>Administrator</dc:creator>
  <cp:lastModifiedBy>Y</cp:lastModifiedBy>
  <dcterms:modified xsi:type="dcterms:W3CDTF">2025-10-10T01:44:50Z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18C80C7BF72240E984605C6A2B9BD0BB_12</vt:lpwstr>
  </property>
  <property fmtid="{D5CDD505-2E9C-101B-9397-08002B2CF9AE}" pid="4" name="KSOTemplateDocerSaveRecord">
    <vt:lpwstr>eyJoZGlkIjoiYTI1ZWRhODIzZjNkMzE5ODI3Y2UwZTM2NjQ3YjE4YjIiLCJ1c2VySWQiOiI1Mzg0MzA5MzAifQ==</vt:lpwstr>
  </property>
</Properties>
</file>