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9D9C1">
      <w:pPr>
        <w:ind w:firstLine="442" w:firstLineChars="100"/>
        <w:jc w:val="center"/>
        <w:rPr>
          <w:rFonts w:hint="eastAsia" w:asciiTheme="minorEastAsia" w:hAnsiTheme="minorEastAsia" w:eastAsiaTheme="minorEastAsia" w:cstheme="minorEastAsia"/>
          <w:b/>
          <w:bCs/>
          <w:sz w:val="44"/>
          <w:szCs w:val="44"/>
        </w:rPr>
      </w:pPr>
    </w:p>
    <w:p w14:paraId="2637061B">
      <w:pPr>
        <w:ind w:firstLine="442" w:firstLineChars="100"/>
        <w:jc w:val="center"/>
        <w:rPr>
          <w:rFonts w:hint="eastAsia" w:asciiTheme="minorEastAsia" w:hAnsiTheme="minorEastAsia" w:eastAsiaTheme="minorEastAsia" w:cstheme="minorEastAsia"/>
          <w:b/>
          <w:bCs/>
          <w:sz w:val="44"/>
          <w:szCs w:val="44"/>
        </w:rPr>
      </w:pPr>
    </w:p>
    <w:p w14:paraId="553491DC">
      <w:pPr>
        <w:ind w:firstLine="442" w:firstLineChars="100"/>
        <w:jc w:val="center"/>
        <w:rPr>
          <w:rFonts w:hint="eastAsia" w:asciiTheme="minorEastAsia" w:hAnsiTheme="minorEastAsia" w:eastAsiaTheme="minorEastAsia" w:cstheme="minorEastAsia"/>
          <w:b/>
          <w:bCs/>
          <w:sz w:val="44"/>
          <w:szCs w:val="44"/>
        </w:rPr>
      </w:pPr>
    </w:p>
    <w:p w14:paraId="602FA141">
      <w:pPr>
        <w:ind w:firstLine="442" w:firstLineChars="100"/>
        <w:jc w:val="center"/>
        <w:rPr>
          <w:rFonts w:hint="eastAsia" w:asciiTheme="minorEastAsia" w:hAnsiTheme="minorEastAsia" w:cstheme="minorEastAsia"/>
          <w:b/>
          <w:bCs/>
          <w:sz w:val="44"/>
          <w:szCs w:val="44"/>
          <w:lang w:val="en-US" w:eastAsia="zh-CN"/>
        </w:rPr>
      </w:pPr>
      <w:r>
        <w:rPr>
          <w:rFonts w:hint="eastAsia" w:asciiTheme="minorEastAsia" w:hAnsiTheme="minorEastAsia" w:eastAsiaTheme="minorEastAsia" w:cstheme="minorEastAsia"/>
          <w:b/>
          <w:bCs/>
          <w:sz w:val="44"/>
          <w:szCs w:val="44"/>
        </w:rPr>
        <w:t>202</w:t>
      </w:r>
      <w:r>
        <w:rPr>
          <w:rFonts w:hint="eastAsia" w:asciiTheme="minorEastAsia" w:hAnsiTheme="minorEastAsia" w:cstheme="minorEastAsia"/>
          <w:b/>
          <w:bCs/>
          <w:sz w:val="44"/>
          <w:szCs w:val="44"/>
          <w:lang w:val="en-US" w:eastAsia="zh-CN"/>
        </w:rPr>
        <w:t>4</w:t>
      </w:r>
      <w:r>
        <w:rPr>
          <w:rFonts w:hint="eastAsia" w:asciiTheme="minorEastAsia" w:hAnsiTheme="minorEastAsia" w:eastAsiaTheme="minorEastAsia" w:cstheme="minorEastAsia"/>
          <w:b/>
          <w:bCs/>
          <w:sz w:val="44"/>
          <w:szCs w:val="44"/>
        </w:rPr>
        <w:t>年度湖南城陵矶临港产业新区岳阳楼区工作部</w:t>
      </w:r>
    </w:p>
    <w:p w14:paraId="531685C9">
      <w:pPr>
        <w:keepNext w:val="0"/>
        <w:keepLines w:val="0"/>
        <w:pageBreakBefore w:val="0"/>
        <w:kinsoku/>
        <w:wordWrap/>
        <w:overflowPunct/>
        <w:topLinePunct w:val="0"/>
        <w:autoSpaceDE/>
        <w:autoSpaceDN/>
        <w:bidi w:val="0"/>
        <w:adjustRightInd/>
        <w:snapToGrid/>
        <w:ind w:firstLine="883" w:firstLineChars="200"/>
        <w:jc w:val="center"/>
        <w:textAlignment w:val="auto"/>
        <w:rPr>
          <w:rFonts w:hint="default" w:ascii="Times New Roman" w:hAnsi="Times New Roman" w:eastAsia="楷体_GB2312" w:cs="Times New Roman"/>
          <w:b/>
          <w:sz w:val="32"/>
          <w:szCs w:val="32"/>
          <w:highlight w:val="none"/>
        </w:rPr>
      </w:pPr>
      <w:r>
        <w:rPr>
          <w:rFonts w:hint="eastAsia" w:asciiTheme="minorEastAsia" w:hAnsiTheme="minorEastAsia" w:eastAsiaTheme="minorEastAsia" w:cstheme="minorEastAsia"/>
          <w:b/>
          <w:bCs/>
          <w:sz w:val="44"/>
          <w:szCs w:val="44"/>
        </w:rPr>
        <w:t>单位整体支出绩效自评报告</w:t>
      </w:r>
    </w:p>
    <w:p w14:paraId="7A0BDA70">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3280593B">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786C38B9">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307B40AA">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3FAC1AFA">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72719BCB">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624B1F2D">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5E7ABE47">
      <w:pPr>
        <w:keepNext w:val="0"/>
        <w:keepLines w:val="0"/>
        <w:pageBreakBefore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黑体" w:cs="Times New Roman"/>
          <w:sz w:val="32"/>
          <w:szCs w:val="32"/>
          <w:highlight w:val="none"/>
        </w:rPr>
      </w:pPr>
    </w:p>
    <w:p w14:paraId="0F6CE352">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2B705B6C">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69BB075F">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30641714">
      <w:pPr>
        <w:keepNext w:val="0"/>
        <w:keepLines w:val="0"/>
        <w:pageBreakBefore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46CA46E0">
      <w:pPr>
        <w:keepNext w:val="0"/>
        <w:keepLines w:val="0"/>
        <w:pageBreakBefore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50D4B949">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09627B4A">
      <w:pPr>
        <w:pStyle w:val="2"/>
        <w:spacing w:line="384" w:lineRule="auto"/>
      </w:pPr>
      <w:r>
        <w:rPr>
          <w:rFonts w:hint="default" w:ascii="Times New Roman" w:hAnsi="Times New Roman" w:eastAsia="仿宋_GB2312" w:cs="Times New Roman"/>
          <w:sz w:val="32"/>
          <w:szCs w:val="32"/>
          <w:highlight w:val="none"/>
        </w:rPr>
        <w:br w:type="page"/>
      </w:r>
    </w:p>
    <w:p w14:paraId="4C219C4E">
      <w:pPr>
        <w:ind w:firstLine="442" w:firstLineChars="100"/>
        <w:jc w:val="center"/>
        <w:rPr>
          <w:rFonts w:hint="eastAsia" w:asciiTheme="minorEastAsia" w:hAnsiTheme="minorEastAsia" w:cstheme="minorEastAsia"/>
          <w:b/>
          <w:bCs/>
          <w:sz w:val="44"/>
          <w:szCs w:val="44"/>
          <w:lang w:val="en-US" w:eastAsia="zh-CN"/>
        </w:rPr>
      </w:pPr>
      <w:r>
        <w:rPr>
          <w:rFonts w:hint="eastAsia" w:asciiTheme="minorEastAsia" w:hAnsiTheme="minorEastAsia" w:eastAsiaTheme="minorEastAsia" w:cstheme="minorEastAsia"/>
          <w:b/>
          <w:bCs/>
          <w:sz w:val="44"/>
          <w:szCs w:val="44"/>
        </w:rPr>
        <w:t>202</w:t>
      </w:r>
      <w:r>
        <w:rPr>
          <w:rFonts w:hint="eastAsia" w:asciiTheme="minorEastAsia" w:hAnsiTheme="minorEastAsia" w:cstheme="minorEastAsia"/>
          <w:b/>
          <w:bCs/>
          <w:sz w:val="44"/>
          <w:szCs w:val="44"/>
          <w:lang w:val="en-US" w:eastAsia="zh-CN"/>
        </w:rPr>
        <w:t>4</w:t>
      </w:r>
      <w:r>
        <w:rPr>
          <w:rFonts w:hint="eastAsia" w:asciiTheme="minorEastAsia" w:hAnsiTheme="minorEastAsia" w:eastAsiaTheme="minorEastAsia" w:cstheme="minorEastAsia"/>
          <w:b/>
          <w:bCs/>
          <w:sz w:val="44"/>
          <w:szCs w:val="44"/>
        </w:rPr>
        <w:t>年度湖南城陵矶临港产业新区岳阳楼区工作部</w:t>
      </w:r>
    </w:p>
    <w:p w14:paraId="0D24545C">
      <w:pPr>
        <w:ind w:firstLine="442" w:firstLineChars="10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单位整体支出绩效自评报告</w:t>
      </w:r>
    </w:p>
    <w:p w14:paraId="4CA6157F">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一、单位基本情况</w:t>
      </w:r>
    </w:p>
    <w:p w14:paraId="1D209E01">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（一）基本概况</w:t>
      </w:r>
    </w:p>
    <w:p w14:paraId="7100AA2D">
      <w:pPr>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湖南城陵矶临港产业新区岳阳楼区工作部现人员编制</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人，实有在编</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人</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离退休人员1人，共计</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人。根据编办核定，工作部属城陵矶新港区管委会与岳阳楼区人民政府双重管理机构。由区编办下文下设综合科、项目科、协调科三个科室。</w:t>
      </w:r>
    </w:p>
    <w:p w14:paraId="07B14B0A">
      <w:pPr>
        <w:ind w:firstLine="280" w:firstLine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（二）职能职责</w:t>
      </w:r>
    </w:p>
    <w:p w14:paraId="3141251E">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1、负责新港区范围内有关社会事务的管理和协调。</w:t>
      </w:r>
    </w:p>
    <w:p w14:paraId="14F849E1">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2、有关禁违拆违、征地拆迁和还建工作任务的协调与落实。</w:t>
      </w:r>
    </w:p>
    <w:p w14:paraId="72D8EAE5">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3、统一指挥和调度岳阳楼区相关职能部门做好服务新港区的有关工作，负责新港区交办的其他工作任务。</w:t>
      </w:r>
    </w:p>
    <w:p w14:paraId="514FC602">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二、一般公共预算支出情况</w:t>
      </w:r>
    </w:p>
    <w:p w14:paraId="212398BF">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（一）基本支出情况</w:t>
      </w:r>
    </w:p>
    <w:p w14:paraId="3522164D">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1、预算配置情况评价分析根据岳阳楼区编制部门文件规定湖南城陵矶临港产业新区岳阳楼区工作部人员编制</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人，202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年决算报表反映</w:t>
      </w:r>
      <w:r>
        <w:rPr>
          <w:rFonts w:hint="eastAsia" w:asciiTheme="minorEastAsia" w:hAnsiTheme="minorEastAsia" w:eastAsiaTheme="minorEastAsia" w:cstheme="minorEastAsia"/>
          <w:sz w:val="28"/>
          <w:szCs w:val="28"/>
          <w:lang w:val="en-US" w:eastAsia="zh-CN"/>
        </w:rPr>
        <w:t>实际在职人员</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人，</w:t>
      </w:r>
      <w:r>
        <w:rPr>
          <w:rFonts w:hint="eastAsia" w:asciiTheme="minorEastAsia" w:hAnsiTheme="minorEastAsia" w:cstheme="minorEastAsia"/>
          <w:sz w:val="28"/>
          <w:szCs w:val="28"/>
          <w:lang w:val="en-US" w:eastAsia="zh-CN"/>
        </w:rPr>
        <w:t>退休1人，</w:t>
      </w:r>
      <w:r>
        <w:rPr>
          <w:rFonts w:hint="eastAsia" w:asciiTheme="minorEastAsia" w:hAnsiTheme="minorEastAsia" w:eastAsiaTheme="minorEastAsia" w:cstheme="minorEastAsia"/>
          <w:sz w:val="28"/>
          <w:szCs w:val="28"/>
          <w:lang w:val="en-US" w:eastAsia="zh-CN"/>
        </w:rPr>
        <w:t>财政供养人员控制率为</w:t>
      </w:r>
      <w:r>
        <w:rPr>
          <w:rFonts w:hint="eastAsia" w:asciiTheme="minorEastAsia" w:hAnsiTheme="minorEastAsia" w:eastAsiaTheme="minorEastAsia" w:cstheme="minorEastAsia"/>
          <w:sz w:val="28"/>
          <w:szCs w:val="28"/>
        </w:rPr>
        <w:t>100%。</w:t>
      </w:r>
    </w:p>
    <w:p w14:paraId="4B92B552">
      <w:pPr>
        <w:numPr>
          <w:ilvl w:val="0"/>
          <w:numId w:val="0"/>
        </w:num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整体支出情况分析202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年度基本支出</w:t>
      </w:r>
      <w:r>
        <w:rPr>
          <w:rFonts w:hint="eastAsia" w:asciiTheme="minorEastAsia" w:hAnsiTheme="minorEastAsia" w:cstheme="minorEastAsia"/>
          <w:sz w:val="28"/>
          <w:szCs w:val="28"/>
          <w:lang w:val="en-US" w:eastAsia="zh-CN"/>
        </w:rPr>
        <w:t>113.94</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cstheme="minorEastAsia"/>
          <w:sz w:val="28"/>
          <w:szCs w:val="28"/>
          <w:lang w:val="en-US" w:eastAsia="zh-CN"/>
        </w:rPr>
        <w:t>96.82</w:t>
      </w:r>
      <w:r>
        <w:rPr>
          <w:rFonts w:hint="eastAsia" w:asciiTheme="minorEastAsia" w:hAnsiTheme="minorEastAsia" w:eastAsiaTheme="minorEastAsia" w:cstheme="minorEastAsia"/>
          <w:sz w:val="28"/>
          <w:szCs w:val="28"/>
        </w:rPr>
        <w:t>万元，占基本支出的8</w:t>
      </w:r>
      <w:r>
        <w:rPr>
          <w:rFonts w:hint="eastAsia" w:asciiTheme="minorEastAsia" w:hAnsiTheme="minorEastAsia" w:cstheme="minorEastAsia"/>
          <w:sz w:val="28"/>
          <w:szCs w:val="28"/>
          <w:lang w:val="en-US" w:eastAsia="zh-CN"/>
        </w:rPr>
        <w:t>4.97</w:t>
      </w:r>
      <w:r>
        <w:rPr>
          <w:rFonts w:hint="eastAsia" w:asciiTheme="minorEastAsia" w:hAnsiTheme="minorEastAsia" w:eastAsiaTheme="minorEastAsia" w:cstheme="minorEastAsia"/>
          <w:sz w:val="28"/>
          <w:szCs w:val="28"/>
        </w:rPr>
        <w:t>%。主要包括基本工资、津贴补贴、奖金、绩效工资、机关事业单位基本养老保险缴费、职工基本医疗保险缴费、其他社会保障缴费、住房公积金、其他工资福利支出。商品和服务支出1</w:t>
      </w:r>
      <w:r>
        <w:rPr>
          <w:rFonts w:hint="eastAsia" w:asciiTheme="minorEastAsia" w:hAnsiTheme="minorEastAsia" w:cstheme="minorEastAsia"/>
          <w:sz w:val="28"/>
          <w:szCs w:val="28"/>
          <w:lang w:val="en-US" w:eastAsia="zh-CN"/>
        </w:rPr>
        <w:t>4.34</w:t>
      </w:r>
      <w:r>
        <w:rPr>
          <w:rFonts w:hint="eastAsia" w:asciiTheme="minorEastAsia" w:hAnsiTheme="minorEastAsia" w:eastAsiaTheme="minorEastAsia" w:cstheme="minorEastAsia"/>
          <w:sz w:val="28"/>
          <w:szCs w:val="28"/>
        </w:rPr>
        <w:t>万元，占基本支出的</w:t>
      </w:r>
      <w:r>
        <w:rPr>
          <w:rFonts w:hint="eastAsia" w:asciiTheme="minorEastAsia" w:hAnsiTheme="minorEastAsia" w:cstheme="minorEastAsia"/>
          <w:sz w:val="28"/>
          <w:szCs w:val="28"/>
          <w:lang w:val="en-US" w:eastAsia="zh-CN"/>
        </w:rPr>
        <w:t>12.58</w:t>
      </w:r>
      <w:r>
        <w:rPr>
          <w:rFonts w:hint="eastAsia" w:asciiTheme="minorEastAsia" w:hAnsiTheme="minorEastAsia" w:eastAsiaTheme="minorEastAsia" w:cstheme="minorEastAsia"/>
          <w:sz w:val="28"/>
          <w:szCs w:val="28"/>
        </w:rPr>
        <w:t>%。主要包括办公费、印刷费、水费、电费、邮电费、差旅费、维修（护）费、公务接待费、劳务费、工会经费、其他交通费用、其他商品和服务支出。对个人和家庭的补助</w:t>
      </w:r>
      <w:r>
        <w:rPr>
          <w:rFonts w:hint="eastAsia" w:asciiTheme="minorEastAsia" w:hAnsiTheme="minorEastAsia" w:cstheme="minorEastAsia"/>
          <w:sz w:val="28"/>
          <w:szCs w:val="28"/>
          <w:lang w:val="en-US" w:eastAsia="zh-CN"/>
        </w:rPr>
        <w:t>2.78</w:t>
      </w:r>
      <w:r>
        <w:rPr>
          <w:rFonts w:hint="eastAsia" w:asciiTheme="minorEastAsia" w:hAnsiTheme="minorEastAsia" w:eastAsiaTheme="minorEastAsia" w:cstheme="minorEastAsia"/>
          <w:sz w:val="28"/>
          <w:szCs w:val="28"/>
        </w:rPr>
        <w:t>万元，占基本支出的</w:t>
      </w:r>
      <w:r>
        <w:rPr>
          <w:rFonts w:hint="eastAsia" w:asciiTheme="minorEastAsia" w:hAnsiTheme="minorEastAsia" w:cstheme="minorEastAsia"/>
          <w:sz w:val="28"/>
          <w:szCs w:val="28"/>
          <w:lang w:val="en-US" w:eastAsia="zh-CN"/>
        </w:rPr>
        <w:t>2.43</w:t>
      </w:r>
      <w:r>
        <w:rPr>
          <w:rFonts w:hint="eastAsia" w:asciiTheme="minorEastAsia" w:hAnsiTheme="minorEastAsia" w:eastAsiaTheme="minorEastAsia" w:cstheme="minorEastAsia"/>
          <w:sz w:val="28"/>
          <w:szCs w:val="28"/>
        </w:rPr>
        <w:t>%。主要包括生活补助、医疗费补助、奖励金、其他对个人和家庭的补助。</w:t>
      </w:r>
    </w:p>
    <w:p w14:paraId="1427F1C0">
      <w:pPr>
        <w:numPr>
          <w:ilvl w:val="0"/>
          <w:numId w:val="0"/>
        </w:num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（二）项目支出</w:t>
      </w:r>
      <w:r>
        <w:rPr>
          <w:rFonts w:hint="eastAsia" w:asciiTheme="minorEastAsia" w:hAnsiTheme="minorEastAsia" w:cstheme="minorEastAsia"/>
          <w:sz w:val="28"/>
          <w:szCs w:val="28"/>
          <w:lang w:val="en-US" w:eastAsia="zh-CN"/>
        </w:rPr>
        <w:t>情况</w:t>
      </w:r>
    </w:p>
    <w:p w14:paraId="524CBF3E">
      <w:pPr>
        <w:numPr>
          <w:ilvl w:val="0"/>
          <w:numId w:val="0"/>
        </w:num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年度湖南城陵矶临港产业新区岳阳楼区工作部无项目支出。</w:t>
      </w:r>
    </w:p>
    <w:p w14:paraId="2B1C4C34">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三、政府性基金预算支出情况</w:t>
      </w:r>
    </w:p>
    <w:p w14:paraId="65E9BE18">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年度本单位无政府性基金预算支出。</w:t>
      </w:r>
    </w:p>
    <w:p w14:paraId="5AD93F5E">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四、国有资本经营预算支出情况</w:t>
      </w:r>
    </w:p>
    <w:p w14:paraId="2EFAB745">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年度本单位无国有资本经营预算支出。</w:t>
      </w:r>
    </w:p>
    <w:p w14:paraId="28BF969F">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社会保险基金预算支出情况</w:t>
      </w:r>
    </w:p>
    <w:p w14:paraId="796032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年度本单位无社会保险基金预算支出。</w:t>
      </w:r>
    </w:p>
    <w:p w14:paraId="5F0ECC8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b w:val="0"/>
          <w:bCs w:val="0"/>
          <w:color w:val="000000"/>
          <w:sz w:val="32"/>
          <w:szCs w:val="32"/>
          <w:lang w:val="en-US" w:eastAsia="zh-CN"/>
        </w:rPr>
      </w:pPr>
      <w:r>
        <w:rPr>
          <w:rFonts w:hint="eastAsia" w:asciiTheme="minorEastAsia" w:hAnsiTheme="minorEastAsia" w:eastAsiaTheme="minorEastAsia" w:cstheme="minorEastAsia"/>
          <w:sz w:val="28"/>
          <w:szCs w:val="28"/>
        </w:rPr>
        <w:t>部门整体支出绩效情况</w:t>
      </w:r>
    </w:p>
    <w:p w14:paraId="1A73A1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今年来，工作部党组在区委区政府的正确领导下，忠诚履职，积极作为，深入落实区委区政府中心工作，在助力城陵矶新港区（岳阳楼区片区）项目建设、产城融合、社会稳定等方面做了大量工作。</w:t>
      </w:r>
    </w:p>
    <w:p w14:paraId="373C5F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一、2024年工作开展情况</w:t>
      </w:r>
    </w:p>
    <w:p w14:paraId="640426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（一）强化政治理论学习，筑牢思想根基。</w:t>
      </w:r>
    </w:p>
    <w:p w14:paraId="2096FC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1.</w:t>
      </w:r>
      <w:r>
        <w:rPr>
          <w:rFonts w:hint="default" w:ascii="仿宋_GB2312" w:hAnsi="仿宋_GB2312" w:eastAsia="仿宋_GB2312" w:cs="仿宋_GB2312"/>
          <w:b/>
          <w:bCs/>
          <w:sz w:val="32"/>
          <w:szCs w:val="32"/>
          <w:lang w:val="en-US" w:eastAsia="zh-CN"/>
        </w:rPr>
        <w:t>坚定政治立场</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sz w:val="28"/>
          <w:szCs w:val="28"/>
          <w:lang w:val="en-US" w:eastAsia="zh-CN"/>
        </w:rPr>
        <w:t>领导班子坚持把学习贯彻习近平新时代中国特色社会主义思想作为首要政治任务，</w:t>
      </w:r>
      <w:r>
        <w:rPr>
          <w:rFonts w:hint="eastAsia" w:asciiTheme="minorEastAsia" w:hAnsiTheme="minorEastAsia" w:eastAsiaTheme="minorEastAsia" w:cstheme="minorEastAsia"/>
          <w:b w:val="0"/>
          <w:bCs w:val="0"/>
          <w:sz w:val="28"/>
          <w:szCs w:val="28"/>
          <w:lang w:val="en-US" w:eastAsia="zh-CN"/>
        </w:rPr>
        <w:t>深入开展理论学习，</w:t>
      </w:r>
      <w:r>
        <w:rPr>
          <w:rFonts w:hint="eastAsia" w:asciiTheme="minorEastAsia" w:hAnsiTheme="minorEastAsia" w:eastAsiaTheme="minorEastAsia" w:cstheme="minorEastAsia"/>
          <w:sz w:val="28"/>
          <w:szCs w:val="28"/>
          <w:lang w:val="en-US" w:eastAsia="zh-CN"/>
        </w:rPr>
        <w:t>制定详细的年度学习计划，通过集中学习、专题研讨、个人自学等多种方式，确保理论学习常态化、制度化。全年共组织集中学习 12次，专题研讨 4 次，领导班子成员撰写学习心得4余篇。</w:t>
      </w:r>
    </w:p>
    <w:p w14:paraId="63D98B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bCs/>
          <w:sz w:val="32"/>
          <w:szCs w:val="32"/>
          <w:lang w:val="en-US" w:eastAsia="zh-CN"/>
        </w:rPr>
        <w:t>2.</w:t>
      </w:r>
      <w:r>
        <w:rPr>
          <w:rFonts w:hint="default" w:ascii="仿宋_GB2312" w:hAnsi="仿宋_GB2312" w:eastAsia="仿宋_GB2312" w:cs="仿宋_GB2312"/>
          <w:b/>
          <w:bCs/>
          <w:sz w:val="32"/>
          <w:szCs w:val="32"/>
          <w:lang w:val="en-US" w:eastAsia="zh-CN"/>
        </w:rPr>
        <w:t>强化</w:t>
      </w:r>
      <w:r>
        <w:rPr>
          <w:rFonts w:hint="eastAsia" w:ascii="仿宋_GB2312" w:hAnsi="仿宋_GB2312" w:eastAsia="仿宋_GB2312" w:cs="仿宋_GB2312"/>
          <w:b/>
          <w:bCs/>
          <w:sz w:val="32"/>
          <w:szCs w:val="32"/>
          <w:lang w:val="en-US" w:eastAsia="zh-CN"/>
        </w:rPr>
        <w:t>思想</w:t>
      </w:r>
      <w:r>
        <w:rPr>
          <w:rFonts w:hint="default" w:ascii="仿宋_GB2312" w:hAnsi="仿宋_GB2312" w:eastAsia="仿宋_GB2312" w:cs="仿宋_GB2312"/>
          <w:b/>
          <w:bCs/>
          <w:sz w:val="32"/>
          <w:szCs w:val="32"/>
          <w:lang w:val="en-US" w:eastAsia="zh-CN"/>
        </w:rPr>
        <w:t>教育</w:t>
      </w:r>
      <w:r>
        <w:rPr>
          <w:rFonts w:hint="eastAsia" w:ascii="仿宋_GB2312" w:hAnsi="仿宋_GB2312" w:eastAsia="仿宋_GB2312" w:cs="仿宋_GB2312"/>
          <w:b/>
          <w:bCs/>
          <w:sz w:val="32"/>
          <w:szCs w:val="32"/>
          <w:lang w:val="en-US" w:eastAsia="zh-CN"/>
        </w:rPr>
        <w:t>。</w:t>
      </w:r>
      <w:r>
        <w:rPr>
          <w:rFonts w:hint="eastAsia" w:asciiTheme="minorEastAsia" w:hAnsiTheme="minorEastAsia" w:eastAsiaTheme="minorEastAsia" w:cstheme="minorEastAsia"/>
          <w:sz w:val="28"/>
          <w:szCs w:val="28"/>
          <w:lang w:val="en-US" w:eastAsia="zh-CN"/>
        </w:rPr>
        <w:t>注重加强对领导班子成员的政治意识教育，通过开展党性教育活动、观看红色影片、参观革命教育基地等形式，引导班子成员坚定理想信念，增强 “四个意识”、坚定 “四个自信”、做到 “两个维护”。在日常工作中，时刻强调政治纪律和政治规矩，要求领导班子成员在思想上、政治上、行动上同党中央保持高度一致，确保党中央的决策部署在本单位得到坚决贯彻执行。</w:t>
      </w:r>
      <w:r>
        <w:rPr>
          <w:rFonts w:hint="eastAsia" w:asciiTheme="minorEastAsia" w:hAnsiTheme="minorEastAsia" w:eastAsiaTheme="minorEastAsia" w:cstheme="minorEastAsia"/>
          <w:b w:val="0"/>
          <w:bCs w:val="0"/>
          <w:color w:val="000000"/>
          <w:sz w:val="28"/>
          <w:szCs w:val="28"/>
          <w:lang w:val="en-US" w:eastAsia="zh-CN"/>
        </w:rPr>
        <w:t>6月中旬，党组班子组织全体干部到“守护好一江碧水”首倡地陈列馆，开展了党支部主题党日活动，现场体验领会总书记指示精神。</w:t>
      </w:r>
      <w:r>
        <w:rPr>
          <w:rFonts w:hint="eastAsia" w:asciiTheme="minorEastAsia" w:hAnsiTheme="minorEastAsia" w:eastAsiaTheme="minorEastAsia" w:cstheme="minorEastAsia"/>
          <w:sz w:val="28"/>
          <w:szCs w:val="28"/>
          <w:lang w:val="en-US" w:eastAsia="zh-CN"/>
        </w:rPr>
        <w:t>积极参加各类政治理论培训，邀请专家学者进行专题讲座，深入解读党的最新理论成果和方针政策，不断提高领导班子成员的政治理论水平和政治素养。9月下旬，党组班子组织全体干部参加了区委宣讲团关于“二十届三中全会精神”宣讲活动，认真听取了市委讲师团专家的精彩讲课，受益匪浅。</w:t>
      </w:r>
    </w:p>
    <w:p w14:paraId="449FD8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（二）强化组织领导，落实意识形态工作责任制。</w:t>
      </w:r>
    </w:p>
    <w:p w14:paraId="2D6540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1.建立健全工作机制。</w:t>
      </w:r>
      <w:r>
        <w:rPr>
          <w:rFonts w:hint="eastAsia" w:asciiTheme="minorEastAsia" w:hAnsiTheme="minorEastAsia" w:eastAsiaTheme="minorEastAsia" w:cstheme="minorEastAsia"/>
          <w:sz w:val="28"/>
          <w:szCs w:val="28"/>
          <w:lang w:val="en-US" w:eastAsia="zh-CN"/>
        </w:rPr>
        <w:t>领导班子成立了意识形态工作领导小组，由单位主要负责人担任组长，其他班子成员为副组长，各部门负责人为成员，明确了各自的职责分工，形成了 “一把手” 亲自抓、分管领导具体抓、各部门协同抓的工作格局，确保意识形态工作落到实处。</w:t>
      </w:r>
    </w:p>
    <w:p w14:paraId="55F93F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2.定期研究部署工作。</w:t>
      </w:r>
      <w:r>
        <w:rPr>
          <w:rFonts w:hint="eastAsia" w:asciiTheme="minorEastAsia" w:hAnsiTheme="minorEastAsia" w:eastAsiaTheme="minorEastAsia" w:cstheme="minorEastAsia"/>
          <w:sz w:val="28"/>
          <w:szCs w:val="28"/>
          <w:lang w:val="en-US" w:eastAsia="zh-CN"/>
        </w:rPr>
        <w:t>领导班子将意识形态工作纳入重要议事日程，定期召开专题会议，研究分析意识形态领域的形势和问题，及时传达学习中央和上级关于意识形态工作的决策部署和指示精神，制定相应的工作措施。全年共召开意识形态工作专题会议4 次，对重大问题进行了研究部署，确保意识形态工作始终保持正确的方向。</w:t>
      </w:r>
    </w:p>
    <w:p w14:paraId="1571F0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3.加强宣传教育引导。</w:t>
      </w:r>
      <w:r>
        <w:rPr>
          <w:rFonts w:hint="eastAsia" w:asciiTheme="minorEastAsia" w:hAnsiTheme="minorEastAsia" w:eastAsiaTheme="minorEastAsia" w:cstheme="minorEastAsia"/>
          <w:sz w:val="28"/>
          <w:szCs w:val="28"/>
          <w:lang w:val="en-US" w:eastAsia="zh-CN"/>
        </w:rPr>
        <w:t>充分利用单位宣传栏、微信群等宣传阵地，广泛宣传党的路线方针政策、社会主义核心价值观、单位的工作成果和先进典型事迹等，营造了积极向上的舆论氛围。同时，将意识形态教育纳入干部职工教育培训计划，通过开展专题培训、警示教育等形式，提高干部职工对意识形态工作重要性的认识，增强干部职工的政治敏锐性和鉴别力。同时，引导干部职工在日常工作和生活中，自觉抵制各种错误思潮和言论的侵蚀，积极传播正能量。通过开展谈心谈话、主题党日活动等形式，及时了解干部职工的思想动态，有针对性地做好思想引导工作。</w:t>
      </w:r>
    </w:p>
    <w:p w14:paraId="12F2E0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（三）强化组织领导，落实上级决策部署。</w:t>
      </w:r>
    </w:p>
    <w:p w14:paraId="6157EB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1.</w:t>
      </w:r>
      <w:r>
        <w:rPr>
          <w:rFonts w:hint="default" w:ascii="仿宋_GB2312" w:hAnsi="仿宋_GB2312" w:eastAsia="仿宋_GB2312" w:cs="仿宋_GB2312"/>
          <w:b/>
          <w:bCs/>
          <w:sz w:val="32"/>
          <w:szCs w:val="32"/>
          <w:lang w:val="en-US" w:eastAsia="zh-CN"/>
        </w:rPr>
        <w:t>提升政治能力，增强决策水平</w:t>
      </w:r>
      <w:r>
        <w:rPr>
          <w:rFonts w:hint="eastAsia" w:ascii="仿宋_GB2312" w:hAnsi="仿宋_GB2312" w:eastAsia="仿宋_GB2312" w:cs="仿宋_GB2312"/>
          <w:b/>
          <w:bCs/>
          <w:sz w:val="32"/>
          <w:szCs w:val="32"/>
          <w:lang w:val="en-US" w:eastAsia="zh-CN"/>
        </w:rPr>
        <w:t>。</w:t>
      </w:r>
      <w:r>
        <w:rPr>
          <w:rFonts w:hint="eastAsia" w:asciiTheme="minorEastAsia" w:hAnsiTheme="minorEastAsia" w:eastAsiaTheme="minorEastAsia" w:cstheme="minorEastAsia"/>
          <w:b w:val="0"/>
          <w:bCs w:val="0"/>
          <w:sz w:val="28"/>
          <w:szCs w:val="28"/>
          <w:lang w:val="en-US" w:eastAsia="zh-CN"/>
        </w:rPr>
        <w:t>一是加强调查研究，</w:t>
      </w:r>
      <w:r>
        <w:rPr>
          <w:rFonts w:hint="eastAsia" w:asciiTheme="minorEastAsia" w:hAnsiTheme="minorEastAsia" w:eastAsiaTheme="minorEastAsia" w:cstheme="minorEastAsia"/>
          <w:sz w:val="28"/>
          <w:szCs w:val="28"/>
          <w:lang w:val="en-US" w:eastAsia="zh-CN"/>
        </w:rPr>
        <w:t>领导班子成员始终坚持以问题为导向，深入基层、深入一线开展调查研究，了解实际情况，掌握第一手资料，为科学决策提供了有力依据；</w:t>
      </w:r>
      <w:r>
        <w:rPr>
          <w:rFonts w:hint="eastAsia" w:asciiTheme="minorEastAsia" w:hAnsiTheme="minorEastAsia" w:eastAsiaTheme="minorEastAsia" w:cstheme="minorEastAsia"/>
          <w:b w:val="0"/>
          <w:bCs w:val="0"/>
          <w:sz w:val="28"/>
          <w:szCs w:val="28"/>
          <w:lang w:val="en-US" w:eastAsia="zh-CN"/>
        </w:rPr>
        <w:t>二是提高科学决策能力，</w:t>
      </w:r>
      <w:r>
        <w:rPr>
          <w:rFonts w:hint="eastAsia" w:asciiTheme="minorEastAsia" w:hAnsiTheme="minorEastAsia" w:eastAsiaTheme="minorEastAsia" w:cstheme="minorEastAsia"/>
          <w:sz w:val="28"/>
          <w:szCs w:val="28"/>
          <w:lang w:val="en-US" w:eastAsia="zh-CN"/>
        </w:rPr>
        <w:t>注重运用科学的思维方法和工作方法，提高决策的科学性和前瞻性。在制定单位工作规划、制度完善等方面，充分征求专家学者、基层干部和群众的意见，进行充分的论证和评估，确保决策符合单位实际和发展规律；三是建立健全决策风险评估机制，对重大决策可能带来的风险进行全面评估，制定相应的风险防范措施，有效降低决策风险。</w:t>
      </w:r>
    </w:p>
    <w:p w14:paraId="7BD816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w:t>
      </w:r>
      <w:r>
        <w:rPr>
          <w:rFonts w:hint="default" w:ascii="仿宋_GB2312" w:hAnsi="仿宋_GB2312" w:eastAsia="仿宋_GB2312" w:cs="仿宋_GB2312"/>
          <w:b/>
          <w:bCs/>
          <w:sz w:val="32"/>
          <w:szCs w:val="32"/>
          <w:lang w:val="en-US" w:eastAsia="zh-CN"/>
        </w:rPr>
        <w:t>加强团结协作，打造坚强领导集体</w:t>
      </w:r>
      <w:r>
        <w:rPr>
          <w:rFonts w:hint="eastAsia" w:ascii="仿宋_GB2312" w:hAnsi="仿宋_GB2312" w:eastAsia="仿宋_GB2312" w:cs="仿宋_GB2312"/>
          <w:b/>
          <w:bCs/>
          <w:sz w:val="32"/>
          <w:szCs w:val="32"/>
          <w:lang w:val="en-US" w:eastAsia="zh-CN"/>
        </w:rPr>
        <w:t>。</w:t>
      </w:r>
      <w:r>
        <w:rPr>
          <w:rFonts w:hint="eastAsia" w:asciiTheme="minorEastAsia" w:hAnsiTheme="minorEastAsia" w:eastAsiaTheme="minorEastAsia" w:cstheme="minorEastAsia"/>
          <w:b w:val="0"/>
          <w:bCs w:val="0"/>
          <w:sz w:val="28"/>
          <w:szCs w:val="28"/>
          <w:lang w:val="en-US" w:eastAsia="zh-CN"/>
        </w:rPr>
        <w:t>一是坚持团结共事。领导班子成员始终坚持以事业为重，相互支持、相互配合，做到心往一处想、劲往一处使。定期开展领导班子成员之间的谈心谈话活动，及时沟通思想、交流工作，增进了解、化解矛盾，进一步增强了领导班子的团结和凝聚力。二是加强班子建设。注重加强领导班子的自身建设，不断提高班子成员的综合素质和领导能力。通过加强教育培训、实践锻炼等方式，培养班子成员的战略思维、创新能力和实践能力，打造了一支政治过硬、业务精通、作风优良的领导班子。</w:t>
      </w:r>
    </w:p>
    <w:p w14:paraId="4D1C4C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w:t>
      </w:r>
      <w:r>
        <w:rPr>
          <w:rFonts w:hint="default" w:ascii="仿宋_GB2312" w:hAnsi="仿宋_GB2312" w:eastAsia="仿宋_GB2312" w:cs="仿宋_GB2312"/>
          <w:b/>
          <w:bCs/>
          <w:sz w:val="32"/>
          <w:szCs w:val="32"/>
          <w:lang w:val="en-US" w:eastAsia="zh-CN"/>
        </w:rPr>
        <w:t>严格执行党的制度，认真落实民主集中制</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sz w:val="28"/>
          <w:szCs w:val="28"/>
          <w:lang w:val="en-US" w:eastAsia="zh-CN"/>
        </w:rPr>
        <w:t>领导班子严格执行民主集中制原则，建立健全了领导班子议事规则和决策程序。在重大事项决策、重要干部任免、重要项目安排和大额资金使用等方面，坚持集体研究、民主决策，充分发扬民主，广泛听取意见，确保决策的科学性和民主性。</w:t>
      </w:r>
    </w:p>
    <w:p w14:paraId="3C179E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（四）强化工作实绩，推动高质量发展。</w:t>
      </w:r>
    </w:p>
    <w:p w14:paraId="2EBA2A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1.围绕大局，坚决落实区委区政府决策部署</w:t>
      </w:r>
    </w:p>
    <w:p w14:paraId="5AA3DC8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（1）推动了蒙华桥下空间整治。</w:t>
      </w:r>
      <w:r>
        <w:rPr>
          <w:rFonts w:hint="eastAsia" w:asciiTheme="minorEastAsia" w:hAnsiTheme="minorEastAsia" w:eastAsiaTheme="minorEastAsia" w:cstheme="minorEastAsia"/>
          <w:sz w:val="28"/>
          <w:szCs w:val="28"/>
          <w:lang w:val="en-US" w:eastAsia="zh-CN"/>
        </w:rPr>
        <w:t>较长时间以来，蒙华铁路、杭瑞高速楼区段高架桥下乱倒垃圾、乱停乱靠等现象非常严重。根据区委区政府工作安排，今年7月底至8月初，在岳阳楼街道吉家湖社区蒙华铁路桥下区域，工作部党组组织开展整治试点工作。前后历时30余天，共清理转运渣土及建筑垃圾600余立方米，清除杂草及乔灌木2200余立方米，吊运规整防汛设施300余吨，铺设绿化草皮3000余平米，安装高清监控4套，覆盖范围8000余平米，安装大型喷绘警示标语5幅及铁路法规相关宣传广告5处。</w:t>
      </w:r>
    </w:p>
    <w:p w14:paraId="3B5052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（2）参与文明创建等中心工作。</w:t>
      </w:r>
      <w:r>
        <w:rPr>
          <w:rFonts w:hint="eastAsia" w:asciiTheme="minorEastAsia" w:hAnsiTheme="minorEastAsia" w:eastAsiaTheme="minorEastAsia" w:cstheme="minorEastAsia"/>
          <w:sz w:val="28"/>
          <w:szCs w:val="28"/>
          <w:lang w:val="en-US" w:eastAsia="zh-CN"/>
        </w:rPr>
        <w:t>在历次文明城市创建、环保检查等工作中，工作部党组积极对接新港区相关部门，推动收储土地垃圾清理，减少新港区楼区片区街道社区的工作压力。元月和2月，在全区组织的铲冰除雪过程中，工作部按照区委区政府统一安排，分别到金鹗山街道重湖社区、城陵矶街道骆家坡社区、华能社区、南湖大道西侧老体育馆区域贡献力量，较好地完成了工作任务。9月底，按照区里统一安排，组织了“慈善一日捐--灾后重建”募捐活动，机关全体党员干部捐款近4000元，汇入了区里指定账户</w:t>
      </w:r>
      <w:r>
        <w:rPr>
          <w:rFonts w:hint="eastAsia" w:ascii="仿宋_GB2312" w:hAnsi="仿宋_GB2312" w:eastAsia="仿宋_GB2312" w:cs="仿宋_GB2312"/>
          <w:sz w:val="32"/>
          <w:szCs w:val="32"/>
          <w:lang w:val="en-US" w:eastAsia="zh-CN"/>
        </w:rPr>
        <w:t>。</w:t>
      </w:r>
    </w:p>
    <w:p w14:paraId="2FA679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（3）助力社区推动工作。</w:t>
      </w:r>
      <w:r>
        <w:rPr>
          <w:rFonts w:hint="eastAsia" w:asciiTheme="minorEastAsia" w:hAnsiTheme="minorEastAsia" w:eastAsiaTheme="minorEastAsia" w:cstheme="minorEastAsia"/>
          <w:sz w:val="28"/>
          <w:szCs w:val="28"/>
          <w:lang w:val="en-US" w:eastAsia="zh-CN"/>
        </w:rPr>
        <w:t>根据区里发布“区直部门联点支持无物业小区管理”文件要求，工作部联点梅溪街道冷水铺社区卢家组还建小区。从区政府4月份发文至7月份，工作部每周派出力量到该小区开展清扫保洁，并对门面从业人员进行宣传，引导民众搞好卫生管理，取得较好效果</w:t>
      </w:r>
      <w:r>
        <w:rPr>
          <w:rFonts w:hint="eastAsia" w:ascii="仿宋_GB2312" w:hAnsi="仿宋_GB2312" w:eastAsia="仿宋_GB2312" w:cs="仿宋_GB2312"/>
          <w:sz w:val="32"/>
          <w:szCs w:val="32"/>
          <w:lang w:val="en-US" w:eastAsia="zh-CN"/>
        </w:rPr>
        <w:t>。</w:t>
      </w:r>
    </w:p>
    <w:p w14:paraId="57BD16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2.立足本职，推动项目建设和社会事务协调</w:t>
      </w:r>
    </w:p>
    <w:p w14:paraId="37A311A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Theme="minorEastAsia" w:hAnsiTheme="minorEastAsia" w:eastAsiaTheme="minorEastAsia" w:cstheme="minorEastAsia"/>
          <w:sz w:val="28"/>
          <w:szCs w:val="28"/>
          <w:lang w:val="en-US" w:eastAsia="zh-CN"/>
        </w:rPr>
      </w:pPr>
      <w:r>
        <w:rPr>
          <w:rFonts w:hint="eastAsia" w:ascii="仿宋_GB2312" w:hAnsi="仿宋_GB2312" w:eastAsia="仿宋_GB2312" w:cs="仿宋_GB2312"/>
          <w:b/>
          <w:bCs/>
          <w:sz w:val="32"/>
          <w:szCs w:val="32"/>
          <w:lang w:val="en-US" w:eastAsia="zh-CN"/>
        </w:rPr>
        <w:t>（1）坚守安全底线。</w:t>
      </w:r>
      <w:r>
        <w:rPr>
          <w:rFonts w:hint="eastAsia" w:asciiTheme="minorEastAsia" w:hAnsiTheme="minorEastAsia" w:eastAsiaTheme="minorEastAsia" w:cstheme="minorEastAsia"/>
          <w:sz w:val="28"/>
          <w:szCs w:val="28"/>
          <w:lang w:val="en-US" w:eastAsia="zh-CN"/>
        </w:rPr>
        <w:t>针对梅溪街道海吉星农产品市场护坡垮塌安全隐患，工作部向新港区管委会去文《关于加快安全隐患整治的请示》。在工作部持续跟踪协调和催促下，今年4月中旬，启动护坡隐患整治工程，并顺利完工，确保了海吉星市场经营户安全，也确保了“一坡之隔”的滨湖社区居民的安全。</w:t>
      </w:r>
    </w:p>
    <w:p w14:paraId="3F447A0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针对省建四公司区域收储地块附近“丁”字楼口车流大、挡板严重阻碍行车视线的交通安全隐患，今年9月下旬，工作部向新港区安委办去文《关于联港南路与洪源路交叉口交通安全隐患整治的请示》，得到新港区的高度重视。环芭蕉湖生态整治四公司周边旧城改造征收拆迁项目部积极行动，将收储地块上沿大路近60米的挡板后移10多米，并设置醒目的水马，较好地解决了此处的安全隐患问题。</w:t>
      </w:r>
    </w:p>
    <w:p w14:paraId="2654C2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（2）坚守项目建设一线。</w:t>
      </w:r>
      <w:r>
        <w:rPr>
          <w:rFonts w:hint="eastAsia" w:asciiTheme="minorEastAsia" w:hAnsiTheme="minorEastAsia" w:eastAsiaTheme="minorEastAsia" w:cstheme="minorEastAsia"/>
          <w:sz w:val="28"/>
          <w:szCs w:val="28"/>
          <w:lang w:val="en-US" w:eastAsia="zh-CN"/>
        </w:rPr>
        <w:t>根据区里安排，工作部参与了北环线骆家山路（G107互通）国有土地征收项目。在前期现场摸底、国有土地征收红线图绘制、评估公司联络、国土安置职能部门协调等方面，工作部做了大量扎实有效的工作，推动了相关工作有序进行。</w:t>
      </w:r>
    </w:p>
    <w:p w14:paraId="44B6B7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（3）坚守两区重大事务联络一线。</w:t>
      </w:r>
      <w:r>
        <w:rPr>
          <w:rFonts w:hint="eastAsia" w:asciiTheme="minorEastAsia" w:hAnsiTheme="minorEastAsia" w:eastAsiaTheme="minorEastAsia" w:cstheme="minorEastAsia"/>
          <w:sz w:val="28"/>
          <w:szCs w:val="28"/>
          <w:lang w:val="en-US" w:eastAsia="zh-CN"/>
        </w:rPr>
        <w:t>针对失地农民社保金欠缴问题，工作部积极联络楼区人大相关委室、区财政、区人社以及新港区相关部门，澄清底数、推动解决。</w:t>
      </w:r>
    </w:p>
    <w:p w14:paraId="56A8B28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（4）坚守维护稳定前线。</w:t>
      </w:r>
      <w:r>
        <w:rPr>
          <w:rFonts w:hint="eastAsia" w:asciiTheme="minorEastAsia" w:hAnsiTheme="minorEastAsia" w:eastAsiaTheme="minorEastAsia" w:cstheme="minorEastAsia"/>
          <w:sz w:val="28"/>
          <w:szCs w:val="28"/>
          <w:lang w:val="en-US" w:eastAsia="zh-CN"/>
        </w:rPr>
        <w:t>针对刘青炎因拆迁补偿问题重复进京上访、城投二期拆迁居民重复闹访、滨湖社区居民集体讨要渍水损失等问题，工作部积极参与协调，积极维护辖区老百姓的合法利益，助力依法维权、理性维权。</w:t>
      </w:r>
    </w:p>
    <w:p w14:paraId="79BE19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（五）强化从严治党，履行管党治党政治责任。</w:t>
      </w:r>
    </w:p>
    <w:p w14:paraId="17EE10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1.强化组织领导，明确责任分工。</w:t>
      </w:r>
      <w:r>
        <w:rPr>
          <w:rFonts w:hint="eastAsia" w:asciiTheme="minorEastAsia" w:hAnsiTheme="minorEastAsia" w:eastAsiaTheme="minorEastAsia" w:cstheme="minorEastAsia"/>
          <w:sz w:val="28"/>
          <w:szCs w:val="28"/>
          <w:lang w:val="en-US" w:eastAsia="zh-CN"/>
        </w:rPr>
        <w:t>一是落实主体责任，党组班子高度重视党风廉政建设工作，年初即召开专题会议，研究制定党风廉政建设工作计划和责任清单，明确党组书记为党风廉政建设第一责任人，班子成员按照 “一岗双责” 要求，对分管领域的党风廉政建设工作负直接领导责任。二是层层压实责任，与各全体干部职工签订党风廉政建设责任书，将责任细化分解到各科室、各岗位，形成了一级抓一级、层层抓落实的工作格局。党组班子定期听取各科室党风廉政建设工作汇报，对发现的问题及时督促整改，确保党风廉政建设工作落到实处。三是定期召开党风廉政建设会商会，分析研判当前工作形势及重点工作，确保党风廉政建设工作持续推进。</w:t>
      </w:r>
    </w:p>
    <w:p w14:paraId="5F2BC6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2.加强廉政教育，增强廉洁意识。</w:t>
      </w:r>
      <w:r>
        <w:rPr>
          <w:rFonts w:hint="eastAsia" w:asciiTheme="minorEastAsia" w:hAnsiTheme="minorEastAsia" w:eastAsiaTheme="minorEastAsia" w:cstheme="minorEastAsia"/>
          <w:sz w:val="28"/>
          <w:szCs w:val="28"/>
          <w:lang w:val="en-US" w:eastAsia="zh-CN"/>
        </w:rPr>
        <w:t>一是开展专题学习，将党风廉政建设相关内容纳入党组中心组学习和党员干部教育培训计划，全年组织专题学习 4 次，深入学习习近平总书记关于党风廉政建设和反腐败斗争的重要论述，学习党纪国法和廉洁自律各项规定，引导党员干部增强廉洁自律意识，筑牢思想防线。二是开展警示教育，通过组织观看警示教育片、剖析典型案例等方式，开展警示教育活动 2 次，用身边事教育身边人，使党员干部深刻认识到腐败行为的严重危害，增强廉洁从政的自觉性和坚定性。三是加强廉政文化建设，在单位内部营造浓厚的廉政文化氛围，通过设置廉政宣传栏、张贴廉政标语等形式，传播廉政理念，弘扬清风正气，使廉洁意识深入人心。</w:t>
      </w:r>
    </w:p>
    <w:p w14:paraId="381971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3.完善制度建设，规范权力运行。</w:t>
      </w:r>
      <w:r>
        <w:rPr>
          <w:rFonts w:hint="eastAsia" w:asciiTheme="minorEastAsia" w:hAnsiTheme="minorEastAsia" w:eastAsiaTheme="minorEastAsia" w:cstheme="minorEastAsia"/>
          <w:b w:val="0"/>
          <w:bCs w:val="0"/>
          <w:sz w:val="28"/>
          <w:szCs w:val="28"/>
          <w:lang w:val="en-US" w:eastAsia="zh-CN"/>
        </w:rPr>
        <w:t>健</w:t>
      </w:r>
      <w:r>
        <w:rPr>
          <w:rFonts w:hint="eastAsia" w:asciiTheme="minorEastAsia" w:hAnsiTheme="minorEastAsia" w:eastAsiaTheme="minorEastAsia" w:cstheme="minorEastAsia"/>
          <w:sz w:val="28"/>
          <w:szCs w:val="28"/>
          <w:lang w:val="en-US" w:eastAsia="zh-CN"/>
        </w:rPr>
        <w:t>全廉政制度体系，结合单位实际，修订完善了一系列廉政制度，进一步规范了党员干部的从政行为，堵塞了制度漏洞。加强制度执行力度，定期对各项制度的执行情况进行监督检查，对违反制度的行为及时喝止，纠编纠错，确保制度的严肃性和权威性。</w:t>
      </w:r>
    </w:p>
    <w:p w14:paraId="2A869C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cstheme="minorEastAsia"/>
          <w:b w:val="0"/>
          <w:bCs w:val="0"/>
          <w:color w:val="000000"/>
          <w:sz w:val="28"/>
          <w:szCs w:val="28"/>
          <w:lang w:val="en-US" w:eastAsia="zh-CN"/>
        </w:rPr>
        <w:t>二</w:t>
      </w:r>
      <w:r>
        <w:rPr>
          <w:rFonts w:hint="eastAsia" w:asciiTheme="minorEastAsia" w:hAnsiTheme="minorEastAsia" w:eastAsiaTheme="minorEastAsia" w:cstheme="minorEastAsia"/>
          <w:b w:val="0"/>
          <w:bCs w:val="0"/>
          <w:color w:val="000000"/>
          <w:sz w:val="28"/>
          <w:szCs w:val="28"/>
          <w:lang w:val="en-US" w:eastAsia="zh-CN"/>
        </w:rPr>
        <w:t>、2025年工作安排</w:t>
      </w:r>
    </w:p>
    <w:p w14:paraId="58562A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新的一年，新港区岳阳楼区工作部将以党的二十届三中全会和习近平总书记重要讲话精神为指引，坚决贯彻落实区委区政府决策部署，忠诚履职，奋进求为，为打造省域副中心城市建设核心引领区和首善之区做出新的更大的贡献。</w:t>
      </w:r>
    </w:p>
    <w:p w14:paraId="3938AB8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sz w:val="28"/>
          <w:szCs w:val="28"/>
          <w:lang w:val="en-US" w:eastAsia="zh-CN"/>
        </w:rPr>
      </w:pPr>
      <w:r>
        <w:rPr>
          <w:rFonts w:hint="eastAsia" w:asciiTheme="minorEastAsia" w:hAnsiTheme="minorEastAsia" w:eastAsiaTheme="minorEastAsia" w:cstheme="minorEastAsia"/>
          <w:b/>
          <w:bCs/>
          <w:color w:val="000000"/>
          <w:sz w:val="28"/>
          <w:szCs w:val="28"/>
          <w:lang w:val="en-US" w:eastAsia="zh-CN"/>
        </w:rPr>
        <w:t>（一）围绕中心大局，推动工作落实</w:t>
      </w:r>
    </w:p>
    <w:p w14:paraId="3256F6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1.继续推进蒙华杭瑞桥下空间整治项目。</w:t>
      </w:r>
    </w:p>
    <w:p w14:paraId="4DD217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2.积极参加全区文明创建、平安创建等工作，积极参与两区重大活动的安保维稳工作。</w:t>
      </w:r>
    </w:p>
    <w:p w14:paraId="05A4D4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3.完成区委、区政府交办的其他工作。</w:t>
      </w:r>
    </w:p>
    <w:p w14:paraId="79ECFC5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sz w:val="28"/>
          <w:szCs w:val="28"/>
          <w:lang w:val="en-US" w:eastAsia="zh-CN"/>
        </w:rPr>
      </w:pPr>
      <w:r>
        <w:rPr>
          <w:rFonts w:hint="eastAsia" w:asciiTheme="minorEastAsia" w:hAnsiTheme="minorEastAsia" w:eastAsiaTheme="minorEastAsia" w:cstheme="minorEastAsia"/>
          <w:b/>
          <w:bCs/>
          <w:color w:val="000000"/>
          <w:sz w:val="28"/>
          <w:szCs w:val="28"/>
          <w:lang w:val="en-US" w:eastAsia="zh-CN"/>
        </w:rPr>
        <w:t>（二）抗牢主职主责，积极服务辖区发展</w:t>
      </w:r>
    </w:p>
    <w:p w14:paraId="16397E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1.强化收储土地的管护、禁建拆违等工作。</w:t>
      </w:r>
    </w:p>
    <w:p w14:paraId="262A129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b w:val="0"/>
          <w:bCs w:val="0"/>
          <w:color w:val="000000"/>
          <w:sz w:val="32"/>
          <w:szCs w:val="32"/>
          <w:lang w:val="en-US" w:eastAsia="zh-CN"/>
        </w:rPr>
      </w:pPr>
      <w:r>
        <w:rPr>
          <w:rFonts w:hint="eastAsia" w:asciiTheme="minorEastAsia" w:hAnsiTheme="minorEastAsia" w:eastAsiaTheme="minorEastAsia" w:cstheme="minorEastAsia"/>
          <w:b w:val="0"/>
          <w:bCs w:val="0"/>
          <w:color w:val="000000"/>
          <w:sz w:val="28"/>
          <w:szCs w:val="28"/>
          <w:lang w:val="en-US" w:eastAsia="zh-CN"/>
        </w:rPr>
        <w:t>2.强化辖区内的安全生产及环保治理工作，优化发展环</w:t>
      </w:r>
      <w:r>
        <w:rPr>
          <w:rFonts w:hint="eastAsia" w:ascii="仿宋_GB2312" w:hAnsi="仿宋_GB2312" w:eastAsia="仿宋_GB2312" w:cs="仿宋_GB2312"/>
          <w:b w:val="0"/>
          <w:bCs w:val="0"/>
          <w:color w:val="000000"/>
          <w:sz w:val="32"/>
          <w:szCs w:val="32"/>
          <w:lang w:val="en-US" w:eastAsia="zh-CN"/>
        </w:rPr>
        <w:t>境。</w:t>
      </w:r>
    </w:p>
    <w:p w14:paraId="0EEFDC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3.积极对接两区，推进滨湖嘉园安置房分配工作，协调拖欠社保金问题。</w:t>
      </w:r>
    </w:p>
    <w:p w14:paraId="5F14D60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sz w:val="28"/>
          <w:szCs w:val="28"/>
          <w:lang w:val="en-US" w:eastAsia="zh-CN"/>
        </w:rPr>
      </w:pPr>
      <w:r>
        <w:rPr>
          <w:rFonts w:hint="eastAsia" w:asciiTheme="minorEastAsia" w:hAnsiTheme="minorEastAsia" w:eastAsiaTheme="minorEastAsia" w:cstheme="minorEastAsia"/>
          <w:b/>
          <w:bCs/>
          <w:color w:val="000000"/>
          <w:sz w:val="28"/>
          <w:szCs w:val="28"/>
          <w:lang w:val="en-US" w:eastAsia="zh-CN"/>
        </w:rPr>
        <w:t>（三）坚守工作底线，不断推进自身建设</w:t>
      </w:r>
    </w:p>
    <w:p w14:paraId="05A418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1.抓好中央、省、市、区重要会议精神的学习宣传贯彻，确保政令畅通。</w:t>
      </w:r>
    </w:p>
    <w:p w14:paraId="34ADB6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2.扎实开展正风肃纪行动。根据区纪委要求，落实各项规定动作，深入开展政治铸魂、清廉强基、正风肃纪等行动，加强制度建设，加强对班子队伍的监督和管理。</w:t>
      </w:r>
    </w:p>
    <w:p w14:paraId="549AE4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color w:val="000000"/>
          <w:sz w:val="28"/>
          <w:szCs w:val="28"/>
          <w:lang w:val="en-US" w:eastAsia="zh-CN"/>
        </w:rPr>
        <w:t>3.强化干部队伍建设。持续开展业务能手培育活动，加强专业人才队伍建设。</w:t>
      </w:r>
    </w:p>
    <w:p w14:paraId="3EF3C498">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七、存在的问题及原因分析。</w:t>
      </w:r>
    </w:p>
    <w:p w14:paraId="316824E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预算绩效管理理念不强，参与度不高。自全面实施预算绩效管理以来，财政预算中的效率和效益还未受到足够重视，对财政资金的使用绩效疏于管理的情况仍然存在,部分单位还未从被动的“要我评价”转到主动的“我要评价”上来，阻碍了预算绩效管理在单位内部的参与度。</w:t>
      </w:r>
    </w:p>
    <w:p w14:paraId="60D0E4FE">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八、下一步改进措施</w:t>
      </w:r>
    </w:p>
    <w:p w14:paraId="51F9431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1.加大宣传力度，强化部门预算绩效管理意识。采取集中学习、培训等方式，提高预算绩效管理的重要性认识，加强业务知识学习，让预算绩效管理渗透到各项资金中，发挥资金使用效益。</w:t>
      </w:r>
    </w:p>
    <w:p w14:paraId="42401AF8">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2.在项目实施过程中,需不断改进和细化绩效目标内容及指标体系，根据工作重心作出相应调整，切实推动绩效目标任务的顺利完成。</w:t>
      </w:r>
    </w:p>
    <w:p w14:paraId="42FD3B5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初步树立了绩效理念，通过开展绩效评价，我部门全体工作人员开始转变观念，开始重视支出绩效问题，由重资金争取，重过程管理，向重支出责任，重产出和结果转变。以提高资金使用绩效为目标、以结果为导向的管理理念正逐步形成。</w:t>
      </w:r>
    </w:p>
    <w:p w14:paraId="27369896">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强化责任意识，通过设定明确可衡量的绩效目标，各部门更清楚地了解财政资金支出所要取得的社会和经济效益，其职能和目标得到进一步明确;通过绩效评价，考核各科室绩效目标实际完成情况和取得的成效,并与下年度预算安排挂钩，用财要问效，无效要问责，在一定程度上强化了单位整体和部门的财经纪律约束意识和责任意识。</w:t>
      </w:r>
    </w:p>
    <w:p w14:paraId="1EE72DD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提高财政资金的使用效益，各部门的工作规划和年度工作计划有机结合起来，并进行运行监控，有利于整合财政资金，优化支出结构，减少支出的随意性和盲目性，最大限度地将有限资源配置到效益最佳的部门并发挥最大效益。</w:t>
      </w:r>
    </w:p>
    <w:p w14:paraId="44953050">
      <w:pPr>
        <w:numPr>
          <w:ilvl w:val="0"/>
          <w:numId w:val="2"/>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部门整体支出绩效自评结果拟应用和公开情况</w:t>
      </w:r>
    </w:p>
    <w:p w14:paraId="5F37EE4E">
      <w:pPr>
        <w:numPr>
          <w:ilvl w:val="0"/>
          <w:numId w:val="0"/>
        </w:numP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本部门整体支出绩效自评结果98分。</w:t>
      </w:r>
    </w:p>
    <w:p w14:paraId="3536B963">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十、</w:t>
      </w:r>
      <w:r>
        <w:rPr>
          <w:rFonts w:hint="eastAsia" w:asciiTheme="minorEastAsia" w:hAnsiTheme="minorEastAsia" w:eastAsiaTheme="minorEastAsia" w:cstheme="minorEastAsia"/>
          <w:sz w:val="28"/>
          <w:szCs w:val="28"/>
        </w:rPr>
        <w:t>其他需要说明的情况</w:t>
      </w:r>
    </w:p>
    <w:p w14:paraId="6C8451CF">
      <w:pPr>
        <w:ind w:firstLine="1120" w:firstLineChars="4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14:paraId="77EF35D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报告需要以下附件:</w:t>
      </w:r>
    </w:p>
    <w:p w14:paraId="2BF68C6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单位</w:t>
      </w:r>
      <w:r>
        <w:rPr>
          <w:rFonts w:hint="eastAsia" w:asciiTheme="minorEastAsia" w:hAnsiTheme="minorEastAsia" w:eastAsiaTheme="minorEastAsia" w:cstheme="minorEastAsia"/>
          <w:sz w:val="28"/>
          <w:szCs w:val="28"/>
        </w:rPr>
        <w:t>整体支出绩效评价基础数据表</w:t>
      </w:r>
    </w:p>
    <w:p w14:paraId="34063AC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val="en-US" w:eastAsia="zh-CN"/>
        </w:rPr>
        <w:t>单位</w:t>
      </w:r>
      <w:r>
        <w:rPr>
          <w:rFonts w:hint="eastAsia" w:asciiTheme="minorEastAsia" w:hAnsiTheme="minorEastAsia" w:eastAsiaTheme="minorEastAsia" w:cstheme="minorEastAsia"/>
          <w:sz w:val="28"/>
          <w:szCs w:val="28"/>
        </w:rPr>
        <w:t>整体支出绩效自评表</w:t>
      </w:r>
    </w:p>
    <w:p w14:paraId="52C607B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3、项目支出绩效自评表</w:t>
      </w:r>
    </w:p>
    <w:p w14:paraId="4CDFEB0C">
      <w:pPr>
        <w:ind w:firstLine="560" w:firstLineChars="200"/>
        <w:rPr>
          <w:rFonts w:hint="eastAsia" w:asciiTheme="minorEastAsia" w:hAnsiTheme="minorEastAsia" w:eastAsiaTheme="minorEastAsia" w:cstheme="minor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E7C03"/>
    <w:multiLevelType w:val="singleLevel"/>
    <w:tmpl w:val="8D5E7C03"/>
    <w:lvl w:ilvl="0" w:tentative="0">
      <w:start w:val="5"/>
      <w:numFmt w:val="chineseCounting"/>
      <w:suff w:val="nothing"/>
      <w:lvlText w:val="%1、"/>
      <w:lvlJc w:val="left"/>
      <w:rPr>
        <w:rFonts w:hint="eastAsia"/>
      </w:rPr>
    </w:lvl>
  </w:abstractNum>
  <w:abstractNum w:abstractNumId="1">
    <w:nsid w:val="B06DAB0C"/>
    <w:multiLevelType w:val="singleLevel"/>
    <w:tmpl w:val="B06DAB0C"/>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64F8"/>
    <w:rsid w:val="046F7243"/>
    <w:rsid w:val="053B16E5"/>
    <w:rsid w:val="05C43A86"/>
    <w:rsid w:val="06557AF2"/>
    <w:rsid w:val="08140FAB"/>
    <w:rsid w:val="098E4FFD"/>
    <w:rsid w:val="0B093D05"/>
    <w:rsid w:val="107C6D27"/>
    <w:rsid w:val="15AF385B"/>
    <w:rsid w:val="171D2F53"/>
    <w:rsid w:val="18E73923"/>
    <w:rsid w:val="1A0977F3"/>
    <w:rsid w:val="1A667C6F"/>
    <w:rsid w:val="1C384E5A"/>
    <w:rsid w:val="1D5C2893"/>
    <w:rsid w:val="1EBA2D0E"/>
    <w:rsid w:val="1FD20711"/>
    <w:rsid w:val="200831DC"/>
    <w:rsid w:val="21687C5B"/>
    <w:rsid w:val="272B4A9D"/>
    <w:rsid w:val="27B674D4"/>
    <w:rsid w:val="28DD039D"/>
    <w:rsid w:val="2B5D0645"/>
    <w:rsid w:val="2D3277B7"/>
    <w:rsid w:val="2F120B2A"/>
    <w:rsid w:val="31AB6818"/>
    <w:rsid w:val="32D16B65"/>
    <w:rsid w:val="34734463"/>
    <w:rsid w:val="356A1FBE"/>
    <w:rsid w:val="364542FC"/>
    <w:rsid w:val="378F51B7"/>
    <w:rsid w:val="379C3AC9"/>
    <w:rsid w:val="37F21E60"/>
    <w:rsid w:val="380025CA"/>
    <w:rsid w:val="38AE6A94"/>
    <w:rsid w:val="3B111A40"/>
    <w:rsid w:val="3BA277FD"/>
    <w:rsid w:val="3C4557D5"/>
    <w:rsid w:val="3E5A03ED"/>
    <w:rsid w:val="423B584A"/>
    <w:rsid w:val="42827DA3"/>
    <w:rsid w:val="452B429C"/>
    <w:rsid w:val="46192E9F"/>
    <w:rsid w:val="477F2E51"/>
    <w:rsid w:val="47BD0CC0"/>
    <w:rsid w:val="47CC0472"/>
    <w:rsid w:val="484E277B"/>
    <w:rsid w:val="489A66EC"/>
    <w:rsid w:val="4C166CB4"/>
    <w:rsid w:val="4D5B7978"/>
    <w:rsid w:val="4E320449"/>
    <w:rsid w:val="5201085F"/>
    <w:rsid w:val="5508638F"/>
    <w:rsid w:val="58B8154B"/>
    <w:rsid w:val="58ED38EB"/>
    <w:rsid w:val="5B3668EA"/>
    <w:rsid w:val="5B9958D3"/>
    <w:rsid w:val="5BFD55F8"/>
    <w:rsid w:val="5CEC747F"/>
    <w:rsid w:val="5D1650FD"/>
    <w:rsid w:val="5FA62A45"/>
    <w:rsid w:val="614F54B5"/>
    <w:rsid w:val="66DC256B"/>
    <w:rsid w:val="6B985938"/>
    <w:rsid w:val="71160DA7"/>
    <w:rsid w:val="7746449A"/>
    <w:rsid w:val="78111AD0"/>
    <w:rsid w:val="797E7F78"/>
    <w:rsid w:val="7AD275B4"/>
    <w:rsid w:val="7C784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5772</Words>
  <Characters>5884</Characters>
  <Lines>0</Lines>
  <Paragraphs>0</Paragraphs>
  <TotalTime>28</TotalTime>
  <ScaleCrop>false</ScaleCrop>
  <LinksUpToDate>false</LinksUpToDate>
  <CharactersWithSpaces>5909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2024-05-24T03:47:00Z</dcterms:created>
  <dc:creator>lenovo</dc:creator>
  <cp:lastModifiedBy>Y</cp:lastModifiedBy>
  <dcterms:modified xsi:type="dcterms:W3CDTF">2025-09-29T02:04:14Z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2961EFDC85BA49318495B938186A66DE</vt:lpwstr>
  </property>
  <property fmtid="{D5CDD505-2E9C-101B-9397-08002B2CF9AE}" pid="4" name="KSOTemplateDocerSaveRecord">
    <vt:lpwstr>eyJoZGlkIjoiYTI1ZWRhODIzZjNkMzE5ODI3Y2UwZTM2NjQ3YjE4YjIiLCJ1c2VySWQiOiI1Mzg0MzA5MzAifQ==</vt:lpwstr>
  </property>
</Properties>
</file>