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325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附件5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167" w:hanging="1840"/>
        <w:spacing w:before="143" w:line="286" w:lineRule="auto"/>
        <w:rPr>
          <w:rFonts w:ascii="SimHei" w:hAnsi="SimHei" w:eastAsia="SimHei" w:cs="SimHei"/>
          <w:sz w:val="44"/>
          <w:szCs w:val="44"/>
        </w:rPr>
      </w:pPr>
      <w:r>
        <w:rPr>
          <w:rFonts w:ascii="SimHei" w:hAnsi="SimHei" w:eastAsia="SimHei" w:cs="SimHei"/>
          <w:sz w:val="44"/>
          <w:szCs w:val="44"/>
          <w:b/>
          <w:bCs/>
        </w:rPr>
        <w:t>2024年度岳阳楼区文化旅游体育产业服务中</w:t>
      </w:r>
      <w:r>
        <w:rPr>
          <w:rFonts w:ascii="SimHei" w:hAnsi="SimHei" w:eastAsia="SimHei" w:cs="SimHei"/>
          <w:sz w:val="44"/>
          <w:szCs w:val="44"/>
          <w:spacing w:val="12"/>
        </w:rPr>
        <w:t xml:space="preserve"> </w:t>
      </w:r>
      <w:r>
        <w:rPr>
          <w:rFonts w:ascii="SimHei" w:hAnsi="SimHei" w:eastAsia="SimHei" w:cs="SimHei"/>
          <w:sz w:val="44"/>
          <w:szCs w:val="44"/>
          <w:b/>
          <w:bCs/>
          <w:spacing w:val="-4"/>
        </w:rPr>
        <w:t>心整体支出绩效自评报告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right="16"/>
        <w:spacing w:before="100" w:line="223" w:lineRule="auto"/>
        <w:jc w:val="right"/>
        <w:rPr>
          <w:rFonts w:ascii="KaiTi" w:hAnsi="KaiTi" w:eastAsia="KaiTi" w:cs="KaiTi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1924977</wp:posOffset>
            </wp:positionH>
            <wp:positionV relativeFrom="paragraph">
              <wp:posOffset>-879117</wp:posOffset>
            </wp:positionV>
            <wp:extent cx="1536709" cy="152399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709" cy="152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1"/>
          <w:szCs w:val="31"/>
          <w:spacing w:val="41"/>
        </w:rPr>
        <w:t>部门(单位)名称：岳阳楼区文化旅游体育</w:t>
      </w:r>
      <w:r>
        <w:rPr>
          <w:rFonts w:ascii="KaiTi" w:hAnsi="KaiTi" w:eastAsia="KaiTi" w:cs="KaiTi"/>
          <w:sz w:val="31"/>
          <w:szCs w:val="31"/>
          <w:spacing w:val="40"/>
        </w:rPr>
        <w:t>产业服务中心</w:t>
      </w:r>
    </w:p>
    <w:p>
      <w:pPr>
        <w:ind w:left="3065"/>
        <w:spacing w:before="255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4"/>
        </w:rPr>
        <w:t>2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0</w:t>
      </w:r>
      <w:r>
        <w:rPr>
          <w:rFonts w:ascii="KaiTi" w:hAnsi="KaiTi" w:eastAsia="KaiTi" w:cs="KaiTi"/>
          <w:sz w:val="31"/>
          <w:szCs w:val="31"/>
          <w:spacing w:val="-4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2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5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年</w:t>
      </w:r>
      <w:r>
        <w:rPr>
          <w:rFonts w:ascii="KaiTi" w:hAnsi="KaiTi" w:eastAsia="KaiTi" w:cs="KaiTi"/>
          <w:sz w:val="31"/>
          <w:szCs w:val="31"/>
          <w:spacing w:val="-4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6</w:t>
      </w:r>
      <w:r>
        <w:rPr>
          <w:rFonts w:ascii="KaiTi" w:hAnsi="KaiTi" w:eastAsia="KaiTi" w:cs="KaiTi"/>
          <w:sz w:val="31"/>
          <w:szCs w:val="31"/>
          <w:spacing w:val="-2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月</w:t>
      </w:r>
      <w:r>
        <w:rPr>
          <w:rFonts w:ascii="KaiTi" w:hAnsi="KaiTi" w:eastAsia="KaiTi" w:cs="KaiTi"/>
          <w:sz w:val="31"/>
          <w:szCs w:val="31"/>
          <w:spacing w:val="-4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2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8</w:t>
      </w:r>
      <w:r>
        <w:rPr>
          <w:rFonts w:ascii="KaiTi" w:hAnsi="KaiTi" w:eastAsia="KaiTi" w:cs="KaiTi"/>
          <w:sz w:val="31"/>
          <w:szCs w:val="31"/>
          <w:spacing w:val="8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4"/>
        </w:rPr>
        <w:t>日</w:t>
      </w:r>
    </w:p>
    <w:p>
      <w:pPr>
        <w:spacing w:line="225" w:lineRule="auto"/>
        <w:sectPr>
          <w:footerReference w:type="default" r:id="rId1"/>
          <w:pgSz w:w="12390" w:h="17160"/>
          <w:pgMar w:top="1458" w:right="1732" w:bottom="1446" w:left="1858" w:header="0" w:footer="1041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396" w:lineRule="auto"/>
        <w:rPr/>
      </w:pPr>
      <w:r/>
    </w:p>
    <w:p>
      <w:pPr>
        <w:ind w:left="1010" w:right="264" w:hanging="449"/>
        <w:spacing w:before="140" w:line="297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6"/>
        </w:rPr>
        <w:t>2024年度岳阳楼区岳阳楼区文化旅游体育</w:t>
      </w:r>
      <w:r>
        <w:rPr>
          <w:rFonts w:ascii="SimHei" w:hAnsi="SimHei" w:eastAsia="SimHei" w:cs="SimHei"/>
          <w:sz w:val="43"/>
          <w:szCs w:val="43"/>
          <w:spacing w:val="18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产业服务中心整体支出绩效自评报告</w:t>
      </w:r>
    </w:p>
    <w:p>
      <w:pPr>
        <w:pStyle w:val="BodyText"/>
        <w:spacing w:line="246" w:lineRule="auto"/>
        <w:rPr/>
      </w:pPr>
      <w:r/>
    </w:p>
    <w:p>
      <w:pPr>
        <w:ind w:left="875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一、单位基本情况</w:t>
      </w:r>
    </w:p>
    <w:p>
      <w:pPr>
        <w:ind w:left="1004"/>
        <w:spacing w:before="21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(一)职能职责</w:t>
      </w:r>
    </w:p>
    <w:p>
      <w:pPr>
        <w:ind w:left="875"/>
        <w:spacing w:before="18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5"/>
        </w:rPr>
        <w:t>1.</w:t>
      </w:r>
      <w:r>
        <w:rPr>
          <w:rFonts w:ascii="FangSong" w:hAnsi="FangSong" w:eastAsia="FangSong" w:cs="FangSong"/>
          <w:sz w:val="30"/>
          <w:szCs w:val="30"/>
          <w:spacing w:val="-5"/>
        </w:rPr>
        <w:t>制订全区体育人才培养计划和人才选拔，参加体育竞赛；</w:t>
      </w:r>
    </w:p>
    <w:p>
      <w:pPr>
        <w:ind w:left="875"/>
        <w:spacing w:before="26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</w:rPr>
        <w:t>2.</w:t>
      </w:r>
      <w:r>
        <w:rPr>
          <w:rFonts w:ascii="FangSong" w:hAnsi="FangSong" w:eastAsia="FangSong" w:cs="FangSong"/>
          <w:sz w:val="30"/>
          <w:szCs w:val="30"/>
          <w:spacing w:val="-3"/>
        </w:rPr>
        <w:t>负责全区文化体育产业的管理统计。</w:t>
      </w:r>
    </w:p>
    <w:p>
      <w:pPr>
        <w:pStyle w:val="BodyText"/>
        <w:spacing w:line="250" w:lineRule="auto"/>
        <w:rPr/>
      </w:pPr>
      <w:r/>
    </w:p>
    <w:p>
      <w:pPr>
        <w:ind w:left="1004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(二)机构设置</w:t>
      </w:r>
    </w:p>
    <w:p>
      <w:pPr>
        <w:pStyle w:val="BodyText"/>
        <w:spacing w:line="306" w:lineRule="auto"/>
        <w:rPr/>
      </w:pPr>
      <w:r/>
    </w:p>
    <w:p>
      <w:pPr>
        <w:ind w:left="1004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内设机构设置。根据编办核定正股级公益一类事</w:t>
      </w:r>
      <w:r>
        <w:rPr>
          <w:rFonts w:ascii="FangSong" w:hAnsi="FangSong" w:eastAsia="FangSong" w:cs="FangSong"/>
          <w:sz w:val="30"/>
          <w:szCs w:val="30"/>
          <w:spacing w:val="-3"/>
        </w:rPr>
        <w:t>业单位，</w:t>
      </w:r>
    </w:p>
    <w:p>
      <w:pPr>
        <w:ind w:left="555"/>
        <w:spacing w:before="242" w:line="3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本单位内设机构包括：办公室、综合协调室。核定全额拨款事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业编制14名，其中正股级领导职数1名，副股级领</w:t>
      </w:r>
      <w:r>
        <w:rPr>
          <w:rFonts w:ascii="FangSong" w:hAnsi="FangSong" w:eastAsia="FangSong" w:cs="FangSong"/>
          <w:sz w:val="30"/>
          <w:szCs w:val="30"/>
          <w:spacing w:val="4"/>
        </w:rPr>
        <w:t>导职数1名。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现有人数17人，其中：在职编制13人；离退休4人。</w:t>
      </w:r>
    </w:p>
    <w:p>
      <w:pPr>
        <w:ind w:left="1009"/>
        <w:spacing w:before="1" w:line="221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二、一般公共预算支出情况</w:t>
      </w:r>
    </w:p>
    <w:p>
      <w:pPr>
        <w:pStyle w:val="BodyText"/>
        <w:spacing w:line="254" w:lineRule="auto"/>
        <w:rPr/>
      </w:pPr>
      <w:r/>
    </w:p>
    <w:p>
      <w:pPr>
        <w:ind w:left="555" w:right="389" w:firstLine="449"/>
        <w:spacing w:before="98" w:line="3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2024年我单位一般公共预算支出217.14万元，</w:t>
      </w:r>
      <w:r>
        <w:rPr>
          <w:rFonts w:ascii="FangSong" w:hAnsi="FangSong" w:eastAsia="FangSong" w:cs="FangSong"/>
          <w:sz w:val="30"/>
          <w:szCs w:val="30"/>
          <w:spacing w:val="6"/>
        </w:rPr>
        <w:t>其中：基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本支出208.78万元，项目支出8.36万元。</w:t>
      </w:r>
    </w:p>
    <w:p>
      <w:pPr>
        <w:ind w:left="1365"/>
        <w:spacing w:before="95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(一)基本支出情况</w:t>
      </w:r>
    </w:p>
    <w:p>
      <w:pPr>
        <w:ind w:left="555" w:right="237" w:firstLine="449"/>
        <w:spacing w:before="336" w:line="38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2024年基本支出208.78万元，其</w:t>
      </w:r>
      <w:r>
        <w:rPr>
          <w:rFonts w:ascii="FangSong" w:hAnsi="FangSong" w:eastAsia="FangSong" w:cs="FangSong"/>
          <w:sz w:val="30"/>
          <w:szCs w:val="30"/>
          <w:spacing w:val="1"/>
        </w:rPr>
        <w:t>中人员经费185.66万元，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主要包括基本工资、绩效补贴、奖金、伙食补助费、机关事业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单位基本养老保险缴费、职工基本医疗保险缴费、公务员医疗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补助缴费、其他社会保障缴费、住房公积金、其他工资福利支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出、其他对个人和家庭的补助；公用经费23.12</w:t>
      </w:r>
      <w:r>
        <w:rPr>
          <w:rFonts w:ascii="FangSong" w:hAnsi="FangSong" w:eastAsia="FangSong" w:cs="FangSong"/>
          <w:sz w:val="30"/>
          <w:szCs w:val="30"/>
          <w:spacing w:val="1"/>
        </w:rPr>
        <w:t>万元，主要包</w:t>
      </w:r>
    </w:p>
    <w:p>
      <w:pPr>
        <w:spacing w:line="382" w:lineRule="auto"/>
        <w:sectPr>
          <w:footerReference w:type="default" r:id="rId3"/>
          <w:pgSz w:w="11900" w:h="16820"/>
          <w:pgMar w:top="1429" w:right="1319" w:bottom="1267" w:left="1785" w:header="0" w:footer="87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35" w:lineRule="auto"/>
        <w:rPr/>
      </w:pPr>
      <w:r/>
    </w:p>
    <w:p>
      <w:pPr>
        <w:ind w:left="714"/>
        <w:spacing w:before="94" w:line="399" w:lineRule="auto"/>
        <w:jc w:val="both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括办公费、印刷费、水费、电费、邮电费、劳务费、维修(护)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费、租赁费、工会经费、其他交通费用、其他商品和服务支出。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本年度工资福利支出严格按照要求进行工资统发或规定的标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准发放，不存在多发福利现象，三公经费总支出控制较好超未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预</w:t>
      </w:r>
      <w:r>
        <w:rPr>
          <w:rFonts w:ascii="FangSong" w:hAnsi="FangSong" w:eastAsia="FangSong" w:cs="FangSong"/>
          <w:sz w:val="23"/>
          <w:szCs w:val="23"/>
          <w:spacing w:val="-1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算</w:t>
      </w:r>
      <w:r>
        <w:rPr>
          <w:rFonts w:ascii="FangSong" w:hAnsi="FangSong" w:eastAsia="FangSong" w:cs="FangSong"/>
          <w:sz w:val="23"/>
          <w:szCs w:val="23"/>
          <w:spacing w:val="-3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。</w:t>
      </w:r>
    </w:p>
    <w:p>
      <w:pPr>
        <w:ind w:left="1465"/>
        <w:spacing w:before="16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(二)项目支出情况</w:t>
      </w:r>
    </w:p>
    <w:p>
      <w:pPr>
        <w:pStyle w:val="BodyText"/>
        <w:spacing w:line="243" w:lineRule="auto"/>
        <w:rPr/>
      </w:pPr>
      <w:r/>
    </w:p>
    <w:p>
      <w:pPr>
        <w:ind w:left="684" w:right="63" w:firstLine="560"/>
        <w:spacing w:before="95" w:line="39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3"/>
        </w:rPr>
        <w:t>本单位严格规范专项资金管理，保障资金安全、高</w:t>
      </w:r>
      <w:r>
        <w:rPr>
          <w:rFonts w:ascii="FangSong" w:hAnsi="FangSong" w:eastAsia="FangSong" w:cs="FangSong"/>
          <w:sz w:val="29"/>
          <w:szCs w:val="29"/>
          <w:spacing w:val="-4"/>
        </w:rPr>
        <w:t>效运行，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发挥资金使用效益，对专项资金要定期或不定期进行督查，确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保项目资金专款专用。主要是业务工作经费支出8.36万元。</w:t>
      </w:r>
    </w:p>
    <w:p>
      <w:pPr>
        <w:ind w:left="1249"/>
        <w:spacing w:before="117" w:line="220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4"/>
        </w:rPr>
        <w:t>三、政府性基金预算支出情况</w:t>
      </w:r>
    </w:p>
    <w:p>
      <w:pPr>
        <w:pStyle w:val="BodyText"/>
        <w:spacing w:line="271" w:lineRule="auto"/>
        <w:rPr/>
      </w:pPr>
      <w:r/>
    </w:p>
    <w:p>
      <w:pPr>
        <w:ind w:left="235" w:right="252" w:firstLine="479"/>
        <w:spacing w:before="94" w:line="43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2024年度政府性基金预算支出25.00万元，主要是体彩公益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金用于体育训练项目。</w:t>
      </w:r>
    </w:p>
    <w:p>
      <w:pPr>
        <w:ind w:left="1249"/>
        <w:spacing w:before="47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3"/>
        </w:rPr>
        <w:t>四、国有资本经营预算支出情况</w:t>
      </w:r>
    </w:p>
    <w:p>
      <w:pPr>
        <w:pStyle w:val="BodyText"/>
        <w:spacing w:line="279" w:lineRule="auto"/>
        <w:rPr/>
      </w:pPr>
      <w:r/>
    </w:p>
    <w:p>
      <w:pPr>
        <w:ind w:left="1244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无国有资本经营预算支出情况</w:t>
      </w:r>
    </w:p>
    <w:p>
      <w:pPr>
        <w:pStyle w:val="BodyText"/>
        <w:spacing w:line="270" w:lineRule="auto"/>
        <w:rPr/>
      </w:pPr>
      <w:r/>
    </w:p>
    <w:p>
      <w:pPr>
        <w:ind w:left="1249"/>
        <w:spacing w:before="95" w:line="221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5"/>
        </w:rPr>
        <w:t>五、社会保险基金预算支出情况</w:t>
      </w:r>
    </w:p>
    <w:p>
      <w:pPr>
        <w:pStyle w:val="BodyText"/>
        <w:spacing w:line="281" w:lineRule="auto"/>
        <w:rPr/>
      </w:pPr>
      <w:r/>
    </w:p>
    <w:p>
      <w:pPr>
        <w:ind w:left="1244"/>
        <w:spacing w:before="94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无社会保险基金预算支出情况</w:t>
      </w:r>
    </w:p>
    <w:p>
      <w:pPr>
        <w:pStyle w:val="BodyText"/>
        <w:spacing w:line="273" w:lineRule="auto"/>
        <w:rPr/>
      </w:pPr>
      <w:r/>
    </w:p>
    <w:p>
      <w:pPr>
        <w:ind w:left="1109"/>
        <w:spacing w:before="95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7"/>
        </w:rPr>
        <w:t>六、部门整体支出绩效情况</w:t>
      </w:r>
    </w:p>
    <w:p>
      <w:pPr>
        <w:pStyle w:val="BodyText"/>
        <w:spacing w:line="277" w:lineRule="auto"/>
        <w:rPr/>
      </w:pPr>
      <w:r/>
    </w:p>
    <w:p>
      <w:pPr>
        <w:ind w:left="719"/>
        <w:spacing w:before="94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21"/>
        </w:rPr>
        <w:t>(一)绩效评价结果</w:t>
      </w:r>
    </w:p>
    <w:p>
      <w:pPr>
        <w:spacing w:line="222" w:lineRule="auto"/>
        <w:sectPr>
          <w:footerReference w:type="default" r:id="rId4"/>
          <w:pgSz w:w="11900" w:h="16820"/>
          <w:pgMar w:top="1429" w:right="1347" w:bottom="1279" w:left="1785" w:header="0" w:footer="9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334" w:right="20" w:firstLine="589"/>
        <w:spacing w:before="94" w:line="401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2024年度部门整体支出取得良好的成效</w:t>
      </w:r>
      <w:r>
        <w:rPr>
          <w:rFonts w:ascii="FangSong" w:hAnsi="FangSong" w:eastAsia="FangSong" w:cs="FangSong"/>
          <w:sz w:val="29"/>
          <w:szCs w:val="29"/>
          <w:spacing w:val="11"/>
        </w:rPr>
        <w:t>，工作效率和效益得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以提高，全程监控财政拨入经费的使用情况，并与工作</w:t>
      </w:r>
      <w:r>
        <w:rPr>
          <w:rFonts w:ascii="FangSong" w:hAnsi="FangSong" w:eastAsia="FangSong" w:cs="FangSong"/>
          <w:sz w:val="29"/>
          <w:szCs w:val="29"/>
          <w:spacing w:val="11"/>
        </w:rPr>
        <w:t>开展相联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系，资金使用与工作执行进度相结合，不断优化资</w:t>
      </w:r>
      <w:r>
        <w:rPr>
          <w:rFonts w:ascii="FangSong" w:hAnsi="FangSong" w:eastAsia="FangSong" w:cs="FangSong"/>
          <w:sz w:val="29"/>
          <w:szCs w:val="29"/>
          <w:spacing w:val="9"/>
        </w:rPr>
        <w:t>金支出结构，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保障资金使用高效益，</w:t>
      </w:r>
      <w:r>
        <w:rPr>
          <w:rFonts w:ascii="FangSong" w:hAnsi="FangSong" w:eastAsia="FangSong" w:cs="FangSong"/>
          <w:sz w:val="29"/>
          <w:szCs w:val="29"/>
          <w:spacing w:val="6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以达到了保运转，保民生，保安全，促均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衡的效果。年初制定的工作任务目标100%按时完成，各项工作成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效显著,推动体育事业等各方面工作更好更快的发展，自评得分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96.80分。</w:t>
      </w:r>
    </w:p>
    <w:p>
      <w:pPr>
        <w:ind w:left="1104"/>
        <w:spacing w:before="9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(二)部门整体支出绩效完成情况</w:t>
      </w:r>
    </w:p>
    <w:p>
      <w:pPr>
        <w:pStyle w:val="BodyText"/>
        <w:spacing w:line="313" w:lineRule="auto"/>
        <w:rPr/>
      </w:pPr>
      <w:r/>
    </w:p>
    <w:p>
      <w:pPr>
        <w:ind w:left="334" w:right="10" w:firstLine="589"/>
        <w:spacing w:before="94" w:line="37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1.</w:t>
      </w:r>
      <w:r>
        <w:rPr>
          <w:rFonts w:ascii="FangSong" w:hAnsi="FangSong" w:eastAsia="FangSong" w:cs="FangSong"/>
          <w:sz w:val="29"/>
          <w:szCs w:val="29"/>
          <w:spacing w:val="12"/>
        </w:rPr>
        <w:t>引进优质资源，配优体育人才培育队伍。与实力雄厚、经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验丰富，教练资源丰富的市体操运动协会、市街舞运动协会、岳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阳市奥冠体育文化发展有限公司、岳阳市越洋体育俱乐部有限公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司等社会培训机构签订了合作协议。让培训机构的专业教练为学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校提供优质服务，让更多在校学生享受专业体育</w:t>
      </w:r>
      <w:r>
        <w:rPr>
          <w:rFonts w:ascii="FangSong" w:hAnsi="FangSong" w:eastAsia="FangSong" w:cs="FangSong"/>
          <w:sz w:val="29"/>
          <w:szCs w:val="29"/>
          <w:spacing w:val="12"/>
        </w:rPr>
        <w:t>训练。不定期邀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请省体育专业学校教练到各体育传统特色学校和俱乐部，甄选身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体条件好、天赋潜质较高的运动员进行选苗试训。</w:t>
      </w:r>
    </w:p>
    <w:p>
      <w:pPr>
        <w:pStyle w:val="BodyText"/>
        <w:spacing w:line="284" w:lineRule="auto"/>
        <w:rPr/>
      </w:pPr>
      <w:r/>
    </w:p>
    <w:p>
      <w:pPr>
        <w:ind w:left="334" w:firstLine="589"/>
        <w:spacing w:before="94" w:line="35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2.</w:t>
      </w:r>
      <w:r>
        <w:rPr>
          <w:rFonts w:ascii="FangSong" w:hAnsi="FangSong" w:eastAsia="FangSong" w:cs="FangSong"/>
          <w:sz w:val="29"/>
          <w:szCs w:val="29"/>
          <w:spacing w:val="12"/>
        </w:rPr>
        <w:t>开展常态化入校选材和人才输送。按照年初计划，今年春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秋两季开学期间，我们组织专业教练在全区范围内幼儿园及中小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学开展入校选材活动。测试包括力量、平衡能力、耐力、柔韧度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和音乐节奏等方面，并对选出来的苗子进行初步专业训练，储备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后备人才。</w:t>
      </w:r>
    </w:p>
    <w:p>
      <w:pPr>
        <w:ind w:right="13"/>
        <w:spacing w:before="269" w:line="222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3.</w:t>
      </w:r>
      <w:r>
        <w:rPr>
          <w:rFonts w:ascii="FangSong" w:hAnsi="FangSong" w:eastAsia="FangSong" w:cs="FangSong"/>
          <w:sz w:val="29"/>
          <w:szCs w:val="29"/>
          <w:spacing w:val="7"/>
        </w:rPr>
        <w:t>加强日常训练和管理水平。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一是加大与社会体育机构的合</w:t>
      </w:r>
    </w:p>
    <w:p>
      <w:pPr>
        <w:spacing w:line="222" w:lineRule="auto"/>
        <w:sectPr>
          <w:footerReference w:type="default" r:id="rId5"/>
          <w:pgSz w:w="12240" w:h="17060"/>
          <w:pgMar w:top="1450" w:right="1580" w:bottom="1299" w:left="1836" w:header="0" w:footer="92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337" w:right="115"/>
        <w:spacing w:before="95" w:line="39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作力度，共同制定项目日常训练计划，安排专人全程参与训练工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作，做到日常训练周周报、月月督，全程监督，对训练任务进行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全面落实，及时解决各项目存在的问题，确保训练取得实效。二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是加大教练团队和运动员的管理力度，每月召开一次省运会夺金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形式分析会，建立各项目教练员和参训运动员的基</w:t>
      </w:r>
      <w:r>
        <w:rPr>
          <w:rFonts w:ascii="FangSong" w:hAnsi="FangSong" w:eastAsia="FangSong" w:cs="FangSong"/>
          <w:sz w:val="29"/>
          <w:szCs w:val="29"/>
          <w:spacing w:val="12"/>
        </w:rPr>
        <w:t>本情况及训练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情况台账，制定合理的末位淘汰制，打造优质运动员团队。</w:t>
      </w:r>
    </w:p>
    <w:p>
      <w:pPr>
        <w:ind w:left="337" w:firstLine="610"/>
        <w:spacing w:before="12" w:line="39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3"/>
        </w:rPr>
        <w:t>4.</w:t>
      </w:r>
      <w:r>
        <w:rPr>
          <w:rFonts w:ascii="FangSong" w:hAnsi="FangSong" w:eastAsia="FangSong" w:cs="FangSong"/>
          <w:sz w:val="29"/>
          <w:szCs w:val="29"/>
          <w:spacing w:val="13"/>
        </w:rPr>
        <w:t>积极组织参加各级赛事。为进一步提高教练员的教学质量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水平、提升运动员的竞技水平，我们积极组织、参加了2</w:t>
      </w:r>
      <w:r>
        <w:rPr>
          <w:rFonts w:ascii="FangSong" w:hAnsi="FangSong" w:eastAsia="FangSong" w:cs="FangSong"/>
          <w:sz w:val="29"/>
          <w:szCs w:val="29"/>
          <w:spacing w:val="11"/>
        </w:rPr>
        <w:t>024年艺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术体操城市邀请赛、2024年艺术体操、街舞、体操、蹦床省锦标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赛岳阳市代表队选拔赛、2024年湖南省青少年锦标赛、2024年湖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南省第四届街舞公开赛暨岳阳市第三届街舞锦标赛等各项赛事，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6"/>
        </w:rPr>
        <w:t>全面完成了各项赛事工作任务。其中在2024年省锦标赛上，</w:t>
      </w:r>
      <w:r>
        <w:rPr>
          <w:rFonts w:ascii="FangSong" w:hAnsi="FangSong" w:eastAsia="FangSong" w:cs="FangSong"/>
          <w:sz w:val="29"/>
          <w:szCs w:val="29"/>
          <w:spacing w:val="5"/>
        </w:rPr>
        <w:t>体操、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蹦床、艺术体操、街舞四个青少年竞技项目共有83</w:t>
      </w:r>
      <w:r>
        <w:rPr>
          <w:rFonts w:ascii="FangSong" w:hAnsi="FangSong" w:eastAsia="FangSong" w:cs="FangSong"/>
          <w:sz w:val="29"/>
          <w:szCs w:val="29"/>
          <w:spacing w:val="4"/>
        </w:rPr>
        <w:t>名运动员参赛，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共获得5金11银13铜，2个第四名、7个第五名、3个第六名、4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个第七名、2个第八名的优异成绩。</w:t>
      </w:r>
    </w:p>
    <w:p>
      <w:pPr>
        <w:ind w:left="991"/>
        <w:spacing w:before="18" w:line="219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5"/>
        </w:rPr>
        <w:t>七、存在的问题及原因分析</w:t>
      </w:r>
    </w:p>
    <w:p>
      <w:pPr>
        <w:pStyle w:val="BodyText"/>
        <w:spacing w:line="278" w:lineRule="auto"/>
        <w:rPr/>
      </w:pPr>
      <w:r/>
    </w:p>
    <w:p>
      <w:pPr>
        <w:ind w:left="337" w:right="84" w:firstLine="649"/>
        <w:spacing w:before="94" w:line="38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主要是绩效预算编制还有待进一步细化，预算编制不够明确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和细化，合理性需要提高。</w:t>
      </w:r>
    </w:p>
    <w:p>
      <w:pPr>
        <w:ind w:left="991"/>
        <w:spacing w:before="212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-2"/>
        </w:rPr>
        <w:t>八</w:t>
      </w:r>
      <w:r>
        <w:rPr>
          <w:rFonts w:ascii="FangSong" w:hAnsi="FangSong" w:eastAsia="FangSong" w:cs="FangSong"/>
          <w:sz w:val="29"/>
          <w:szCs w:val="29"/>
          <w:spacing w:val="-52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-2"/>
        </w:rPr>
        <w:t>、下一步改进措施</w:t>
      </w:r>
    </w:p>
    <w:p>
      <w:pPr>
        <w:spacing w:line="222" w:lineRule="auto"/>
        <w:sectPr>
          <w:footerReference w:type="default" r:id="rId6"/>
          <w:pgSz w:w="12220" w:h="17040"/>
          <w:pgMar w:top="1448" w:right="1455" w:bottom="1349" w:left="1833" w:header="0" w:footer="97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41" w:right="6" w:firstLine="610"/>
        <w:spacing w:before="94" w:line="40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一是加强年初预算编制的学习，不断增强业务人员的业务水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平。二是加强预算编制的前期调查研究，进一步提升预算的科学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性、合理性及实用性。</w:t>
      </w:r>
    </w:p>
    <w:p>
      <w:pPr>
        <w:ind w:left="955"/>
        <w:spacing w:before="108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5"/>
        </w:rPr>
        <w:t>九、部门整体支出绩效自评结果拟应用和公开情况</w:t>
      </w:r>
    </w:p>
    <w:p>
      <w:pPr>
        <w:pStyle w:val="BodyText"/>
        <w:spacing w:line="249" w:lineRule="auto"/>
        <w:rPr/>
      </w:pPr>
      <w:r/>
    </w:p>
    <w:p>
      <w:pPr>
        <w:ind w:left="341" w:firstLine="610"/>
        <w:spacing w:before="94" w:line="39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本单位将以结果为导向，健全绩效评估与绩效评价结</w:t>
      </w:r>
      <w:r>
        <w:rPr>
          <w:rFonts w:ascii="FangSong" w:hAnsi="FangSong" w:eastAsia="FangSong" w:cs="FangSong"/>
          <w:sz w:val="29"/>
          <w:szCs w:val="29"/>
          <w:spacing w:val="12"/>
        </w:rPr>
        <w:t>果挂钩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机制，对绩效评价发现的问题，采取有力措施绩效整改，并将绩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效评价结果作为年度绩效考核的依据，持续提高资金使用效</w:t>
      </w:r>
      <w:r>
        <w:rPr>
          <w:rFonts w:ascii="FangSong" w:hAnsi="FangSong" w:eastAsia="FangSong" w:cs="FangSong"/>
          <w:sz w:val="29"/>
          <w:szCs w:val="29"/>
          <w:spacing w:val="11"/>
        </w:rPr>
        <w:t>益。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本报告将在岳阳楼区政府门户网站进行公示。</w:t>
      </w:r>
    </w:p>
    <w:p>
      <w:pPr>
        <w:ind w:left="341"/>
        <w:spacing w:before="12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其他需要说明的情况：无</w:t>
      </w:r>
    </w:p>
    <w:sectPr>
      <w:footerReference w:type="default" r:id="rId7"/>
      <w:pgSz w:w="12190" w:h="17020"/>
      <w:pgMar w:top="1446" w:right="1533" w:bottom="1339" w:left="1828" w:header="0" w:footer="9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31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1"/>
        <w:w w:val="96"/>
      </w:rPr>
      <w:t>—</w:t>
    </w:r>
    <w:r>
      <w:rPr>
        <w:rFonts w:ascii="SimSun" w:hAnsi="SimSun" w:eastAsia="SimSun" w:cs="SimSun"/>
        <w:sz w:val="31"/>
        <w:szCs w:val="31"/>
        <w:spacing w:val="62"/>
      </w:rPr>
      <w:t xml:space="preserve"> </w:t>
    </w:r>
    <w:r>
      <w:rPr>
        <w:rFonts w:ascii="SimSun" w:hAnsi="SimSun" w:eastAsia="SimSun" w:cs="SimSun"/>
        <w:sz w:val="31"/>
        <w:szCs w:val="31"/>
        <w:spacing w:val="-31"/>
        <w:w w:val="96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4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4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97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1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2025-09-19T09:53:43Z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2025-09-19T09:53:44</vt:filetime>
  </property>
  <property fmtid="{D5CDD505-2E9C-101B-9397-08002B2CF9AE}" pid="4" name="UsrData">
    <vt:lpwstr>68ccb7a5a242d5001fc59998wl</vt:lpwstr>
  </property>
</Properties>
</file>