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29"/>
        <w:spacing w:before="222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4"/>
        </w:rPr>
        <w:t>附件5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3210" w:right="935" w:hanging="1940"/>
        <w:spacing w:before="136" w:line="273" w:lineRule="auto"/>
        <w:rPr>
          <w:rFonts w:ascii="SimHei" w:hAnsi="SimHei" w:eastAsia="SimHei" w:cs="SimHei"/>
          <w:sz w:val="42"/>
          <w:szCs w:val="42"/>
        </w:rPr>
      </w:pPr>
      <w:r>
        <w:rPr>
          <w:rFonts w:ascii="SimHei" w:hAnsi="SimHei" w:eastAsia="SimHei" w:cs="SimHei"/>
          <w:sz w:val="42"/>
          <w:szCs w:val="42"/>
          <w:b/>
          <w:bCs/>
          <w:spacing w:val="4"/>
        </w:rPr>
        <w:t>2024年度岳阳楼区图书馆整体支出</w:t>
      </w:r>
      <w:r>
        <w:rPr>
          <w:rFonts w:ascii="SimHei" w:hAnsi="SimHei" w:eastAsia="SimHei" w:cs="SimHei"/>
          <w:sz w:val="42"/>
          <w:szCs w:val="42"/>
          <w:spacing w:val="4"/>
        </w:rPr>
        <w:t xml:space="preserve"> </w:t>
      </w:r>
      <w:r>
        <w:rPr>
          <w:rFonts w:ascii="SimHei" w:hAnsi="SimHei" w:eastAsia="SimHei" w:cs="SimHei"/>
          <w:sz w:val="42"/>
          <w:szCs w:val="42"/>
          <w:b/>
          <w:bCs/>
          <w:spacing w:val="-7"/>
        </w:rPr>
        <w:t>绩效自评报告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1904"/>
        <w:spacing w:before="114" w:line="224" w:lineRule="auto"/>
        <w:rPr>
          <w:rFonts w:ascii="KaiTi" w:hAnsi="KaiTi" w:eastAsia="KaiTi" w:cs="KaiTi"/>
          <w:sz w:val="35"/>
          <w:szCs w:val="35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2790842</wp:posOffset>
            </wp:positionH>
            <wp:positionV relativeFrom="paragraph">
              <wp:posOffset>-453658</wp:posOffset>
            </wp:positionV>
            <wp:extent cx="1536689" cy="151762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6689" cy="151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" w:hAnsi="KaiTi" w:eastAsia="KaiTi" w:cs="KaiTi"/>
          <w:sz w:val="35"/>
          <w:szCs w:val="35"/>
          <w:spacing w:val="-14"/>
        </w:rPr>
        <w:t>部门(单位)名称：</w:t>
      </w:r>
      <w:r>
        <w:rPr>
          <w:rFonts w:ascii="KaiTi" w:hAnsi="KaiTi" w:eastAsia="KaiTi" w:cs="KaiTi"/>
          <w:sz w:val="35"/>
          <w:szCs w:val="35"/>
          <w:spacing w:val="-97"/>
        </w:rPr>
        <w:t xml:space="preserve"> </w:t>
      </w:r>
      <w:r>
        <w:rPr>
          <w:rFonts w:ascii="KaiTi" w:hAnsi="KaiTi" w:eastAsia="KaiTi" w:cs="KaiTi"/>
          <w:sz w:val="35"/>
          <w:szCs w:val="35"/>
          <w:u w:val="single" w:color="auto"/>
          <w:spacing w:val="-14"/>
        </w:rPr>
        <w:t>岳</w:t>
      </w:r>
      <w:r>
        <w:rPr>
          <w:rFonts w:ascii="KaiTi" w:hAnsi="KaiTi" w:eastAsia="KaiTi" w:cs="KaiTi"/>
          <w:sz w:val="35"/>
          <w:szCs w:val="35"/>
          <w:u w:val="single" w:color="auto"/>
          <w:spacing w:val="-14"/>
        </w:rPr>
        <w:t xml:space="preserve"> </w:t>
      </w:r>
      <w:r>
        <w:rPr>
          <w:rFonts w:ascii="KaiTi" w:hAnsi="KaiTi" w:eastAsia="KaiTi" w:cs="KaiTi"/>
          <w:sz w:val="35"/>
          <w:szCs w:val="35"/>
          <w:u w:val="single" w:color="auto"/>
          <w:spacing w:val="-14"/>
        </w:rPr>
        <w:t>阳</w:t>
      </w:r>
      <w:r>
        <w:rPr>
          <w:rFonts w:ascii="KaiTi" w:hAnsi="KaiTi" w:eastAsia="KaiTi" w:cs="KaiTi"/>
          <w:sz w:val="35"/>
          <w:szCs w:val="35"/>
          <w:u w:val="single" w:color="auto"/>
          <w:spacing w:val="-65"/>
        </w:rPr>
        <w:t xml:space="preserve"> </w:t>
      </w:r>
      <w:r>
        <w:rPr>
          <w:rFonts w:ascii="KaiTi" w:hAnsi="KaiTi" w:eastAsia="KaiTi" w:cs="KaiTi"/>
          <w:sz w:val="35"/>
          <w:szCs w:val="35"/>
          <w:u w:val="single" w:color="auto"/>
          <w:spacing w:val="-14"/>
        </w:rPr>
        <w:t>楼</w:t>
      </w:r>
      <w:r>
        <w:rPr>
          <w:rFonts w:ascii="KaiTi" w:hAnsi="KaiTi" w:eastAsia="KaiTi" w:cs="KaiTi"/>
          <w:sz w:val="35"/>
          <w:szCs w:val="35"/>
          <w:u w:val="single" w:color="auto"/>
          <w:spacing w:val="-14"/>
        </w:rPr>
        <w:t xml:space="preserve"> </w:t>
      </w:r>
      <w:r>
        <w:rPr>
          <w:rFonts w:ascii="KaiTi" w:hAnsi="KaiTi" w:eastAsia="KaiTi" w:cs="KaiTi"/>
          <w:sz w:val="35"/>
          <w:szCs w:val="35"/>
          <w:u w:val="single" w:color="auto"/>
          <w:spacing w:val="-14"/>
        </w:rPr>
        <w:t>区</w:t>
      </w:r>
      <w:r>
        <w:rPr>
          <w:rFonts w:ascii="KaiTi" w:hAnsi="KaiTi" w:eastAsia="KaiTi" w:cs="KaiTi"/>
          <w:sz w:val="35"/>
          <w:szCs w:val="35"/>
          <w:u w:val="single" w:color="auto"/>
          <w:spacing w:val="-14"/>
        </w:rPr>
        <w:t xml:space="preserve"> </w:t>
      </w:r>
      <w:r>
        <w:rPr>
          <w:rFonts w:ascii="KaiTi" w:hAnsi="KaiTi" w:eastAsia="KaiTi" w:cs="KaiTi"/>
          <w:sz w:val="35"/>
          <w:szCs w:val="35"/>
          <w:u w:val="single" w:color="auto"/>
          <w:spacing w:val="-14"/>
        </w:rPr>
        <w:t>图</w:t>
      </w:r>
      <w:r>
        <w:rPr>
          <w:rFonts w:ascii="KaiTi" w:hAnsi="KaiTi" w:eastAsia="KaiTi" w:cs="KaiTi"/>
          <w:sz w:val="35"/>
          <w:szCs w:val="35"/>
          <w:u w:val="single" w:color="auto"/>
          <w:spacing w:val="-41"/>
        </w:rPr>
        <w:t xml:space="preserve"> </w:t>
      </w:r>
      <w:r>
        <w:rPr>
          <w:rFonts w:ascii="KaiTi" w:hAnsi="KaiTi" w:eastAsia="KaiTi" w:cs="KaiTi"/>
          <w:sz w:val="35"/>
          <w:szCs w:val="35"/>
          <w:u w:val="single" w:color="auto"/>
          <w:spacing w:val="-14"/>
        </w:rPr>
        <w:t>书</w:t>
      </w:r>
      <w:r>
        <w:rPr>
          <w:rFonts w:ascii="KaiTi" w:hAnsi="KaiTi" w:eastAsia="KaiTi" w:cs="KaiTi"/>
          <w:sz w:val="35"/>
          <w:szCs w:val="35"/>
          <w:u w:val="single" w:color="auto"/>
          <w:spacing w:val="-62"/>
        </w:rPr>
        <w:t xml:space="preserve"> </w:t>
      </w:r>
      <w:r>
        <w:rPr>
          <w:rFonts w:ascii="KaiTi" w:hAnsi="KaiTi" w:eastAsia="KaiTi" w:cs="KaiTi"/>
          <w:sz w:val="35"/>
          <w:szCs w:val="35"/>
          <w:u w:val="single" w:color="auto"/>
          <w:spacing w:val="-14"/>
        </w:rPr>
        <w:t>馆</w:t>
      </w:r>
      <w:r>
        <w:rPr>
          <w:rFonts w:ascii="KaiTi" w:hAnsi="KaiTi" w:eastAsia="KaiTi" w:cs="KaiTi"/>
          <w:sz w:val="35"/>
          <w:szCs w:val="35"/>
          <w:u w:val="single" w:color="auto"/>
          <w:spacing w:val="-14"/>
        </w:rPr>
        <w:t xml:space="preserve">     </w:t>
      </w:r>
    </w:p>
    <w:p>
      <w:pPr>
        <w:ind w:left="3128"/>
        <w:spacing w:before="229" w:line="225" w:lineRule="auto"/>
        <w:rPr>
          <w:rFonts w:ascii="KaiTi" w:hAnsi="KaiTi" w:eastAsia="KaiTi" w:cs="KaiTi"/>
          <w:sz w:val="26"/>
          <w:szCs w:val="26"/>
        </w:rPr>
      </w:pPr>
      <w:r>
        <w:rPr>
          <w:rFonts w:ascii="KaiTi" w:hAnsi="KaiTi" w:eastAsia="KaiTi" w:cs="KaiTi"/>
          <w:sz w:val="26"/>
          <w:szCs w:val="26"/>
          <w:b/>
          <w:bCs/>
          <w:spacing w:val="-12"/>
        </w:rPr>
        <w:t>2</w:t>
      </w:r>
      <w:r>
        <w:rPr>
          <w:rFonts w:ascii="KaiTi" w:hAnsi="KaiTi" w:eastAsia="KaiTi" w:cs="KaiTi"/>
          <w:sz w:val="26"/>
          <w:szCs w:val="26"/>
          <w:spacing w:val="-50"/>
        </w:rPr>
        <w:t xml:space="preserve"> </w:t>
      </w:r>
      <w:r>
        <w:rPr>
          <w:rFonts w:ascii="KaiTi" w:hAnsi="KaiTi" w:eastAsia="KaiTi" w:cs="KaiTi"/>
          <w:sz w:val="26"/>
          <w:szCs w:val="26"/>
          <w:b/>
          <w:bCs/>
          <w:spacing w:val="-12"/>
        </w:rPr>
        <w:t>0</w:t>
      </w:r>
      <w:r>
        <w:rPr>
          <w:rFonts w:ascii="KaiTi" w:hAnsi="KaiTi" w:eastAsia="KaiTi" w:cs="KaiTi"/>
          <w:sz w:val="26"/>
          <w:szCs w:val="26"/>
          <w:spacing w:val="-56"/>
        </w:rPr>
        <w:t xml:space="preserve"> </w:t>
      </w:r>
      <w:r>
        <w:rPr>
          <w:rFonts w:ascii="KaiTi" w:hAnsi="KaiTi" w:eastAsia="KaiTi" w:cs="KaiTi"/>
          <w:sz w:val="26"/>
          <w:szCs w:val="26"/>
          <w:b/>
          <w:bCs/>
          <w:spacing w:val="-12"/>
        </w:rPr>
        <w:t>2</w:t>
      </w:r>
      <w:r>
        <w:rPr>
          <w:rFonts w:ascii="KaiTi" w:hAnsi="KaiTi" w:eastAsia="KaiTi" w:cs="KaiTi"/>
          <w:sz w:val="26"/>
          <w:szCs w:val="26"/>
          <w:spacing w:val="-61"/>
        </w:rPr>
        <w:t xml:space="preserve"> </w:t>
      </w:r>
      <w:r>
        <w:rPr>
          <w:rFonts w:ascii="KaiTi" w:hAnsi="KaiTi" w:eastAsia="KaiTi" w:cs="KaiTi"/>
          <w:sz w:val="26"/>
          <w:szCs w:val="26"/>
          <w:b/>
          <w:bCs/>
          <w:spacing w:val="-12"/>
        </w:rPr>
        <w:t>5</w:t>
      </w:r>
      <w:r>
        <w:rPr>
          <w:rFonts w:ascii="KaiTi" w:hAnsi="KaiTi" w:eastAsia="KaiTi" w:cs="KaiTi"/>
          <w:sz w:val="26"/>
          <w:szCs w:val="26"/>
          <w:spacing w:val="-54"/>
        </w:rPr>
        <w:t xml:space="preserve"> </w:t>
      </w:r>
      <w:r>
        <w:rPr>
          <w:rFonts w:ascii="KaiTi" w:hAnsi="KaiTi" w:eastAsia="KaiTi" w:cs="KaiTi"/>
          <w:sz w:val="26"/>
          <w:szCs w:val="26"/>
          <w:b/>
          <w:bCs/>
          <w:spacing w:val="-12"/>
        </w:rPr>
        <w:t>年</w:t>
      </w:r>
      <w:r>
        <w:rPr>
          <w:rFonts w:ascii="KaiTi" w:hAnsi="KaiTi" w:eastAsia="KaiTi" w:cs="KaiTi"/>
          <w:sz w:val="26"/>
          <w:szCs w:val="26"/>
          <w:spacing w:val="-55"/>
        </w:rPr>
        <w:t xml:space="preserve"> </w:t>
      </w:r>
      <w:r>
        <w:rPr>
          <w:rFonts w:ascii="KaiTi" w:hAnsi="KaiTi" w:eastAsia="KaiTi" w:cs="KaiTi"/>
          <w:sz w:val="26"/>
          <w:szCs w:val="26"/>
          <w:b/>
          <w:bCs/>
          <w:spacing w:val="-12"/>
        </w:rPr>
        <w:t>6</w:t>
      </w:r>
      <w:r>
        <w:rPr>
          <w:rFonts w:ascii="KaiTi" w:hAnsi="KaiTi" w:eastAsia="KaiTi" w:cs="KaiTi"/>
          <w:sz w:val="26"/>
          <w:szCs w:val="26"/>
          <w:spacing w:val="-43"/>
        </w:rPr>
        <w:t xml:space="preserve"> </w:t>
      </w:r>
      <w:r>
        <w:rPr>
          <w:rFonts w:ascii="KaiTi" w:hAnsi="KaiTi" w:eastAsia="KaiTi" w:cs="KaiTi"/>
          <w:sz w:val="26"/>
          <w:szCs w:val="26"/>
          <w:b/>
          <w:bCs/>
          <w:spacing w:val="-12"/>
        </w:rPr>
        <w:t>月</w:t>
      </w:r>
      <w:r>
        <w:rPr>
          <w:rFonts w:ascii="KaiTi" w:hAnsi="KaiTi" w:eastAsia="KaiTi" w:cs="KaiTi"/>
          <w:sz w:val="26"/>
          <w:szCs w:val="26"/>
          <w:spacing w:val="77"/>
        </w:rPr>
        <w:t xml:space="preserve"> </w:t>
      </w:r>
      <w:r>
        <w:rPr>
          <w:rFonts w:ascii="SimSun" w:hAnsi="SimSun" w:eastAsia="SimSun" w:cs="SimSun"/>
          <w:sz w:val="26"/>
          <w:szCs w:val="26"/>
          <w:b/>
          <w:bCs/>
          <w:spacing w:val="-12"/>
        </w:rPr>
        <w:t>28</w:t>
      </w:r>
      <w:r>
        <w:rPr>
          <w:rFonts w:ascii="SimSun" w:hAnsi="SimSun" w:eastAsia="SimSun" w:cs="SimSun"/>
          <w:sz w:val="26"/>
          <w:szCs w:val="26"/>
          <w:spacing w:val="16"/>
        </w:rPr>
        <w:t xml:space="preserve">  </w:t>
      </w:r>
      <w:r>
        <w:rPr>
          <w:rFonts w:ascii="KaiTi" w:hAnsi="KaiTi" w:eastAsia="KaiTi" w:cs="KaiTi"/>
          <w:sz w:val="26"/>
          <w:szCs w:val="26"/>
          <w:b/>
          <w:bCs/>
          <w:spacing w:val="-12"/>
        </w:rPr>
        <w:t>日</w:t>
      </w:r>
    </w:p>
    <w:p>
      <w:pPr>
        <w:pStyle w:val="BodyText"/>
        <w:spacing w:line="336" w:lineRule="auto"/>
        <w:rPr/>
      </w:pPr>
      <w:r/>
    </w:p>
    <w:p>
      <w:pPr>
        <w:ind w:left="3304"/>
        <w:spacing w:before="115" w:line="224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11"/>
        </w:rPr>
        <w:t>(此页为封面)</w:t>
      </w:r>
    </w:p>
    <w:p>
      <w:pPr>
        <w:spacing w:line="224" w:lineRule="auto"/>
        <w:sectPr>
          <w:footerReference w:type="default" r:id="rId1"/>
          <w:pgSz w:w="11900" w:h="16820"/>
          <w:pgMar w:top="1429" w:right="1460" w:bottom="1390" w:left="1785" w:header="0" w:footer="933" w:gutter="0"/>
        </w:sectPr>
        <w:rPr>
          <w:rFonts w:ascii="FangSong" w:hAnsi="FangSong" w:eastAsia="FangSong" w:cs="FangSong"/>
          <w:sz w:val="35"/>
          <w:szCs w:val="35"/>
        </w:rPr>
      </w:pPr>
    </w:p>
    <w:p>
      <w:pPr>
        <w:pStyle w:val="BodyText"/>
        <w:spacing w:line="339" w:lineRule="auto"/>
        <w:rPr/>
      </w:pPr>
      <w:r/>
    </w:p>
    <w:p>
      <w:pPr>
        <w:ind w:left="3310" w:right="336" w:hanging="3149"/>
        <w:spacing w:before="139" w:line="305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5"/>
        </w:rPr>
        <w:t>2024年度岳阳楼区岳阳楼区图书馆整体支出</w:t>
      </w:r>
      <w:r>
        <w:rPr>
          <w:rFonts w:ascii="SimHei" w:hAnsi="SimHei" w:eastAsia="SimHei" w:cs="SimHei"/>
          <w:sz w:val="43"/>
          <w:szCs w:val="43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-8"/>
        </w:rPr>
        <w:t>绩效自评报告</w:t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819"/>
        <w:spacing w:before="97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2"/>
        </w:rPr>
        <w:t>一、单位基本情况</w:t>
      </w:r>
    </w:p>
    <w:p>
      <w:pPr>
        <w:ind w:left="819"/>
        <w:spacing w:before="214" w:line="222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3"/>
        </w:rPr>
        <w:t>(</w:t>
      </w:r>
      <w:r>
        <w:rPr>
          <w:rFonts w:ascii="FangSong" w:hAnsi="FangSong" w:eastAsia="FangSong" w:cs="FangSong"/>
          <w:sz w:val="30"/>
          <w:szCs w:val="30"/>
          <w:spacing w:val="-71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13"/>
        </w:rPr>
        <w:t>一</w:t>
      </w:r>
      <w:r>
        <w:rPr>
          <w:rFonts w:ascii="FangSong" w:hAnsi="FangSong" w:eastAsia="FangSong" w:cs="FangSong"/>
          <w:sz w:val="30"/>
          <w:szCs w:val="30"/>
          <w:spacing w:val="-85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13"/>
        </w:rPr>
        <w:t>)职能职责</w:t>
      </w:r>
    </w:p>
    <w:p>
      <w:pPr>
        <w:ind w:left="155" w:firstLine="659"/>
        <w:spacing w:before="263" w:line="32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9"/>
        </w:rPr>
        <w:t>1.</w:t>
      </w:r>
      <w:r>
        <w:rPr>
          <w:rFonts w:ascii="FangSong" w:hAnsi="FangSong" w:eastAsia="FangSong" w:cs="FangSong"/>
          <w:sz w:val="30"/>
          <w:szCs w:val="30"/>
          <w:spacing w:val="9"/>
        </w:rPr>
        <w:t>宣传马列主义、毛泽东思想、邓小平理论和“三个代表”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重要思想，宣传党的各项方针、政策、法令，向人民群众进行</w:t>
      </w:r>
      <w:r>
        <w:rPr>
          <w:rFonts w:ascii="FangSong" w:hAnsi="FangSong" w:eastAsia="FangSong" w:cs="FangSong"/>
          <w:sz w:val="30"/>
          <w:szCs w:val="30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11"/>
        </w:rPr>
        <w:t>爱国主义和共产主义教育。</w:t>
      </w:r>
    </w:p>
    <w:p>
      <w:pPr>
        <w:ind w:left="155" w:right="261" w:firstLine="659"/>
        <w:spacing w:before="325" w:line="31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1"/>
        </w:rPr>
        <w:t>2.</w:t>
      </w:r>
      <w:r>
        <w:rPr>
          <w:rFonts w:ascii="FangSong" w:hAnsi="FangSong" w:eastAsia="FangSong" w:cs="FangSong"/>
          <w:sz w:val="30"/>
          <w:szCs w:val="30"/>
          <w:spacing w:val="11"/>
        </w:rPr>
        <w:t>为本地区的经济建设，特别是农村经济的发展提供信息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书刊资料。</w:t>
      </w:r>
    </w:p>
    <w:p>
      <w:pPr>
        <w:pStyle w:val="BodyText"/>
        <w:spacing w:line="277" w:lineRule="auto"/>
        <w:rPr/>
      </w:pPr>
      <w:r/>
    </w:p>
    <w:p>
      <w:pPr>
        <w:ind w:left="815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3"/>
        </w:rPr>
        <w:t>3.</w:t>
      </w:r>
      <w:r>
        <w:rPr>
          <w:rFonts w:ascii="FangSong" w:hAnsi="FangSong" w:eastAsia="FangSong" w:cs="FangSong"/>
          <w:sz w:val="30"/>
          <w:szCs w:val="30"/>
          <w:spacing w:val="13"/>
        </w:rPr>
        <w:t>传播科学文化知识，提高广大群众的科学文化水平。</w:t>
      </w:r>
    </w:p>
    <w:p>
      <w:pPr>
        <w:pStyle w:val="BodyText"/>
        <w:spacing w:line="256" w:lineRule="auto"/>
        <w:rPr/>
      </w:pPr>
      <w:r/>
    </w:p>
    <w:p>
      <w:pPr>
        <w:ind w:left="155" w:right="273" w:firstLine="659"/>
        <w:spacing w:before="98" w:line="31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0"/>
        </w:rPr>
        <w:t>4.</w:t>
      </w:r>
      <w:r>
        <w:rPr>
          <w:rFonts w:ascii="FangSong" w:hAnsi="FangSong" w:eastAsia="FangSong" w:cs="FangSong"/>
          <w:sz w:val="30"/>
          <w:szCs w:val="30"/>
          <w:spacing w:val="10"/>
        </w:rPr>
        <w:t>根据本地的需要，积极采集各种书刊资料，特别是地方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文献，以科学的方法进行整理、保管和开展借阅服务工作。</w:t>
      </w:r>
    </w:p>
    <w:p>
      <w:pPr>
        <w:ind w:left="155" w:right="263" w:firstLine="659"/>
        <w:spacing w:before="329" w:line="33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1"/>
        </w:rPr>
        <w:t>5.</w:t>
      </w:r>
      <w:r>
        <w:rPr>
          <w:rFonts w:ascii="FangSong" w:hAnsi="FangSong" w:eastAsia="FangSong" w:cs="FangSong"/>
          <w:sz w:val="30"/>
          <w:szCs w:val="30"/>
          <w:spacing w:val="11"/>
        </w:rPr>
        <w:t>在区政府有关部门的领导下，协助发展本地区各类型的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图书馆、室，组织图书馆间的协调工作，对基层图书室进行业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务辅导。</w:t>
      </w:r>
    </w:p>
    <w:p>
      <w:pPr>
        <w:ind w:left="1029"/>
        <w:spacing w:before="338" w:line="226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b/>
          <w:bCs/>
          <w:spacing w:val="18"/>
        </w:rPr>
        <w:t>(</w:t>
      </w:r>
      <w:r>
        <w:rPr>
          <w:rFonts w:ascii="KaiTi" w:hAnsi="KaiTi" w:eastAsia="KaiTi" w:cs="KaiTi"/>
          <w:sz w:val="30"/>
          <w:szCs w:val="30"/>
          <w:spacing w:val="-47"/>
        </w:rPr>
        <w:t xml:space="preserve"> </w:t>
      </w:r>
      <w:r>
        <w:rPr>
          <w:rFonts w:ascii="KaiTi" w:hAnsi="KaiTi" w:eastAsia="KaiTi" w:cs="KaiTi"/>
          <w:sz w:val="30"/>
          <w:szCs w:val="30"/>
          <w:b/>
          <w:bCs/>
          <w:spacing w:val="18"/>
        </w:rPr>
        <w:t>二</w:t>
      </w:r>
      <w:r>
        <w:rPr>
          <w:rFonts w:ascii="FangSong" w:hAnsi="FangSong" w:eastAsia="FangSong" w:cs="FangSong"/>
          <w:sz w:val="30"/>
          <w:szCs w:val="30"/>
          <w:b/>
          <w:bCs/>
          <w:spacing w:val="18"/>
        </w:rPr>
        <w:t>)机构设置</w:t>
      </w:r>
    </w:p>
    <w:p>
      <w:pPr>
        <w:pStyle w:val="BodyText"/>
        <w:spacing w:line="365" w:lineRule="auto"/>
        <w:rPr/>
      </w:pPr>
      <w:r/>
    </w:p>
    <w:p>
      <w:pPr>
        <w:ind w:left="155" w:right="71" w:firstLine="659"/>
        <w:spacing w:before="98" w:line="35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内设机构设置。根据区编办核定为正股级公益一类事业单位，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本单位内设机构包括：办公室、综合室。核定全额拨款事业编</w:t>
      </w:r>
    </w:p>
    <w:p>
      <w:pPr>
        <w:spacing w:line="351" w:lineRule="auto"/>
        <w:sectPr>
          <w:footerReference w:type="default" r:id="rId3"/>
          <w:pgSz w:w="11900" w:h="16820"/>
          <w:pgMar w:top="1429" w:right="1246" w:bottom="1317" w:left="1785" w:header="0" w:footer="92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358" w:right="139" w:hanging="30"/>
        <w:spacing w:before="98" w:line="41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8"/>
        </w:rPr>
        <w:t>制7名，其中正股级领导职数1名，副股级领导职数1名。现有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1"/>
        </w:rPr>
        <w:t>人数19人，其中：在职编制7人，退休12人。</w:t>
      </w:r>
    </w:p>
    <w:p>
      <w:pPr>
        <w:pStyle w:val="BodyText"/>
        <w:spacing w:line="395" w:lineRule="auto"/>
        <w:rPr/>
      </w:pPr>
      <w:r/>
    </w:p>
    <w:p>
      <w:pPr>
        <w:ind w:left="952"/>
        <w:spacing w:before="97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8"/>
        </w:rPr>
        <w:t>二</w:t>
      </w:r>
      <w:r>
        <w:rPr>
          <w:rFonts w:ascii="SimHei" w:hAnsi="SimHei" w:eastAsia="SimHei" w:cs="SimHei"/>
          <w:sz w:val="30"/>
          <w:szCs w:val="30"/>
          <w:spacing w:val="-61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8"/>
        </w:rPr>
        <w:t>、一般公共预算支出情况</w:t>
      </w:r>
    </w:p>
    <w:p>
      <w:pPr>
        <w:pStyle w:val="BodyText"/>
        <w:spacing w:line="264" w:lineRule="auto"/>
        <w:rPr/>
      </w:pPr>
      <w:r/>
    </w:p>
    <w:p>
      <w:pPr>
        <w:ind w:left="748" w:right="129" w:firstLine="579"/>
        <w:spacing w:before="97" w:line="39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2024年我单位一般公共预算支出381.53万元，其中：基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本支出124.34万元，项目支出257.19万元。</w:t>
      </w:r>
    </w:p>
    <w:p>
      <w:pPr>
        <w:ind w:left="1502"/>
        <w:spacing w:before="110" w:line="222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3"/>
        </w:rPr>
        <w:t>(一)基本支出情况</w:t>
      </w:r>
    </w:p>
    <w:p>
      <w:pPr>
        <w:ind w:left="748" w:firstLine="579"/>
        <w:spacing w:before="326" w:line="382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2024年基本支出124.34万元，其中人员经费113.37万元，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主要包括基本工资、绩效补贴、奖金、伙食补助费、机关事业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1"/>
        </w:rPr>
        <w:t>单位基本养老保险缴费、职工基本医疗保险缴费、公务员医疗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补助缴费、其他社会保障缴费、住房公积金、其他工资福利支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出、其他对个人和家庭的补助；公用经费10.97万</w:t>
      </w:r>
      <w:r>
        <w:rPr>
          <w:rFonts w:ascii="FangSong" w:hAnsi="FangSong" w:eastAsia="FangSong" w:cs="FangSong"/>
          <w:sz w:val="30"/>
          <w:szCs w:val="30"/>
          <w:spacing w:val="2"/>
        </w:rPr>
        <w:t>元，主要包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2"/>
        </w:rPr>
        <w:t>括办公费、印刷费、水费、电费、邮电费、差旅费劳务费、维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修(护)费、租赁费、公务接待费、工会经费、其</w:t>
      </w:r>
      <w:r>
        <w:rPr>
          <w:rFonts w:ascii="FangSong" w:hAnsi="FangSong" w:eastAsia="FangSong" w:cs="FangSong"/>
          <w:sz w:val="30"/>
          <w:szCs w:val="30"/>
          <w:spacing w:val="2"/>
        </w:rPr>
        <w:t>他交通费用、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其他商品和服务支出。本年度工资福利支出严格按照要求进行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工资统发或规定的标准发放，不存在多发福利现象，三公经费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总支出控制较好超未预算。</w:t>
      </w:r>
    </w:p>
    <w:p>
      <w:pPr>
        <w:ind w:left="1512"/>
        <w:spacing w:before="156" w:line="222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6"/>
        </w:rPr>
        <w:t>(二)项目支出情况</w:t>
      </w:r>
    </w:p>
    <w:p>
      <w:pPr>
        <w:ind w:left="748" w:firstLine="630"/>
        <w:spacing w:before="329" w:line="37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0"/>
        </w:rPr>
        <w:t>本单位严格规范专项资金管理，保障资金安全、高效运行，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发挥资金使用效益，对专项资金要定期或不定期进行督查</w:t>
      </w:r>
      <w:r>
        <w:rPr>
          <w:rFonts w:ascii="FangSong" w:hAnsi="FangSong" w:eastAsia="FangSong" w:cs="FangSong"/>
          <w:sz w:val="30"/>
          <w:szCs w:val="30"/>
          <w:spacing w:val="-2"/>
        </w:rPr>
        <w:t>，确</w:t>
      </w:r>
    </w:p>
    <w:p>
      <w:pPr>
        <w:spacing w:line="376" w:lineRule="auto"/>
        <w:sectPr>
          <w:footerReference w:type="default" r:id="rId4"/>
          <w:pgSz w:w="12210" w:h="17030"/>
          <w:pgMar w:top="1447" w:right="1450" w:bottom="1269" w:left="1831" w:header="0" w:footer="97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91" w:lineRule="auto"/>
        <w:rPr/>
      </w:pPr>
      <w:r/>
    </w:p>
    <w:p>
      <w:pPr>
        <w:ind w:left="674"/>
        <w:spacing w:before="95" w:line="38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3"/>
        </w:rPr>
        <w:t>保项目资金专款专用。2024年项目资金支出257.19</w:t>
      </w:r>
      <w:r>
        <w:rPr>
          <w:rFonts w:ascii="FangSong" w:hAnsi="FangSong" w:eastAsia="FangSong" w:cs="FangSong"/>
          <w:sz w:val="29"/>
          <w:szCs w:val="29"/>
          <w:spacing w:val="12"/>
        </w:rPr>
        <w:t>万元。其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7"/>
        </w:rPr>
        <w:t>中：1.业务工作经费支出66.30万元；2.免费开放项目支出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8"/>
        </w:rPr>
        <w:t>25.17万元；3.公共文化服务体系建设项目支出75.24万元；4.</w:t>
      </w:r>
    </w:p>
    <w:p>
      <w:pPr>
        <w:ind w:left="674"/>
        <w:spacing w:line="22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编外用工项目支出30.00万元。</w:t>
      </w:r>
    </w:p>
    <w:p>
      <w:pPr>
        <w:pStyle w:val="BodyText"/>
        <w:spacing w:line="245" w:lineRule="auto"/>
        <w:rPr/>
      </w:pPr>
      <w:r/>
    </w:p>
    <w:p>
      <w:pPr>
        <w:ind w:left="1249"/>
        <w:spacing w:before="94" w:line="220" w:lineRule="auto"/>
        <w:outlineLvl w:val="2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-1"/>
        </w:rPr>
        <w:t>三、政府性基金预算支出情况</w:t>
      </w:r>
    </w:p>
    <w:p>
      <w:pPr>
        <w:pStyle w:val="BodyText"/>
        <w:spacing w:line="282" w:lineRule="auto"/>
        <w:rPr/>
      </w:pPr>
      <w:r/>
    </w:p>
    <w:p>
      <w:pPr>
        <w:ind w:left="1244"/>
        <w:spacing w:before="94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1"/>
        </w:rPr>
        <w:t>无政府性基金预算支出情况。</w:t>
      </w:r>
    </w:p>
    <w:p>
      <w:pPr>
        <w:pStyle w:val="BodyText"/>
        <w:spacing w:line="270" w:lineRule="auto"/>
        <w:rPr/>
      </w:pPr>
      <w:r/>
    </w:p>
    <w:p>
      <w:pPr>
        <w:ind w:left="1244" w:right="3442"/>
        <w:spacing w:before="94" w:line="33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"/>
        </w:rPr>
        <w:t>四、国有资本经营预算支出情况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无国有资本经营预算支出情况</w:t>
      </w:r>
    </w:p>
    <w:p>
      <w:pPr>
        <w:pStyle w:val="BodyText"/>
        <w:spacing w:line="266" w:lineRule="auto"/>
        <w:rPr/>
      </w:pPr>
      <w:r/>
    </w:p>
    <w:p>
      <w:pPr>
        <w:ind w:left="1244" w:right="3412"/>
        <w:spacing w:before="94" w:line="33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5"/>
        </w:rPr>
        <w:t>五、社会保险基金预算支出情况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无社会保险基金预算支出情况</w:t>
      </w:r>
    </w:p>
    <w:p>
      <w:pPr>
        <w:pStyle w:val="BodyText"/>
        <w:spacing w:line="303" w:lineRule="auto"/>
        <w:rPr/>
      </w:pPr>
      <w:r/>
    </w:p>
    <w:p>
      <w:pPr>
        <w:ind w:left="1119"/>
        <w:spacing w:before="94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3"/>
        </w:rPr>
        <w:t>六、部门整体支出绩效情况</w:t>
      </w:r>
    </w:p>
    <w:p>
      <w:pPr>
        <w:pStyle w:val="BodyText"/>
        <w:spacing w:line="287" w:lineRule="auto"/>
        <w:rPr/>
      </w:pPr>
      <w:r/>
    </w:p>
    <w:p>
      <w:pPr>
        <w:ind w:left="1249"/>
        <w:spacing w:before="95" w:line="222" w:lineRule="auto"/>
        <w:outlineLvl w:val="2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20"/>
        </w:rPr>
        <w:t>(一)绩效评价结果</w:t>
      </w:r>
    </w:p>
    <w:p>
      <w:pPr>
        <w:pStyle w:val="BodyText"/>
        <w:spacing w:line="303" w:lineRule="auto"/>
        <w:rPr/>
      </w:pPr>
      <w:r/>
    </w:p>
    <w:p>
      <w:pPr>
        <w:ind w:left="144" w:right="276" w:firstLine="530"/>
        <w:spacing w:before="95" w:line="40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2024年度部门整体支出取得良好的成效，工作效率和效益得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以提高，全程监控财政拨入经费的使用情况，并与工作开展</w:t>
      </w:r>
      <w:r>
        <w:rPr>
          <w:rFonts w:ascii="FangSong" w:hAnsi="FangSong" w:eastAsia="FangSong" w:cs="FangSong"/>
          <w:sz w:val="29"/>
          <w:szCs w:val="29"/>
          <w:spacing w:val="7"/>
        </w:rPr>
        <w:t>相联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系，资金使用与工作执行进度相结合，不断优化资金支出结构，</w:t>
      </w:r>
    </w:p>
    <w:p>
      <w:pPr>
        <w:ind w:left="144" w:right="164"/>
        <w:spacing w:before="5" w:line="40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保障资金使用高效益，以达到了保运转，保民生，保安全，促均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衡的效果。年初制定的工作任务目标100%按时完成，各项工</w:t>
      </w:r>
      <w:r>
        <w:rPr>
          <w:rFonts w:ascii="FangSong" w:hAnsi="FangSong" w:eastAsia="FangSong" w:cs="FangSong"/>
          <w:sz w:val="29"/>
          <w:szCs w:val="29"/>
          <w:spacing w:val="11"/>
        </w:rPr>
        <w:t>作成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效显著,推动文化事业等各方面工作更好更快的发展，自评得分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96.85分。</w:t>
      </w:r>
    </w:p>
    <w:p>
      <w:pPr>
        <w:ind w:left="679"/>
        <w:spacing w:before="1" w:line="221" w:lineRule="auto"/>
        <w:outlineLvl w:val="2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17"/>
        </w:rPr>
        <w:t>(二)部门整体支出绩效完成情况</w:t>
      </w:r>
    </w:p>
    <w:p>
      <w:pPr>
        <w:spacing w:line="221" w:lineRule="auto"/>
        <w:sectPr>
          <w:footerReference w:type="default" r:id="rId5"/>
          <w:pgSz w:w="11900" w:h="16820"/>
          <w:pgMar w:top="1429" w:right="1326" w:bottom="1269" w:left="1785" w:header="0" w:footer="890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270" w:lineRule="auto"/>
        <w:rPr/>
      </w:pPr>
      <w:r/>
    </w:p>
    <w:p>
      <w:pPr>
        <w:ind w:left="994"/>
        <w:spacing w:before="94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5"/>
        </w:rPr>
        <w:t>(</w:t>
      </w:r>
      <w:r>
        <w:rPr>
          <w:rFonts w:ascii="FangSong" w:hAnsi="FangSong" w:eastAsia="FangSong" w:cs="FangSong"/>
          <w:sz w:val="29"/>
          <w:szCs w:val="29"/>
          <w:spacing w:val="-7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一)亮点工作</w:t>
      </w:r>
    </w:p>
    <w:p>
      <w:pPr>
        <w:ind w:left="74" w:right="110" w:firstLine="670"/>
        <w:spacing w:before="308" w:line="33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7"/>
        </w:rPr>
        <w:t>1.</w:t>
      </w:r>
      <w:r>
        <w:rPr>
          <w:rFonts w:ascii="FangSong" w:hAnsi="FangSong" w:eastAsia="FangSong" w:cs="FangSong"/>
          <w:sz w:val="29"/>
          <w:szCs w:val="29"/>
          <w:spacing w:val="7"/>
        </w:rPr>
        <w:t>资源建设成效显著。本年度，我们加强了图书、期刊、报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纸等文献资源的采集与整理，新增图书8万余册，期刊80余种，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报纸50余种，并引入了广阅有声数字资源库，极大地丰富了馆藏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资源，满足了读者的多样化需求。</w:t>
      </w:r>
    </w:p>
    <w:p>
      <w:pPr>
        <w:ind w:left="74" w:right="23" w:firstLine="670"/>
        <w:spacing w:before="268" w:line="33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9"/>
        </w:rPr>
        <w:t>2.</w:t>
      </w:r>
      <w:r>
        <w:rPr>
          <w:rFonts w:ascii="FangSong" w:hAnsi="FangSong" w:eastAsia="FangSong" w:cs="FangSong"/>
          <w:sz w:val="29"/>
          <w:szCs w:val="29"/>
          <w:spacing w:val="9"/>
        </w:rPr>
        <w:t>读者服务持续提升。我们始终坚持以读者为中心，不断优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化借阅流程，提供个性化服务。截止目前，今年累计流通人次达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1"/>
        </w:rPr>
        <w:t>到325846人，书刊借阅册次达到37142册，读者满意度高达99%。</w:t>
      </w:r>
    </w:p>
    <w:p>
      <w:pPr>
        <w:ind w:left="74" w:right="78" w:firstLine="670"/>
        <w:spacing w:before="261" w:line="35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4"/>
        </w:rPr>
        <w:t>3.</w:t>
      </w:r>
      <w:r>
        <w:rPr>
          <w:rFonts w:ascii="FangSong" w:hAnsi="FangSong" w:eastAsia="FangSong" w:cs="FangSong"/>
          <w:sz w:val="29"/>
          <w:szCs w:val="29"/>
          <w:spacing w:val="14"/>
        </w:rPr>
        <w:t>文化活动丰富多彩。本年度，我们成功</w:t>
      </w:r>
      <w:r>
        <w:rPr>
          <w:rFonts w:ascii="FangSong" w:hAnsi="FangSong" w:eastAsia="FangSong" w:cs="FangSong"/>
          <w:sz w:val="29"/>
          <w:szCs w:val="29"/>
          <w:spacing w:val="13"/>
        </w:rPr>
        <w:t>举办了132场涵盖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读书分享会、亲子故事会、文化讲座等丰富多</w:t>
      </w:r>
      <w:r>
        <w:rPr>
          <w:rFonts w:ascii="FangSong" w:hAnsi="FangSong" w:eastAsia="FangSong" w:cs="FangSong"/>
          <w:sz w:val="29"/>
          <w:szCs w:val="29"/>
          <w:spacing w:val="10"/>
        </w:rPr>
        <w:t>彩的文化活动，吸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引了超过30000人次参与，丰富了读者的文化生活，</w:t>
      </w:r>
      <w:r>
        <w:rPr>
          <w:rFonts w:ascii="FangSong" w:hAnsi="FangSong" w:eastAsia="FangSong" w:cs="FangSong"/>
          <w:sz w:val="29"/>
          <w:szCs w:val="29"/>
          <w:spacing w:val="14"/>
        </w:rPr>
        <w:t>促进了文化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4"/>
        </w:rPr>
        <w:t>交流与传承。</w:t>
      </w:r>
    </w:p>
    <w:p>
      <w:pPr>
        <w:ind w:left="74" w:firstLine="670"/>
        <w:spacing w:before="266" w:line="36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2"/>
        </w:rPr>
        <w:t>4.</w:t>
      </w:r>
      <w:r>
        <w:rPr>
          <w:rFonts w:ascii="FangSong" w:hAnsi="FangSong" w:eastAsia="FangSong" w:cs="FangSong"/>
          <w:sz w:val="29"/>
          <w:szCs w:val="29"/>
          <w:spacing w:val="12"/>
        </w:rPr>
        <w:t>城市书房稳步推进。我馆的城市书房项目</w:t>
      </w:r>
      <w:r>
        <w:rPr>
          <w:rFonts w:ascii="FangSong" w:hAnsi="FangSong" w:eastAsia="FangSong" w:cs="FangSong"/>
          <w:sz w:val="29"/>
          <w:szCs w:val="29"/>
          <w:spacing w:val="11"/>
        </w:rPr>
        <w:t>正按照计划有序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推进，其中天伦国际已试运行；长鑫社区、华能社</w:t>
      </w:r>
      <w:r>
        <w:rPr>
          <w:rFonts w:ascii="FangSong" w:hAnsi="FangSong" w:eastAsia="FangSong" w:cs="FangSong"/>
          <w:sz w:val="29"/>
          <w:szCs w:val="29"/>
          <w:spacing w:val="11"/>
        </w:rPr>
        <w:t>区、九华山社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区、洪家洲社区、洞庭南路的城市书房改造建设</w:t>
      </w:r>
      <w:r>
        <w:rPr>
          <w:rFonts w:ascii="FangSong" w:hAnsi="FangSong" w:eastAsia="FangSong" w:cs="FangSong"/>
          <w:sz w:val="29"/>
          <w:szCs w:val="29"/>
          <w:spacing w:val="10"/>
        </w:rPr>
        <w:t>已基本完成，正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在进行设备调试和图书上架。</w:t>
      </w:r>
    </w:p>
    <w:p>
      <w:pPr>
        <w:ind w:left="745"/>
        <w:spacing w:before="277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9"/>
        </w:rPr>
        <w:t>(二)首创工作</w:t>
      </w:r>
    </w:p>
    <w:p>
      <w:pPr>
        <w:ind w:left="74" w:right="4" w:firstLine="670"/>
        <w:spacing w:before="274" w:line="41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6"/>
        </w:rPr>
        <w:t>1.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“培训学院”提供教育服务。新时代社区工作者培训学院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在图书馆正式揭牌，并设立了“群英断是非”工作法研究中心。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截至目前，已成功举办了两期全市社区工作者专</w:t>
      </w:r>
      <w:r>
        <w:rPr>
          <w:rFonts w:ascii="FangSong" w:hAnsi="FangSong" w:eastAsia="FangSong" w:cs="FangSong"/>
          <w:sz w:val="29"/>
          <w:szCs w:val="29"/>
          <w:spacing w:val="11"/>
        </w:rPr>
        <w:t>题培训班，并组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</w:rPr>
        <w:t>织了多元化培训项目，累计惠及超过600名学员。</w:t>
      </w:r>
    </w:p>
    <w:p>
      <w:pPr>
        <w:spacing w:line="415" w:lineRule="auto"/>
        <w:sectPr>
          <w:footerReference w:type="default" r:id="rId6"/>
          <w:pgSz w:w="11900" w:h="16820"/>
          <w:pgMar w:top="1429" w:right="1511" w:bottom="1284" w:left="1785" w:header="0" w:footer="869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289" w:lineRule="auto"/>
        <w:rPr/>
      </w:pPr>
      <w:r/>
    </w:p>
    <w:p>
      <w:pPr>
        <w:ind w:left="79" w:right="159" w:firstLine="759"/>
        <w:spacing w:before="94" w:line="38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1"/>
        </w:rPr>
        <w:t>2.</w:t>
      </w:r>
      <w:r>
        <w:rPr>
          <w:rFonts w:ascii="FangSong" w:hAnsi="FangSong" w:eastAsia="FangSong" w:cs="FangSong"/>
          <w:sz w:val="29"/>
          <w:szCs w:val="29"/>
          <w:spacing w:val="-5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"/>
        </w:rPr>
        <w:t>“民族团结”主题宣传创新。我们创新性地设立了民族团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结进步宣传阵地，通过悬挂了56个民族代表的卡通人物图案、少</w:t>
      </w:r>
    </w:p>
    <w:p>
      <w:pPr>
        <w:ind w:left="79"/>
        <w:spacing w:line="21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"/>
        </w:rPr>
        <w:t>数民族分布图、民族团结进步宣传标语等方式，让读者在</w:t>
      </w:r>
      <w:r>
        <w:rPr>
          <w:rFonts w:ascii="FangSong" w:hAnsi="FangSong" w:eastAsia="FangSong" w:cs="FangSong"/>
          <w:sz w:val="29"/>
          <w:szCs w:val="29"/>
          <w:spacing w:val="2"/>
        </w:rPr>
        <w:t>享受阅</w:t>
      </w:r>
    </w:p>
    <w:p>
      <w:pPr>
        <w:ind w:left="79" w:right="48"/>
        <w:spacing w:before="255" w:line="38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"/>
        </w:rPr>
        <w:t>读的同时，也能感受到中华民族大家庭的温暖与和谐。这一举措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5"/>
        </w:rPr>
        <w:t>得到了广泛好评，成为我馆的一大亮点。同时，我馆特别设</w:t>
      </w:r>
      <w:r>
        <w:rPr>
          <w:rFonts w:ascii="FangSong" w:hAnsi="FangSong" w:eastAsia="FangSong" w:cs="FangSong"/>
          <w:sz w:val="29"/>
          <w:szCs w:val="29"/>
          <w:spacing w:val="4"/>
        </w:rPr>
        <w:t>置了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7"/>
        </w:rPr>
        <w:t>“特色书架”3处，摆放各民族的文学作品、民俗风情介绍、民族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政策等读物，为读者提供了解各民族文化的窗口，以</w:t>
      </w:r>
      <w:r>
        <w:rPr>
          <w:rFonts w:ascii="FangSong" w:hAnsi="FangSong" w:eastAsia="FangSong" w:cs="FangSong"/>
          <w:sz w:val="29"/>
          <w:szCs w:val="29"/>
          <w:spacing w:val="5"/>
        </w:rPr>
        <w:t>及更加丰富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-11"/>
        </w:rPr>
        <w:t>的阅读选择。</w:t>
      </w:r>
    </w:p>
    <w:p>
      <w:pPr>
        <w:ind w:left="79" w:right="50" w:firstLine="759"/>
        <w:spacing w:before="7" w:line="400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"/>
        </w:rPr>
        <w:t>3.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"/>
        </w:rPr>
        <w:t>“非遗传承”传承传统文化。推出国学讲堂，</w:t>
      </w:r>
      <w:r>
        <w:rPr>
          <w:rFonts w:ascii="FangSong" w:hAnsi="FangSong" w:eastAsia="FangSong" w:cs="FangSong"/>
          <w:sz w:val="29"/>
          <w:szCs w:val="29"/>
        </w:rPr>
        <w:t>参加人数达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600余人，通过邀请专家学者、文化名人讲述中国传统文化，让传</w:t>
      </w:r>
      <w:r>
        <w:rPr>
          <w:rFonts w:ascii="FangSong" w:hAnsi="FangSong" w:eastAsia="FangSong" w:cs="FangSong"/>
          <w:sz w:val="29"/>
          <w:szCs w:val="29"/>
          <w:spacing w:val="8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8"/>
        </w:rPr>
        <w:t>统文化以更加生动、直观的方式走进读者的生活。同时，与岳阳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市剪纸研究会建立合作机制，每月开展2场非遗传承剪纸艺术体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0"/>
        </w:rPr>
        <w:t>验活动，传承和弘扬剪纸艺术这一非物质文化遗产，使读</w:t>
      </w:r>
      <w:r>
        <w:rPr>
          <w:rFonts w:ascii="FangSong" w:hAnsi="FangSong" w:eastAsia="FangSong" w:cs="FangSong"/>
          <w:sz w:val="29"/>
          <w:szCs w:val="29"/>
          <w:spacing w:val="9"/>
        </w:rPr>
        <w:t>者在互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动交流中感知非遗文化的独特魅力与深厚底蕴。</w:t>
      </w:r>
    </w:p>
    <w:p>
      <w:pPr>
        <w:ind w:left="839"/>
        <w:spacing w:before="1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6"/>
        </w:rPr>
        <w:t>(三)市级以上重大奖励、荣誉称号</w:t>
      </w:r>
    </w:p>
    <w:p>
      <w:pPr>
        <w:spacing w:before="263" w:line="221" w:lineRule="auto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6"/>
        </w:rPr>
        <w:t>2024年1月15日获岳阳市红领巾电视</w:t>
      </w:r>
      <w:r>
        <w:rPr>
          <w:rFonts w:ascii="FangSong" w:hAnsi="FangSong" w:eastAsia="FangSong" w:cs="FangSong"/>
          <w:sz w:val="29"/>
          <w:szCs w:val="29"/>
          <w:spacing w:val="15"/>
        </w:rPr>
        <w:t>台新闻实践活动思想道</w:t>
      </w:r>
    </w:p>
    <w:p>
      <w:pPr>
        <w:ind w:left="79" w:right="32"/>
        <w:spacing w:before="290" w:line="409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5"/>
        </w:rPr>
        <w:t>德联建共育组织工作先进单位，2024年4月获岳阳市民族团结进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0"/>
        </w:rPr>
        <w:t>步示范单位等市级荣誉称号；2024年12月获2024年“我的家园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洞庭湖”丝路国家青少年国际摄影大展暨第</w:t>
      </w:r>
      <w:r>
        <w:rPr>
          <w:rFonts w:ascii="FangSong" w:hAnsi="FangSong" w:eastAsia="FangSong" w:cs="FangSong"/>
          <w:sz w:val="29"/>
          <w:szCs w:val="29"/>
          <w:spacing w:val="12"/>
        </w:rPr>
        <w:t>二届“书中故事我来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游”湖南省青少年研学摄影展览活动“最佳组织</w:t>
      </w:r>
      <w:r>
        <w:rPr>
          <w:rFonts w:ascii="FangSong" w:hAnsi="FangSong" w:eastAsia="FangSong" w:cs="FangSong"/>
          <w:sz w:val="29"/>
          <w:szCs w:val="29"/>
          <w:spacing w:val="12"/>
        </w:rPr>
        <w:t>奖”。岳阳楼区</w:t>
      </w:r>
    </w:p>
    <w:p>
      <w:pPr>
        <w:spacing w:line="409" w:lineRule="auto"/>
        <w:sectPr>
          <w:footerReference w:type="default" r:id="rId7"/>
          <w:pgSz w:w="11900" w:h="16820"/>
          <w:pgMar w:top="1429" w:right="1649" w:bottom="1299" w:left="1650" w:header="0" w:footer="922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319" w:lineRule="auto"/>
        <w:rPr/>
      </w:pPr>
      <w:r/>
    </w:p>
    <w:p>
      <w:pPr>
        <w:ind w:left="104" w:right="167"/>
        <w:spacing w:before="94" w:line="38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1"/>
        </w:rPr>
        <w:t>图书馆在中秋假期期间，上榜“全省图书馆当日客流</w:t>
      </w:r>
      <w:r>
        <w:rPr>
          <w:rFonts w:ascii="SimSun" w:hAnsi="SimSun" w:eastAsia="SimSun" w:cs="SimSun"/>
          <w:sz w:val="29"/>
          <w:szCs w:val="29"/>
          <w:spacing w:val="-1"/>
        </w:rPr>
        <w:t>T</w:t>
      </w:r>
      <w:r>
        <w:rPr>
          <w:rFonts w:ascii="SimSun" w:hAnsi="SimSun" w:eastAsia="SimSun" w:cs="SimSun"/>
          <w:sz w:val="29"/>
          <w:szCs w:val="29"/>
          <w:spacing w:val="-2"/>
        </w:rPr>
        <w:t>OP10”,</w:t>
      </w:r>
      <w:r>
        <w:rPr>
          <w:rFonts w:ascii="SimSun" w:hAnsi="SimSun" w:eastAsia="SimSun" w:cs="SimSun"/>
          <w:sz w:val="29"/>
          <w:szCs w:val="29"/>
          <w:spacing w:val="-2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"/>
        </w:rPr>
        <w:t>显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3"/>
        </w:rPr>
        <w:t>示了公共文化服务的强大实力。</w:t>
      </w:r>
    </w:p>
    <w:p>
      <w:pPr>
        <w:ind w:left="669"/>
        <w:spacing w:line="219" w:lineRule="auto"/>
        <w:outlineLvl w:val="2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18"/>
        </w:rPr>
        <w:t>七、存在的问题及原因分析</w:t>
      </w:r>
    </w:p>
    <w:p>
      <w:pPr>
        <w:ind w:left="104" w:right="99" w:firstLine="560"/>
        <w:spacing w:before="331" w:line="396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"/>
        </w:rPr>
        <w:t>一是绩效预算编制还有待进一步细化，预算编制不够明确和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细化，合理性需要提高。二是个别项目资金支付进度缓慢，未达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4"/>
        </w:rPr>
        <w:t>到资金预期目标。</w:t>
      </w:r>
    </w:p>
    <w:p>
      <w:pPr>
        <w:ind w:left="669"/>
        <w:spacing w:before="62" w:line="222" w:lineRule="auto"/>
        <w:outlineLvl w:val="2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</w:rPr>
        <w:t>八、下一步改进措施</w:t>
      </w:r>
    </w:p>
    <w:p>
      <w:pPr>
        <w:ind w:left="104" w:right="10" w:firstLine="560"/>
        <w:spacing w:before="311" w:line="401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6"/>
        </w:rPr>
        <w:t>一是加强年初预算编制的学习，不断增强业务人员的业务水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平。二是执行管理，根据工作开展情况合理调整支出进度。三是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加强预算编制的前期调查研究，进一步提升预算的科学性、合理</w:t>
      </w:r>
      <w:r>
        <w:rPr>
          <w:rFonts w:ascii="FangSong" w:hAnsi="FangSong" w:eastAsia="FangSong" w:cs="FangSong"/>
          <w:sz w:val="29"/>
          <w:szCs w:val="29"/>
          <w:spacing w:val="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4"/>
        </w:rPr>
        <w:t>性及实用性。</w:t>
      </w:r>
    </w:p>
    <w:p>
      <w:pPr>
        <w:ind w:left="669"/>
        <w:spacing w:before="158" w:line="222" w:lineRule="auto"/>
        <w:outlineLvl w:val="2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4"/>
        </w:rPr>
        <w:t>九、部门整体支出绩效自评结果拟应用和公</w:t>
      </w:r>
      <w:r>
        <w:rPr>
          <w:rFonts w:ascii="FangSong" w:hAnsi="FangSong" w:eastAsia="FangSong" w:cs="FangSong"/>
          <w:sz w:val="29"/>
          <w:szCs w:val="29"/>
          <w:b/>
          <w:bCs/>
          <w:spacing w:val="3"/>
        </w:rPr>
        <w:t>开情况</w:t>
      </w:r>
    </w:p>
    <w:p>
      <w:pPr>
        <w:pStyle w:val="BodyText"/>
        <w:spacing w:line="257" w:lineRule="auto"/>
        <w:rPr/>
      </w:pPr>
      <w:r/>
    </w:p>
    <w:p>
      <w:pPr>
        <w:ind w:left="24" w:firstLine="639"/>
        <w:spacing w:before="95" w:line="40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本单位将以结果为导向，健全绩效评估与绩效评价结果挂钩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机制，对绩效评价发现的问题，采取有力措</w:t>
      </w:r>
      <w:r>
        <w:rPr>
          <w:rFonts w:ascii="FangSong" w:hAnsi="FangSong" w:eastAsia="FangSong" w:cs="FangSong"/>
          <w:sz w:val="29"/>
          <w:szCs w:val="29"/>
          <w:spacing w:val="11"/>
        </w:rPr>
        <w:t>施绩效整改，并将绩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效评价结果作为年度绩效考核的依据，持续提高资金使用效益。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本报告将在岳阳楼区政府门户网站进行公示。</w:t>
      </w:r>
    </w:p>
    <w:p>
      <w:pPr>
        <w:ind w:left="604"/>
        <w:spacing w:before="95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8"/>
        </w:rPr>
        <w:t>其他需要说明的情况：无</w:t>
      </w:r>
    </w:p>
    <w:sectPr>
      <w:footerReference w:type="default" r:id="rId8"/>
      <w:pgSz w:w="11900" w:h="16820"/>
      <w:pgMar w:top="1429" w:right="1641" w:bottom="1259" w:left="1785" w:header="0" w:footer="88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84"/>
      <w:spacing w:before="1" w:line="235" w:lineRule="auto"/>
      <w:rPr>
        <w:rFonts w:ascii="SimSun" w:hAnsi="SimSun" w:eastAsia="SimSun" w:cs="SimSun"/>
        <w:sz w:val="35"/>
        <w:szCs w:val="35"/>
      </w:rPr>
    </w:pPr>
    <w:r>
      <w:rPr>
        <w:rFonts w:ascii="SimSun" w:hAnsi="SimSun" w:eastAsia="SimSun" w:cs="SimSun"/>
        <w:sz w:val="35"/>
        <w:szCs w:val="35"/>
        <w:spacing w:val="-4"/>
      </w:rPr>
      <w:t>—1—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5"/>
      <w:spacing w:before="1" w:line="234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58"/>
      <w:spacing w:line="174" w:lineRule="auto"/>
      <w:rPr>
        <w:rFonts w:ascii="Times New Roman" w:hAnsi="Times New Roman" w:eastAsia="Times New Roman" w:cs="Times New Roma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7"/>
      </w:rPr>
      <w:t>—</w:t>
    </w:r>
    <w:r>
      <w:rPr>
        <w:rFonts w:ascii="SimSun" w:hAnsi="SimSun" w:eastAsia="SimSun" w:cs="SimSun"/>
        <w:sz w:val="30"/>
        <w:szCs w:val="30"/>
        <w:spacing w:val="-30"/>
      </w:rPr>
      <w:t xml:space="preserve"> </w:t>
    </w:r>
    <w:r>
      <w:rPr>
        <w:rFonts w:ascii="Times New Roman" w:hAnsi="Times New Roman" w:eastAsia="Times New Roman" w:cs="Times New Roman"/>
        <w:sz w:val="30"/>
        <w:szCs w:val="30"/>
        <w:spacing w:val="-7"/>
      </w:rPr>
      <w:t>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44"/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25"/>
      <w:spacing w:before="1" w:line="23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4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64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—7—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2025-09-19T09:55:26Z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2025-09-19T09:55:26</vt:filetime>
  </property>
  <property fmtid="{D5CDD505-2E9C-101B-9397-08002B2CF9AE}" pid="4" name="UsrData">
    <vt:lpwstr>68ccb80ab74642001ff41446wl</vt:lpwstr>
  </property>
</Properties>
</file>