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19"/>
        <w:spacing w:before="133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2"/>
        </w:rPr>
        <w:t>附件5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3171" w:right="623" w:hanging="2360"/>
        <w:spacing w:before="136" w:line="260" w:lineRule="auto"/>
        <w:rPr>
          <w:rFonts w:ascii="SimHei" w:hAnsi="SimHei" w:eastAsia="SimHei" w:cs="SimHei"/>
          <w:sz w:val="42"/>
          <w:szCs w:val="42"/>
        </w:rPr>
      </w:pPr>
      <w:r>
        <w:rPr>
          <w:rFonts w:ascii="SimHei" w:hAnsi="SimHei" w:eastAsia="SimHei" w:cs="SimHei"/>
          <w:sz w:val="42"/>
          <w:szCs w:val="42"/>
          <w:b/>
          <w:bCs/>
          <w:spacing w:val="3"/>
        </w:rPr>
        <w:t>2024年度岳阳楼区文化馆单位整体支出</w:t>
      </w:r>
      <w:r>
        <w:rPr>
          <w:rFonts w:ascii="SimHei" w:hAnsi="SimHei" w:eastAsia="SimHei" w:cs="SimHei"/>
          <w:sz w:val="42"/>
          <w:szCs w:val="42"/>
          <w:spacing w:val="16"/>
        </w:rPr>
        <w:t xml:space="preserve"> </w:t>
      </w:r>
      <w:r>
        <w:rPr>
          <w:rFonts w:ascii="SimHei" w:hAnsi="SimHei" w:eastAsia="SimHei" w:cs="SimHei"/>
          <w:sz w:val="42"/>
          <w:szCs w:val="42"/>
          <w:b/>
          <w:bCs/>
          <w:spacing w:val="-7"/>
        </w:rPr>
        <w:t>绩效自评报告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995"/>
        <w:spacing w:before="104" w:line="224" w:lineRule="auto"/>
        <w:rPr>
          <w:rFonts w:ascii="KaiTi" w:hAnsi="KaiTi" w:eastAsia="KaiTi" w:cs="KaiTi"/>
          <w:sz w:val="32"/>
          <w:szCs w:val="3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2778147</wp:posOffset>
            </wp:positionH>
            <wp:positionV relativeFrom="paragraph">
              <wp:posOffset>-745470</wp:posOffset>
            </wp:positionV>
            <wp:extent cx="1530342" cy="152402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0342" cy="1524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" w:hAnsi="KaiTi" w:eastAsia="KaiTi" w:cs="KaiTi"/>
          <w:sz w:val="32"/>
          <w:szCs w:val="32"/>
          <w:spacing w:val="1"/>
        </w:rPr>
        <w:t>部门(单位)名称：</w:t>
      </w:r>
      <w:r>
        <w:rPr>
          <w:rFonts w:ascii="KaiTi" w:hAnsi="KaiTi" w:eastAsia="KaiTi" w:cs="KaiTi"/>
          <w:sz w:val="32"/>
          <w:szCs w:val="32"/>
          <w:spacing w:val="1"/>
        </w:rPr>
        <w:t xml:space="preserve"> </w:t>
      </w:r>
      <w:r>
        <w:rPr>
          <w:rFonts w:ascii="KaiTi" w:hAnsi="KaiTi" w:eastAsia="KaiTi" w:cs="KaiTi"/>
          <w:sz w:val="32"/>
          <w:szCs w:val="32"/>
          <w:u w:val="single" w:color="auto"/>
          <w:spacing w:val="1"/>
        </w:rPr>
        <w:t>岳</w:t>
      </w:r>
      <w:r>
        <w:rPr>
          <w:rFonts w:ascii="KaiTi" w:hAnsi="KaiTi" w:eastAsia="KaiTi" w:cs="KaiTi"/>
          <w:sz w:val="32"/>
          <w:szCs w:val="32"/>
          <w:u w:val="single" w:color="auto"/>
          <w:spacing w:val="1"/>
        </w:rPr>
        <w:t xml:space="preserve"> </w:t>
      </w:r>
      <w:r>
        <w:rPr>
          <w:rFonts w:ascii="KaiTi" w:hAnsi="KaiTi" w:eastAsia="KaiTi" w:cs="KaiTi"/>
          <w:sz w:val="32"/>
          <w:szCs w:val="32"/>
          <w:u w:val="single" w:color="auto"/>
          <w:spacing w:val="1"/>
        </w:rPr>
        <w:t>阳</w:t>
      </w:r>
      <w:r>
        <w:rPr>
          <w:rFonts w:ascii="KaiTi" w:hAnsi="KaiTi" w:eastAsia="KaiTi" w:cs="KaiTi"/>
          <w:sz w:val="32"/>
          <w:szCs w:val="32"/>
          <w:u w:val="single" w:color="auto"/>
          <w:spacing w:val="1"/>
        </w:rPr>
        <w:t xml:space="preserve"> </w:t>
      </w:r>
      <w:r>
        <w:rPr>
          <w:rFonts w:ascii="KaiTi" w:hAnsi="KaiTi" w:eastAsia="KaiTi" w:cs="KaiTi"/>
          <w:sz w:val="32"/>
          <w:szCs w:val="32"/>
          <w:u w:val="single" w:color="auto"/>
          <w:spacing w:val="1"/>
        </w:rPr>
        <w:t>楼</w:t>
      </w:r>
      <w:r>
        <w:rPr>
          <w:rFonts w:ascii="KaiTi" w:hAnsi="KaiTi" w:eastAsia="KaiTi" w:cs="KaiTi"/>
          <w:sz w:val="32"/>
          <w:szCs w:val="32"/>
          <w:u w:val="single" w:color="auto"/>
          <w:spacing w:val="54"/>
        </w:rPr>
        <w:t xml:space="preserve"> </w:t>
      </w:r>
      <w:r>
        <w:rPr>
          <w:rFonts w:ascii="KaiTi" w:hAnsi="KaiTi" w:eastAsia="KaiTi" w:cs="KaiTi"/>
          <w:sz w:val="32"/>
          <w:szCs w:val="32"/>
          <w:u w:val="single" w:color="auto"/>
          <w:spacing w:val="1"/>
        </w:rPr>
        <w:t>区</w:t>
      </w:r>
      <w:r>
        <w:rPr>
          <w:rFonts w:ascii="KaiTi" w:hAnsi="KaiTi" w:eastAsia="KaiTi" w:cs="KaiTi"/>
          <w:sz w:val="32"/>
          <w:szCs w:val="32"/>
          <w:u w:val="single" w:color="auto"/>
          <w:spacing w:val="1"/>
        </w:rPr>
        <w:t xml:space="preserve"> </w:t>
      </w:r>
      <w:r>
        <w:rPr>
          <w:rFonts w:ascii="KaiTi" w:hAnsi="KaiTi" w:eastAsia="KaiTi" w:cs="KaiTi"/>
          <w:sz w:val="32"/>
          <w:szCs w:val="32"/>
          <w:u w:val="single" w:color="auto"/>
          <w:spacing w:val="1"/>
        </w:rPr>
        <w:t>文</w:t>
      </w:r>
      <w:r>
        <w:rPr>
          <w:rFonts w:ascii="KaiTi" w:hAnsi="KaiTi" w:eastAsia="KaiTi" w:cs="KaiTi"/>
          <w:sz w:val="32"/>
          <w:szCs w:val="32"/>
          <w:u w:val="single" w:color="auto"/>
          <w:spacing w:val="1"/>
        </w:rPr>
        <w:t xml:space="preserve"> </w:t>
      </w:r>
      <w:r>
        <w:rPr>
          <w:rFonts w:ascii="KaiTi" w:hAnsi="KaiTi" w:eastAsia="KaiTi" w:cs="KaiTi"/>
          <w:sz w:val="32"/>
          <w:szCs w:val="32"/>
          <w:u w:val="single" w:color="auto"/>
          <w:spacing w:val="1"/>
        </w:rPr>
        <w:t>化</w:t>
      </w:r>
      <w:r>
        <w:rPr>
          <w:rFonts w:ascii="KaiTi" w:hAnsi="KaiTi" w:eastAsia="KaiTi" w:cs="KaiTi"/>
          <w:sz w:val="32"/>
          <w:szCs w:val="32"/>
          <w:u w:val="single" w:color="auto"/>
          <w:spacing w:val="1"/>
        </w:rPr>
        <w:t xml:space="preserve"> </w:t>
      </w:r>
      <w:r>
        <w:rPr>
          <w:rFonts w:ascii="KaiTi" w:hAnsi="KaiTi" w:eastAsia="KaiTi" w:cs="KaiTi"/>
          <w:sz w:val="32"/>
          <w:szCs w:val="32"/>
          <w:u w:val="single" w:color="auto"/>
          <w:spacing w:val="1"/>
        </w:rPr>
        <w:t>馆</w:t>
      </w:r>
      <w:r>
        <w:rPr>
          <w:rFonts w:ascii="KaiTi" w:hAnsi="KaiTi" w:eastAsia="KaiTi" w:cs="KaiTi"/>
          <w:sz w:val="32"/>
          <w:szCs w:val="32"/>
          <w:u w:val="single" w:color="auto"/>
          <w:spacing w:val="1"/>
        </w:rPr>
        <w:t xml:space="preserve">  </w:t>
      </w:r>
    </w:p>
    <w:p>
      <w:pPr>
        <w:pStyle w:val="BodyText"/>
        <w:spacing w:line="257" w:lineRule="auto"/>
        <w:rPr/>
      </w:pPr>
      <w:r/>
    </w:p>
    <w:p>
      <w:pPr>
        <w:ind w:left="3258"/>
        <w:spacing w:before="88" w:line="225" w:lineRule="auto"/>
        <w:rPr>
          <w:rFonts w:ascii="KaiTi" w:hAnsi="KaiTi" w:eastAsia="KaiTi" w:cs="KaiTi"/>
          <w:sz w:val="27"/>
          <w:szCs w:val="27"/>
        </w:rPr>
      </w:pPr>
      <w:r>
        <w:rPr>
          <w:rFonts w:ascii="KaiTi" w:hAnsi="KaiTi" w:eastAsia="KaiTi" w:cs="KaiTi"/>
          <w:sz w:val="27"/>
          <w:szCs w:val="27"/>
          <w:b/>
          <w:bCs/>
          <w:spacing w:val="-12"/>
        </w:rPr>
        <w:t>2</w:t>
      </w:r>
      <w:r>
        <w:rPr>
          <w:rFonts w:ascii="KaiTi" w:hAnsi="KaiTi" w:eastAsia="KaiTi" w:cs="KaiTi"/>
          <w:sz w:val="27"/>
          <w:szCs w:val="27"/>
          <w:spacing w:val="-20"/>
        </w:rPr>
        <w:t xml:space="preserve"> </w:t>
      </w:r>
      <w:r>
        <w:rPr>
          <w:rFonts w:ascii="KaiTi" w:hAnsi="KaiTi" w:eastAsia="KaiTi" w:cs="KaiTi"/>
          <w:sz w:val="27"/>
          <w:szCs w:val="27"/>
          <w:b/>
          <w:bCs/>
          <w:spacing w:val="-12"/>
        </w:rPr>
        <w:t>0</w:t>
      </w:r>
      <w:r>
        <w:rPr>
          <w:rFonts w:ascii="KaiTi" w:hAnsi="KaiTi" w:eastAsia="KaiTi" w:cs="KaiTi"/>
          <w:sz w:val="27"/>
          <w:szCs w:val="27"/>
          <w:spacing w:val="-25"/>
        </w:rPr>
        <w:t xml:space="preserve"> </w:t>
      </w:r>
      <w:r>
        <w:rPr>
          <w:rFonts w:ascii="KaiTi" w:hAnsi="KaiTi" w:eastAsia="KaiTi" w:cs="KaiTi"/>
          <w:sz w:val="27"/>
          <w:szCs w:val="27"/>
          <w:b/>
          <w:bCs/>
          <w:spacing w:val="-12"/>
        </w:rPr>
        <w:t>2</w:t>
      </w:r>
      <w:r>
        <w:rPr>
          <w:rFonts w:ascii="KaiTi" w:hAnsi="KaiTi" w:eastAsia="KaiTi" w:cs="KaiTi"/>
          <w:sz w:val="27"/>
          <w:szCs w:val="27"/>
          <w:spacing w:val="-30"/>
        </w:rPr>
        <w:t xml:space="preserve"> </w:t>
      </w:r>
      <w:r>
        <w:rPr>
          <w:rFonts w:ascii="KaiTi" w:hAnsi="KaiTi" w:eastAsia="KaiTi" w:cs="KaiTi"/>
          <w:sz w:val="27"/>
          <w:szCs w:val="27"/>
          <w:b/>
          <w:bCs/>
          <w:spacing w:val="-12"/>
        </w:rPr>
        <w:t>5</w:t>
      </w:r>
      <w:r>
        <w:rPr>
          <w:rFonts w:ascii="KaiTi" w:hAnsi="KaiTi" w:eastAsia="KaiTi" w:cs="KaiTi"/>
          <w:sz w:val="27"/>
          <w:szCs w:val="27"/>
          <w:spacing w:val="-22"/>
        </w:rPr>
        <w:t xml:space="preserve"> </w:t>
      </w:r>
      <w:r>
        <w:rPr>
          <w:rFonts w:ascii="KaiTi" w:hAnsi="KaiTi" w:eastAsia="KaiTi" w:cs="KaiTi"/>
          <w:sz w:val="27"/>
          <w:szCs w:val="27"/>
          <w:b/>
          <w:bCs/>
          <w:spacing w:val="-12"/>
        </w:rPr>
        <w:t>年</w:t>
      </w:r>
      <w:r>
        <w:rPr>
          <w:rFonts w:ascii="KaiTi" w:hAnsi="KaiTi" w:eastAsia="KaiTi" w:cs="KaiTi"/>
          <w:sz w:val="27"/>
          <w:szCs w:val="27"/>
          <w:spacing w:val="-24"/>
        </w:rPr>
        <w:t xml:space="preserve"> </w:t>
      </w:r>
      <w:r>
        <w:rPr>
          <w:rFonts w:ascii="KaiTi" w:hAnsi="KaiTi" w:eastAsia="KaiTi" w:cs="KaiTi"/>
          <w:sz w:val="27"/>
          <w:szCs w:val="27"/>
          <w:b/>
          <w:bCs/>
          <w:spacing w:val="-12"/>
        </w:rPr>
        <w:t>6</w:t>
      </w:r>
      <w:r>
        <w:rPr>
          <w:rFonts w:ascii="KaiTi" w:hAnsi="KaiTi" w:eastAsia="KaiTi" w:cs="KaiTi"/>
          <w:sz w:val="27"/>
          <w:szCs w:val="27"/>
          <w:spacing w:val="-12"/>
        </w:rPr>
        <w:t xml:space="preserve"> </w:t>
      </w:r>
      <w:r>
        <w:rPr>
          <w:rFonts w:ascii="KaiTi" w:hAnsi="KaiTi" w:eastAsia="KaiTi" w:cs="KaiTi"/>
          <w:sz w:val="27"/>
          <w:szCs w:val="27"/>
          <w:b/>
          <w:bCs/>
          <w:spacing w:val="-12"/>
        </w:rPr>
        <w:t>月</w:t>
      </w:r>
      <w:r>
        <w:rPr>
          <w:rFonts w:ascii="KaiTi" w:hAnsi="KaiTi" w:eastAsia="KaiTi" w:cs="KaiTi"/>
          <w:sz w:val="27"/>
          <w:szCs w:val="27"/>
          <w:spacing w:val="-25"/>
        </w:rPr>
        <w:t xml:space="preserve"> </w:t>
      </w:r>
      <w:r>
        <w:rPr>
          <w:rFonts w:ascii="KaiTi" w:hAnsi="KaiTi" w:eastAsia="KaiTi" w:cs="KaiTi"/>
          <w:sz w:val="27"/>
          <w:szCs w:val="27"/>
          <w:b/>
          <w:bCs/>
          <w:spacing w:val="-12"/>
        </w:rPr>
        <w:t>2</w:t>
      </w:r>
      <w:r>
        <w:rPr>
          <w:rFonts w:ascii="KaiTi" w:hAnsi="KaiTi" w:eastAsia="KaiTi" w:cs="KaiTi"/>
          <w:sz w:val="27"/>
          <w:szCs w:val="27"/>
          <w:spacing w:val="-30"/>
        </w:rPr>
        <w:t xml:space="preserve"> </w:t>
      </w:r>
      <w:r>
        <w:rPr>
          <w:rFonts w:ascii="KaiTi" w:hAnsi="KaiTi" w:eastAsia="KaiTi" w:cs="KaiTi"/>
          <w:sz w:val="27"/>
          <w:szCs w:val="27"/>
          <w:b/>
          <w:bCs/>
          <w:spacing w:val="-12"/>
        </w:rPr>
        <w:t>5</w:t>
      </w:r>
      <w:r>
        <w:rPr>
          <w:rFonts w:ascii="KaiTi" w:hAnsi="KaiTi" w:eastAsia="KaiTi" w:cs="KaiTi"/>
          <w:sz w:val="27"/>
          <w:szCs w:val="27"/>
          <w:spacing w:val="68"/>
        </w:rPr>
        <w:t xml:space="preserve"> </w:t>
      </w:r>
      <w:r>
        <w:rPr>
          <w:rFonts w:ascii="KaiTi" w:hAnsi="KaiTi" w:eastAsia="KaiTi" w:cs="KaiTi"/>
          <w:sz w:val="27"/>
          <w:szCs w:val="27"/>
          <w:b/>
          <w:bCs/>
          <w:spacing w:val="-12"/>
        </w:rPr>
        <w:t>日</w:t>
      </w:r>
    </w:p>
    <w:p>
      <w:pPr>
        <w:pStyle w:val="BodyText"/>
        <w:spacing w:line="303" w:lineRule="auto"/>
        <w:rPr/>
      </w:pPr>
      <w:r/>
    </w:p>
    <w:p>
      <w:pPr>
        <w:ind w:left="3495"/>
        <w:spacing w:before="104" w:line="2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3"/>
        </w:rPr>
        <w:t>(此页为封面)</w:t>
      </w:r>
    </w:p>
    <w:p>
      <w:pPr>
        <w:spacing w:line="224" w:lineRule="auto"/>
        <w:sectPr>
          <w:footerReference w:type="default" r:id="rId1"/>
          <w:pgSz w:w="11900" w:h="16820"/>
          <w:pgMar w:top="1429" w:right="1382" w:bottom="1434" w:left="1785" w:header="0" w:footer="1017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3" w:lineRule="auto"/>
        <w:rPr/>
      </w:pPr>
      <w:r/>
    </w:p>
    <w:p>
      <w:pPr>
        <w:ind w:left="1928" w:right="902" w:hanging="739"/>
        <w:spacing w:before="140" w:line="279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8"/>
        </w:rPr>
        <w:t>2024年度岳阳楼区岳阳楼区文化馆</w:t>
      </w:r>
      <w:r>
        <w:rPr>
          <w:rFonts w:ascii="SimHei" w:hAnsi="SimHei" w:eastAsia="SimHei" w:cs="SimHei"/>
          <w:sz w:val="43"/>
          <w:szCs w:val="43"/>
          <w:spacing w:val="12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-2"/>
        </w:rPr>
        <w:t>单位整体支出绩效自评报告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067"/>
        <w:spacing w:before="94" w:line="222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14"/>
        </w:rPr>
        <w:t>一</w:t>
      </w:r>
      <w:r>
        <w:rPr>
          <w:rFonts w:ascii="SimHei" w:hAnsi="SimHei" w:eastAsia="SimHei" w:cs="SimHei"/>
          <w:sz w:val="29"/>
          <w:szCs w:val="29"/>
          <w:spacing w:val="-60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14"/>
        </w:rPr>
        <w:t>、单位基本情况</w:t>
      </w:r>
    </w:p>
    <w:p>
      <w:pPr>
        <w:ind w:left="1147"/>
        <w:spacing w:before="227" w:line="222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10"/>
        </w:rPr>
        <w:t>(</w:t>
      </w:r>
      <w:r>
        <w:rPr>
          <w:rFonts w:ascii="FangSong" w:hAnsi="FangSong" w:eastAsia="FangSong" w:cs="FangSong"/>
          <w:sz w:val="29"/>
          <w:szCs w:val="29"/>
          <w:spacing w:val="-70"/>
        </w:rPr>
        <w:t xml:space="preserve"> </w:t>
      </w:r>
      <w:r>
        <w:rPr>
          <w:rFonts w:ascii="FangSong" w:hAnsi="FangSong" w:eastAsia="FangSong" w:cs="FangSong"/>
          <w:sz w:val="29"/>
          <w:szCs w:val="29"/>
          <w:b/>
          <w:bCs/>
          <w:spacing w:val="10"/>
        </w:rPr>
        <w:t>一</w:t>
      </w:r>
      <w:r>
        <w:rPr>
          <w:rFonts w:ascii="FangSong" w:hAnsi="FangSong" w:eastAsia="FangSong" w:cs="FangSong"/>
          <w:sz w:val="29"/>
          <w:szCs w:val="29"/>
          <w:spacing w:val="-85"/>
        </w:rPr>
        <w:t xml:space="preserve"> </w:t>
      </w:r>
      <w:r>
        <w:rPr>
          <w:rFonts w:ascii="FangSong" w:hAnsi="FangSong" w:eastAsia="FangSong" w:cs="FangSong"/>
          <w:sz w:val="29"/>
          <w:szCs w:val="29"/>
          <w:b/>
          <w:bCs/>
          <w:spacing w:val="10"/>
        </w:rPr>
        <w:t>)职能职责</w:t>
      </w:r>
    </w:p>
    <w:p>
      <w:pPr>
        <w:ind w:left="1413"/>
        <w:spacing w:before="274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4"/>
        </w:rPr>
        <w:t>1、</w:t>
      </w:r>
      <w:r>
        <w:rPr>
          <w:rFonts w:ascii="FangSong" w:hAnsi="FangSong" w:eastAsia="FangSong" w:cs="FangSong"/>
          <w:sz w:val="29"/>
          <w:szCs w:val="29"/>
          <w:spacing w:val="4"/>
        </w:rPr>
        <w:t>拟订群众文化工作发展规划。</w:t>
      </w:r>
    </w:p>
    <w:p>
      <w:pPr>
        <w:pStyle w:val="BodyText"/>
        <w:spacing w:line="258" w:lineRule="auto"/>
        <w:rPr/>
      </w:pPr>
      <w:r/>
    </w:p>
    <w:p>
      <w:pPr>
        <w:ind w:left="1413"/>
        <w:spacing w:before="94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4"/>
        </w:rPr>
        <w:t>2、</w:t>
      </w:r>
      <w:r>
        <w:rPr>
          <w:rFonts w:ascii="FangSong" w:hAnsi="FangSong" w:eastAsia="FangSong" w:cs="FangSong"/>
          <w:sz w:val="29"/>
          <w:szCs w:val="29"/>
          <w:spacing w:val="4"/>
        </w:rPr>
        <w:t>指导基层文化工作。</w:t>
      </w:r>
    </w:p>
    <w:p>
      <w:pPr>
        <w:pStyle w:val="BodyText"/>
        <w:spacing w:line="301" w:lineRule="auto"/>
        <w:rPr/>
      </w:pPr>
      <w:r/>
    </w:p>
    <w:p>
      <w:pPr>
        <w:ind w:left="1413"/>
        <w:spacing w:before="95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7"/>
        </w:rPr>
        <w:t>3、</w:t>
      </w:r>
      <w:r>
        <w:rPr>
          <w:rFonts w:ascii="FangSong" w:hAnsi="FangSong" w:eastAsia="FangSong" w:cs="FangSong"/>
          <w:sz w:val="29"/>
          <w:szCs w:val="29"/>
          <w:spacing w:val="7"/>
        </w:rPr>
        <w:t>承办区级广场文化活动和区级大型文化活动。</w:t>
      </w:r>
    </w:p>
    <w:p>
      <w:pPr>
        <w:pStyle w:val="BodyText"/>
        <w:spacing w:line="291" w:lineRule="auto"/>
        <w:rPr/>
      </w:pPr>
      <w:r/>
    </w:p>
    <w:p>
      <w:pPr>
        <w:ind w:left="1413"/>
        <w:spacing w:before="94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8"/>
        </w:rPr>
        <w:t>4、</w:t>
      </w:r>
      <w:r>
        <w:rPr>
          <w:rFonts w:ascii="FangSong" w:hAnsi="FangSong" w:eastAsia="FangSong" w:cs="FangSong"/>
          <w:sz w:val="29"/>
          <w:szCs w:val="29"/>
          <w:spacing w:val="8"/>
        </w:rPr>
        <w:t>辅导群众业余文艺创作和文化艺术、娱乐活动。</w:t>
      </w:r>
    </w:p>
    <w:p>
      <w:pPr>
        <w:pStyle w:val="BodyText"/>
        <w:spacing w:line="278" w:lineRule="auto"/>
        <w:rPr/>
      </w:pPr>
      <w:r/>
    </w:p>
    <w:p>
      <w:pPr>
        <w:ind w:left="1413"/>
        <w:spacing w:before="95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7"/>
        </w:rPr>
        <w:t>5、</w:t>
      </w:r>
      <w:r>
        <w:rPr>
          <w:rFonts w:ascii="FangSong" w:hAnsi="FangSong" w:eastAsia="FangSong" w:cs="FangSong"/>
          <w:sz w:val="29"/>
          <w:szCs w:val="29"/>
          <w:spacing w:val="7"/>
        </w:rPr>
        <w:t>组团组队参加国家和省市级指令性文艺活动性比赛。</w:t>
      </w:r>
    </w:p>
    <w:p>
      <w:pPr>
        <w:pStyle w:val="BodyText"/>
        <w:spacing w:line="279" w:lineRule="auto"/>
        <w:rPr/>
      </w:pPr>
      <w:r/>
    </w:p>
    <w:p>
      <w:pPr>
        <w:ind w:left="832" w:right="95" w:firstLine="580"/>
        <w:spacing w:before="95" w:line="34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6"/>
        </w:rPr>
        <w:t>6、</w:t>
      </w:r>
      <w:r>
        <w:rPr>
          <w:rFonts w:ascii="FangSong" w:hAnsi="FangSong" w:eastAsia="FangSong" w:cs="FangSong"/>
          <w:sz w:val="29"/>
          <w:szCs w:val="29"/>
          <w:spacing w:val="6"/>
        </w:rPr>
        <w:t>收集、整理民族、民间文化艺术以遗产；发展非物质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文化遗产的培训、传承、普及、推广工作；收藏美术精品、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向群众进行审美教育、组织学术研究、开展国际文化交流。</w:t>
      </w:r>
    </w:p>
    <w:p>
      <w:pPr>
        <w:pStyle w:val="BodyText"/>
        <w:spacing w:line="305" w:lineRule="auto"/>
        <w:rPr/>
      </w:pPr>
      <w:r/>
    </w:p>
    <w:p>
      <w:pPr>
        <w:ind w:left="1587"/>
        <w:spacing w:before="94" w:line="222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28"/>
        </w:rPr>
        <w:t>(二)机构设置</w:t>
      </w:r>
    </w:p>
    <w:p>
      <w:pPr>
        <w:ind w:left="832" w:firstLine="640"/>
        <w:spacing w:before="331" w:line="388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内设机构设置。本单位是全额拨款事业单位，本单位内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设机构包括：办公室、群文室。核定全额拨</w:t>
      </w:r>
      <w:r>
        <w:rPr>
          <w:rFonts w:ascii="FangSong" w:hAnsi="FangSong" w:eastAsia="FangSong" w:cs="FangSong"/>
          <w:sz w:val="29"/>
          <w:szCs w:val="29"/>
          <w:spacing w:val="3"/>
        </w:rPr>
        <w:t>款事业编制16名，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其中正股级领导职数1名，副股级领导职数2名。现有人数</w:t>
      </w:r>
      <w:r>
        <w:rPr>
          <w:rFonts w:ascii="FangSong" w:hAnsi="FangSong" w:eastAsia="FangSong" w:cs="FangSong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25人，其中：在职编制15人；离退休13人。</w:t>
      </w:r>
    </w:p>
    <w:p>
      <w:pPr>
        <w:ind w:left="1047"/>
        <w:spacing w:before="132" w:line="221" w:lineRule="auto"/>
        <w:outlineLvl w:val="2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"/>
        </w:rPr>
        <w:t>二</w:t>
      </w:r>
      <w:r>
        <w:rPr>
          <w:rFonts w:ascii="SimHei" w:hAnsi="SimHei" w:eastAsia="SimHei" w:cs="SimHei"/>
          <w:sz w:val="29"/>
          <w:szCs w:val="29"/>
          <w:spacing w:val="-68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"/>
        </w:rPr>
        <w:t>、一般公共预算支出情况</w:t>
      </w:r>
    </w:p>
    <w:p>
      <w:pPr>
        <w:spacing w:line="221" w:lineRule="auto"/>
        <w:sectPr>
          <w:footerReference w:type="default" r:id="rId3"/>
          <w:pgSz w:w="12180" w:h="17020"/>
          <w:pgMar w:top="1446" w:right="1585" w:bottom="1319" w:left="1827" w:header="0" w:footer="940" w:gutter="0"/>
        </w:sectPr>
        <w:rPr>
          <w:rFonts w:ascii="SimHei" w:hAnsi="SimHei" w:eastAsia="SimHei" w:cs="SimHei"/>
          <w:sz w:val="29"/>
          <w:szCs w:val="29"/>
        </w:rPr>
      </w:pPr>
    </w:p>
    <w:p>
      <w:pPr>
        <w:ind w:left="841" w:right="40" w:firstLine="570"/>
        <w:spacing w:before="303" w:line="40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2024年我单位一般公共预算支出368.60万元，其中：基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8"/>
        </w:rPr>
        <w:t>本支出246.17万元，项目支出122.43万元；</w:t>
      </w:r>
    </w:p>
    <w:p>
      <w:pPr>
        <w:ind w:left="1586"/>
        <w:spacing w:before="70" w:line="222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2"/>
        </w:rPr>
        <w:t>(一)基本支出情况</w:t>
      </w:r>
    </w:p>
    <w:p>
      <w:pPr>
        <w:pStyle w:val="BodyText"/>
        <w:spacing w:line="257" w:lineRule="auto"/>
        <w:rPr/>
      </w:pPr>
      <w:r/>
    </w:p>
    <w:p>
      <w:pPr>
        <w:ind w:left="841" w:firstLine="570"/>
        <w:spacing w:before="97" w:line="382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2024年基本支出246.17万元，其中人员经费222.2</w:t>
      </w:r>
      <w:r>
        <w:rPr>
          <w:rFonts w:ascii="FangSong" w:hAnsi="FangSong" w:eastAsia="FangSong" w:cs="FangSong"/>
          <w:sz w:val="30"/>
          <w:szCs w:val="30"/>
          <w:spacing w:val="11"/>
        </w:rPr>
        <w:t>1万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元，主要包括基本工资、绩效补贴、奖金、伙食补助费、机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关事业单位基本养老保险缴费、职工基本医疗保险缴费、公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务员医疗补助缴费、其他社会保障缴费、住房公积金、其他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工资福利支出、其他对个人和家庭的补助；公用经费23.96</w:t>
      </w:r>
      <w:r>
        <w:rPr>
          <w:rFonts w:ascii="FangSong" w:hAnsi="FangSong" w:eastAsia="FangSong" w:cs="FangSong"/>
          <w:sz w:val="30"/>
          <w:szCs w:val="30"/>
          <w:spacing w:val="9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万元，主要包括办公费、印刷费、水费、电费、邮电费、劳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务费、维修(护)费、租赁费、公务接待费、工会经费、其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他交通费用、其他商品和服务支出。本年度工资福利支</w:t>
      </w:r>
      <w:r>
        <w:rPr>
          <w:rFonts w:ascii="FangSong" w:hAnsi="FangSong" w:eastAsia="FangSong" w:cs="FangSong"/>
          <w:sz w:val="30"/>
          <w:szCs w:val="30"/>
          <w:spacing w:val="1"/>
        </w:rPr>
        <w:t>出严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格按照要求进行工资统发或规定的标准发放，不</w:t>
      </w:r>
      <w:r>
        <w:rPr>
          <w:rFonts w:ascii="FangSong" w:hAnsi="FangSong" w:eastAsia="FangSong" w:cs="FangSong"/>
          <w:sz w:val="30"/>
          <w:szCs w:val="30"/>
          <w:spacing w:val="1"/>
        </w:rPr>
        <w:t>存在多发福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3"/>
        </w:rPr>
        <w:t>利现象，三公经费总支出控制较好超未预算。</w:t>
      </w:r>
    </w:p>
    <w:p>
      <w:pPr>
        <w:ind w:left="1596"/>
        <w:spacing w:before="175" w:line="222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7"/>
        </w:rPr>
        <w:t>(二)项目支出情况</w:t>
      </w:r>
    </w:p>
    <w:p>
      <w:pPr>
        <w:ind w:left="841" w:right="37" w:firstLine="570"/>
        <w:spacing w:before="304" w:line="375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本单位严格规范专项资金管理，保障资金安全、高效运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行，发挥资金使用效益，对专项资金要定期或不定期进行督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查，确保项目资金专款专用。2024年项目资金支出122.43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6"/>
        </w:rPr>
        <w:t>万元。1.业务工作经费支出57.74万元；2.免费开放项目支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9"/>
        </w:rPr>
        <w:t>出35.19万元；非遗保护支出29.50万元。</w:t>
      </w:r>
    </w:p>
    <w:p>
      <w:pPr>
        <w:ind w:left="1416"/>
        <w:spacing w:before="164" w:line="220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4"/>
        </w:rPr>
        <w:t>三、政府性基金预算支出情况</w:t>
      </w:r>
    </w:p>
    <w:p>
      <w:pPr>
        <w:ind w:left="1411"/>
        <w:spacing w:before="327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无政府性基金预算支出情况。</w:t>
      </w:r>
    </w:p>
    <w:p>
      <w:pPr>
        <w:spacing w:line="220" w:lineRule="auto"/>
        <w:sectPr>
          <w:footerReference w:type="default" r:id="rId4"/>
          <w:pgSz w:w="12120" w:h="16970"/>
          <w:pgMar w:top="1442" w:right="1578" w:bottom="1347" w:left="1818" w:header="0" w:footer="958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1438"/>
        <w:spacing w:before="267" w:line="222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14"/>
        </w:rPr>
        <w:t>四</w:t>
      </w:r>
      <w:r>
        <w:rPr>
          <w:rFonts w:ascii="FangSong" w:hAnsi="FangSong" w:eastAsia="FangSong" w:cs="FangSong"/>
          <w:sz w:val="30"/>
          <w:szCs w:val="30"/>
          <w:spacing w:val="-59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14"/>
        </w:rPr>
        <w:t>、国有资本经营预算支出情况</w:t>
      </w:r>
    </w:p>
    <w:p>
      <w:pPr>
        <w:pStyle w:val="BodyText"/>
        <w:spacing w:line="284" w:lineRule="auto"/>
        <w:rPr/>
      </w:pPr>
      <w:r/>
    </w:p>
    <w:p>
      <w:pPr>
        <w:ind w:left="1434"/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无国有资本经营预算支出情况</w:t>
      </w:r>
    </w:p>
    <w:p>
      <w:pPr>
        <w:pStyle w:val="BodyText"/>
        <w:spacing w:line="274" w:lineRule="auto"/>
        <w:rPr/>
      </w:pPr>
      <w:r/>
    </w:p>
    <w:p>
      <w:pPr>
        <w:ind w:left="1438"/>
        <w:spacing w:before="98" w:line="221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6"/>
        </w:rPr>
        <w:t>五、社会保险基金预算支出情况</w:t>
      </w:r>
    </w:p>
    <w:p>
      <w:pPr>
        <w:pStyle w:val="BodyText"/>
        <w:spacing w:line="286" w:lineRule="auto"/>
        <w:rPr/>
      </w:pPr>
      <w:r/>
    </w:p>
    <w:p>
      <w:pPr>
        <w:ind w:left="1434"/>
        <w:spacing w:before="97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无社会保险基金预算支出情况</w:t>
      </w:r>
    </w:p>
    <w:p>
      <w:pPr>
        <w:pStyle w:val="BodyText"/>
        <w:spacing w:line="258" w:lineRule="auto"/>
        <w:rPr/>
      </w:pPr>
      <w:r/>
    </w:p>
    <w:p>
      <w:pPr>
        <w:ind w:left="1328"/>
        <w:spacing w:before="98" w:line="222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8"/>
        </w:rPr>
        <w:t>六</w:t>
      </w:r>
      <w:r>
        <w:rPr>
          <w:rFonts w:ascii="FangSong" w:hAnsi="FangSong" w:eastAsia="FangSong" w:cs="FangSong"/>
          <w:sz w:val="30"/>
          <w:szCs w:val="30"/>
          <w:spacing w:val="-69"/>
        </w:rPr>
        <w:t xml:space="preserve"> </w:t>
      </w:r>
      <w:r>
        <w:rPr>
          <w:rFonts w:ascii="FangSong" w:hAnsi="FangSong" w:eastAsia="FangSong" w:cs="FangSong"/>
          <w:sz w:val="30"/>
          <w:szCs w:val="30"/>
          <w:b/>
          <w:bCs/>
          <w:spacing w:val="-8"/>
        </w:rPr>
        <w:t>、部门整体支出绩效情况</w:t>
      </w:r>
    </w:p>
    <w:p>
      <w:pPr>
        <w:pStyle w:val="BodyText"/>
        <w:spacing w:line="272" w:lineRule="auto"/>
        <w:rPr/>
      </w:pPr>
      <w:r/>
    </w:p>
    <w:p>
      <w:pPr>
        <w:ind w:left="1438"/>
        <w:spacing w:before="98" w:line="222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16"/>
        </w:rPr>
        <w:t>(一)绩效评价结果</w:t>
      </w:r>
    </w:p>
    <w:p>
      <w:pPr>
        <w:pStyle w:val="BodyText"/>
        <w:spacing w:line="264" w:lineRule="auto"/>
        <w:rPr/>
      </w:pPr>
      <w:r/>
    </w:p>
    <w:p>
      <w:pPr>
        <w:ind w:left="854" w:right="27" w:firstLine="580"/>
        <w:spacing w:before="97" w:line="388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2024年度部门整体支出取得良好的成效，工作效率和效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益得以提高，全程监控财政拨入经费的使用</w:t>
      </w:r>
      <w:r>
        <w:rPr>
          <w:rFonts w:ascii="FangSong" w:hAnsi="FangSong" w:eastAsia="FangSong" w:cs="FangSong"/>
          <w:sz w:val="30"/>
          <w:szCs w:val="30"/>
          <w:spacing w:val="1"/>
        </w:rPr>
        <w:t>情况，并与工作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开展相联系，资金使用与工作执行进度相结合，不断优</w:t>
      </w:r>
      <w:r>
        <w:rPr>
          <w:rFonts w:ascii="FangSong" w:hAnsi="FangSong" w:eastAsia="FangSong" w:cs="FangSong"/>
          <w:sz w:val="30"/>
          <w:szCs w:val="30"/>
          <w:spacing w:val="1"/>
        </w:rPr>
        <w:t>化资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金支出结构，保障资金使用高效益，以达到了保运</w:t>
      </w:r>
      <w:r>
        <w:rPr>
          <w:rFonts w:ascii="FangSong" w:hAnsi="FangSong" w:eastAsia="FangSong" w:cs="FangSong"/>
          <w:sz w:val="30"/>
          <w:szCs w:val="30"/>
          <w:spacing w:val="1"/>
        </w:rPr>
        <w:t>转，保民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生，保安全，促均衡的效果。年初制定的工作任务目标100%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7"/>
        </w:rPr>
        <w:t>按时完成，各项工作成效显著,推动文化事业等各方面工作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5"/>
        </w:rPr>
        <w:t>更好更快的发展，自评得分96.97分。</w:t>
      </w:r>
    </w:p>
    <w:p>
      <w:pPr>
        <w:ind w:left="1188"/>
        <w:spacing w:before="71" w:line="222" w:lineRule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9"/>
        </w:rPr>
        <w:t>(二)部门整体支出绩效完成情况</w:t>
      </w:r>
    </w:p>
    <w:p>
      <w:pPr>
        <w:pStyle w:val="BodyText"/>
        <w:spacing w:line="342" w:lineRule="auto"/>
        <w:rPr/>
      </w:pPr>
      <w:r/>
    </w:p>
    <w:p>
      <w:pPr>
        <w:ind w:left="624"/>
        <w:spacing w:before="97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1"/>
        </w:rPr>
        <w:t>1、</w:t>
      </w:r>
      <w:r>
        <w:rPr>
          <w:rFonts w:ascii="SimSun" w:hAnsi="SimSun" w:eastAsia="SimSun" w:cs="SimSun"/>
          <w:sz w:val="30"/>
          <w:szCs w:val="30"/>
          <w:spacing w:val="-7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1"/>
        </w:rPr>
        <w:t>全民艺术普及工作出成效</w:t>
      </w:r>
    </w:p>
    <w:p>
      <w:pPr>
        <w:ind w:left="454" w:firstLine="639"/>
        <w:spacing w:before="152" w:line="33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8"/>
        </w:rPr>
        <w:t>今年，我馆致力于推行全民艺术普及，秉着“带动一群</w:t>
      </w:r>
      <w:r>
        <w:rPr>
          <w:rFonts w:ascii="FangSong" w:hAnsi="FangSong" w:eastAsia="FangSong" w:cs="FangSong"/>
          <w:sz w:val="30"/>
          <w:szCs w:val="30"/>
          <w:spacing w:val="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人，文化一座城”的理念，借助我馆群众艺术大课堂平台，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8"/>
        </w:rPr>
        <w:t>创新公共文化服务内容、形式和手段，把全民艺术普及与当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前重点工作紧密结合，拓展服务领域，满足各阶层群众的文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化需求。除馆内常设的免费演出、展览、培训、讲座等公益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2"/>
        </w:rPr>
        <w:t>服务项目，6大艺术门类17个班的常规艺术培训，现服务人</w:t>
      </w:r>
    </w:p>
    <w:p>
      <w:pPr>
        <w:spacing w:line="339" w:lineRule="auto"/>
        <w:sectPr>
          <w:footerReference w:type="default" r:id="rId5"/>
          <w:pgSz w:w="12170" w:h="17010"/>
          <w:pgMar w:top="1445" w:right="1611" w:bottom="1377" w:left="1825" w:header="0" w:footer="986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404" w:right="51"/>
        <w:spacing w:before="323" w:line="336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次近万人。为完善文化艺术服务群体，我馆文化志愿者</w:t>
      </w:r>
      <w:r>
        <w:rPr>
          <w:rFonts w:ascii="FangSong" w:hAnsi="FangSong" w:eastAsia="FangSong" w:cs="FangSong"/>
          <w:sz w:val="31"/>
          <w:szCs w:val="31"/>
          <w:spacing w:val="8"/>
        </w:rPr>
        <w:t>们前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往岳阳市岳阳楼小学进行“阳光排舞”进校园活动、岳阳市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第十八中“文化公益课堂”公益培训进校园、岳</w:t>
      </w:r>
      <w:r>
        <w:rPr>
          <w:rFonts w:ascii="FangSong" w:hAnsi="FangSong" w:eastAsia="FangSong" w:cs="FangSong"/>
          <w:sz w:val="31"/>
          <w:szCs w:val="31"/>
          <w:spacing w:val="7"/>
        </w:rPr>
        <w:t>阳楼区九华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山小学开展了非遗讲学等文化志愿服务活动、岳阳市四中进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行“送美育进校园”美术公益写生活动等等。</w:t>
      </w:r>
    </w:p>
    <w:p>
      <w:pPr>
        <w:ind w:left="90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2、</w:t>
      </w:r>
      <w:r>
        <w:rPr>
          <w:rFonts w:ascii="FangSong" w:hAnsi="FangSong" w:eastAsia="FangSong" w:cs="FangSong"/>
          <w:sz w:val="31"/>
          <w:szCs w:val="31"/>
          <w:spacing w:val="8"/>
        </w:rPr>
        <w:t>群众文化活动深受群众喜爱</w:t>
      </w:r>
    </w:p>
    <w:p>
      <w:pPr>
        <w:ind w:left="404" w:right="47" w:firstLine="679"/>
        <w:spacing w:before="2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我馆按照市区的要求，结合我区实际，围绕当前中心工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作和文化主题，开展了丰富多彩的文艺演出活动</w:t>
      </w:r>
      <w:r>
        <w:rPr>
          <w:rFonts w:ascii="FangSong" w:hAnsi="FangSong" w:eastAsia="FangSong" w:cs="FangSong"/>
          <w:sz w:val="31"/>
          <w:szCs w:val="31"/>
          <w:spacing w:val="7"/>
        </w:rPr>
        <w:t>。在岳阳楼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街道、望岳路街道、城陵矶街道、郭镇乡等地</w:t>
      </w:r>
      <w:r>
        <w:rPr>
          <w:rFonts w:ascii="FangSong" w:hAnsi="FangSong" w:eastAsia="FangSong" w:cs="FangSong"/>
          <w:sz w:val="31"/>
          <w:szCs w:val="31"/>
          <w:spacing w:val="7"/>
        </w:rPr>
        <w:t>，目前开展了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20场“送戏下乡”活动，深受群众喜爱。2024年岳阳楼区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“到群众最需要的地方去”文旅志愿服务、学雷锋月系</w:t>
      </w:r>
      <w:r>
        <w:rPr>
          <w:rFonts w:ascii="FangSong" w:hAnsi="FangSong" w:eastAsia="FangSong" w:cs="FangSong"/>
          <w:sz w:val="31"/>
          <w:szCs w:val="31"/>
          <w:spacing w:val="8"/>
        </w:rPr>
        <w:t>列活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动、2024年度岳阳楼区“湖南公共文化进村入户</w:t>
      </w:r>
      <w:r>
        <w:rPr>
          <w:rFonts w:ascii="FangSong" w:hAnsi="FangSong" w:eastAsia="FangSong" w:cs="FangSong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·</w:t>
      </w:r>
      <w:r>
        <w:rPr>
          <w:rFonts w:ascii="FangSong" w:hAnsi="FangSong" w:eastAsia="FangSong" w:cs="FangSong"/>
          <w:sz w:val="31"/>
          <w:szCs w:val="31"/>
          <w:spacing w:val="-1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戏曲进乡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村”文化惠民演出、“我们的中国梦-文化进万家”志愿服务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活动以及“带动一群人，文化一座城”岳阳楼区文化馆</w:t>
      </w:r>
      <w:r>
        <w:rPr>
          <w:rFonts w:ascii="FangSong" w:hAnsi="FangSong" w:eastAsia="FangSong" w:cs="FangSong"/>
          <w:sz w:val="31"/>
          <w:szCs w:val="31"/>
          <w:spacing w:val="7"/>
        </w:rPr>
        <w:t>2024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年度公益文化艺术培训主题系列活动让市民们</w:t>
      </w:r>
      <w:r>
        <w:rPr>
          <w:rFonts w:ascii="FangSong" w:hAnsi="FangSong" w:eastAsia="FangSong" w:cs="FangSong"/>
          <w:sz w:val="31"/>
          <w:szCs w:val="31"/>
          <w:spacing w:val="21"/>
        </w:rPr>
        <w:t>在家附近就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能享受高质量的文化服务。</w:t>
      </w:r>
    </w:p>
    <w:p>
      <w:pPr>
        <w:ind w:left="924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3、</w:t>
      </w:r>
      <w:r>
        <w:rPr>
          <w:rFonts w:ascii="FangSong" w:hAnsi="FangSong" w:eastAsia="FangSong" w:cs="FangSong"/>
          <w:sz w:val="31"/>
          <w:szCs w:val="31"/>
          <w:spacing w:val="8"/>
        </w:rPr>
        <w:t>非遗保护工作再上新台阶</w:t>
      </w:r>
    </w:p>
    <w:p>
      <w:pPr>
        <w:ind w:left="784" w:firstLine="320"/>
        <w:spacing w:before="169" w:line="32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2"/>
        </w:rPr>
        <w:t>岳阳楼区非物质文化遗产保护中心认真贯彻落实非遗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保护的各项法规政策，坚持保护为主、合理利用、传承发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展的工作方针，进一步强化保护主体责任，以创新推进传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承与传播为目标。完成了洞庭南路历史文化</w:t>
      </w:r>
      <w:r>
        <w:rPr>
          <w:rFonts w:ascii="FangSong" w:hAnsi="FangSong" w:eastAsia="FangSong" w:cs="FangSong"/>
          <w:sz w:val="31"/>
          <w:szCs w:val="31"/>
          <w:spacing w:val="6"/>
        </w:rPr>
        <w:t>街区岳阳楼区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非遗馆的建设布置工作；“洞庭渔歌论文汇编”编辑</w:t>
      </w:r>
      <w:r>
        <w:rPr>
          <w:rFonts w:ascii="FangSong" w:hAnsi="FangSong" w:eastAsia="FangSong" w:cs="FangSong"/>
          <w:sz w:val="31"/>
          <w:szCs w:val="31"/>
          <w:spacing w:val="6"/>
        </w:rPr>
        <w:t>出版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工作；第二届“渔歌起洞庭”渔歌会演出活动；2024年度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非遗进校园、非遗进社区活动；2024年</w:t>
      </w:r>
      <w:r>
        <w:rPr>
          <w:rFonts w:ascii="FangSong" w:hAnsi="FangSong" w:eastAsia="FangSong" w:cs="FangSong"/>
          <w:sz w:val="31"/>
          <w:szCs w:val="31"/>
          <w:spacing w:val="7"/>
        </w:rPr>
        <w:t>度各项非遗公益培</w:t>
      </w:r>
    </w:p>
    <w:p>
      <w:pPr>
        <w:spacing w:line="328" w:lineRule="auto"/>
        <w:sectPr>
          <w:footerReference w:type="default" r:id="rId6"/>
          <w:pgSz w:w="12170" w:h="17010"/>
          <w:pgMar w:top="1445" w:right="1595" w:bottom="1346" w:left="1825" w:header="0" w:footer="94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535" w:right="161"/>
        <w:spacing w:before="192" w:line="325" w:lineRule="auto"/>
        <w:jc w:val="both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训活动。组织参加了2024年中国旅游日湖南省主会</w:t>
      </w:r>
      <w:r>
        <w:rPr>
          <w:rFonts w:ascii="FangSong" w:hAnsi="FangSong" w:eastAsia="FangSong" w:cs="FangSong"/>
          <w:sz w:val="31"/>
          <w:szCs w:val="31"/>
          <w:spacing w:val="11"/>
        </w:rPr>
        <w:t>场宣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传参展活动；《洞庭号子》2024年长江流域劳动号子邀请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展演活动；全国“我们的节日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·</w:t>
      </w:r>
      <w:r>
        <w:rPr>
          <w:rFonts w:ascii="FangSong" w:hAnsi="FangSong" w:eastAsia="FangSong" w:cs="FangSong"/>
          <w:sz w:val="31"/>
          <w:szCs w:val="31"/>
          <w:spacing w:val="-1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端午”主题文化活动主场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之端午非遗专题展示展演活动；2024岳阳市非遗进校园成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果展活动。编创了洞庭渔歌节目《菱角弯呀弯》《再唱洞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庭鱼米乡》参加第八届湖南省艺术节比赛活动</w:t>
      </w:r>
      <w:r>
        <w:rPr>
          <w:rFonts w:ascii="FangSong" w:hAnsi="FangSong" w:eastAsia="FangSong" w:cs="FangSong"/>
          <w:sz w:val="31"/>
          <w:szCs w:val="31"/>
          <w:spacing w:val="2"/>
        </w:rPr>
        <w:t>。还组织非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遗保护项目参加“洞庭渔火季”、“岳阳楼日”展示展演活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26"/>
        </w:rPr>
        <w:t>动等工作。</w:t>
      </w:r>
    </w:p>
    <w:p>
      <w:pPr>
        <w:ind w:left="1095"/>
        <w:spacing w:before="5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4、</w:t>
      </w:r>
      <w:r>
        <w:rPr>
          <w:rFonts w:ascii="FangSong" w:hAnsi="FangSong" w:eastAsia="FangSong" w:cs="FangSong"/>
          <w:sz w:val="31"/>
          <w:szCs w:val="31"/>
          <w:spacing w:val="6"/>
        </w:rPr>
        <w:t>艺术创作方面百花齐放</w:t>
      </w:r>
    </w:p>
    <w:p>
      <w:pPr>
        <w:ind w:left="535" w:firstLine="899"/>
        <w:spacing w:before="158" w:line="334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打造的原创节目《再唱洞庭鱼米乡》和表演唱《菱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角弯呀弯》获得第八届湖南艺术节群众文化活动作品类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“三湘群星奖”优秀奖和最佳奖；合唱《梦中的额吉》和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《在希望的田野上》参加“欢乐潇湘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·</w:t>
      </w:r>
      <w:r>
        <w:rPr>
          <w:rFonts w:ascii="FangSong" w:hAnsi="FangSong" w:eastAsia="FangSong" w:cs="FangSong"/>
          <w:sz w:val="31"/>
          <w:szCs w:val="31"/>
          <w:spacing w:val="-1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歌唱祖</w:t>
      </w:r>
      <w:r>
        <w:rPr>
          <w:rFonts w:ascii="FangSong" w:hAnsi="FangSong" w:eastAsia="FangSong" w:cs="FangSong"/>
          <w:sz w:val="31"/>
          <w:szCs w:val="31"/>
          <w:spacing w:val="1"/>
        </w:rPr>
        <w:t>国”庆祝中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华人民共和国75周年岳阳市大型群众合唱展演活</w:t>
      </w:r>
      <w:r>
        <w:rPr>
          <w:rFonts w:ascii="FangSong" w:hAnsi="FangSong" w:eastAsia="FangSong" w:cs="FangSong"/>
          <w:sz w:val="31"/>
          <w:szCs w:val="31"/>
          <w:spacing w:val="17"/>
        </w:rPr>
        <w:t>动，并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获得优秀展演奖；《菱角弯呀弯》作为特邀节目参加由文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化和旅游部全国公共文化发展中心举办的2024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年中国文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化馆协会全国地市级文化馆“百馆联动”暨“暖城鄂尔多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斯”文旅嘉年华活动；在湖南省澧县举办的“2024年长江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流域劳动号子交流暨展演”活动中表演的《洞庭渔歌》荣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获文化交流最佳表演奖。</w:t>
      </w:r>
    </w:p>
    <w:p>
      <w:pPr>
        <w:ind w:left="380" w:right="2" w:firstLine="524"/>
        <w:spacing w:before="4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由湖南省文化和旅游厅主办、湖南省文化馆承办的湖南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省第六届文化(群艺)馆(站)业务技能竞赛，张雯美术作品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《微丽酒芳尘》荣获展览艺术类一等奖；柳一川美术作品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《乡间公路》参加荣获展览艺术类二等奖；樊文胜美</w:t>
      </w:r>
      <w:r>
        <w:rPr>
          <w:rFonts w:ascii="FangSong" w:hAnsi="FangSong" w:eastAsia="FangSong" w:cs="FangSong"/>
          <w:sz w:val="31"/>
          <w:szCs w:val="31"/>
          <w:spacing w:val="8"/>
        </w:rPr>
        <w:t>术作</w:t>
      </w:r>
    </w:p>
    <w:p>
      <w:pPr>
        <w:spacing w:line="345" w:lineRule="auto"/>
        <w:sectPr>
          <w:footerReference w:type="default" r:id="rId7"/>
          <w:pgSz w:w="11900" w:h="16820"/>
          <w:pgMar w:top="1429" w:right="1596" w:bottom="1266" w:left="1785" w:header="0" w:footer="86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84" w:right="63"/>
        <w:spacing w:before="130" w:line="342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品《渔获季节之三》荣获展览艺术类一等奖；李翔摄影作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品《江海寄余生》荣获展览艺术类一等奖；覃双歌伴舞《大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</w:rPr>
        <w:t>湖之南》荣获舞台艺术类竞赛三等奖。吴媚平获得</w:t>
      </w:r>
      <w:r>
        <w:rPr>
          <w:rFonts w:ascii="FangSong" w:hAnsi="FangSong" w:eastAsia="FangSong" w:cs="FangSong"/>
          <w:sz w:val="29"/>
          <w:szCs w:val="29"/>
          <w:spacing w:val="18"/>
        </w:rPr>
        <w:t>第八届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</w:rPr>
        <w:t>湖南艺术节“三湘群文之星”荣誉称号。柳一川创作的油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画作品《物语》,获第八届湖南艺术节专业艺术类齐白石</w:t>
      </w:r>
      <w:r>
        <w:rPr>
          <w:rFonts w:ascii="FangSong" w:hAnsi="FangSong" w:eastAsia="FangSong" w:cs="FangSong"/>
          <w:sz w:val="29"/>
          <w:szCs w:val="29"/>
          <w:spacing w:val="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0"/>
        </w:rPr>
        <w:t>艺术奖。张雯作品《云影》入选第十四届全国美术作品展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览中国画展。</w:t>
      </w:r>
    </w:p>
    <w:p>
      <w:pPr>
        <w:ind w:left="919"/>
        <w:spacing w:line="219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1"/>
        </w:rPr>
        <w:t>七、存在的问题及原因分析</w:t>
      </w:r>
    </w:p>
    <w:p>
      <w:pPr>
        <w:pStyle w:val="BodyText"/>
        <w:spacing w:line="278" w:lineRule="auto"/>
        <w:rPr/>
      </w:pPr>
      <w:r/>
    </w:p>
    <w:p>
      <w:pPr>
        <w:ind w:left="175" w:right="78" w:firstLine="739"/>
        <w:spacing w:before="94" w:line="39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"/>
        </w:rPr>
        <w:t>一是绩效预算编制还有待进一步细化。二是个别项目资金支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付进度缓慢，未达到资金预期目标。</w:t>
      </w:r>
    </w:p>
    <w:p>
      <w:pPr>
        <w:ind w:left="689"/>
        <w:spacing w:before="82" w:line="222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2"/>
        </w:rPr>
        <w:t>八、下一步改进措施</w:t>
      </w:r>
    </w:p>
    <w:p>
      <w:pPr>
        <w:pStyle w:val="BodyText"/>
        <w:spacing w:line="287" w:lineRule="auto"/>
        <w:rPr/>
      </w:pPr>
      <w:r/>
    </w:p>
    <w:p>
      <w:pPr>
        <w:ind w:left="175" w:right="35" w:firstLine="739"/>
        <w:spacing w:before="94" w:line="407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</w:rPr>
        <w:t>一是加强年初预算编制的学习，不断增强业务人员的业务水</w:t>
      </w:r>
      <w:r>
        <w:rPr>
          <w:rFonts w:ascii="FangSong" w:hAnsi="FangSong" w:eastAsia="FangSong" w:cs="FangSong"/>
          <w:sz w:val="29"/>
          <w:szCs w:val="29"/>
          <w:spacing w:val="1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平。二是执行管理，根据工作开展情况合理</w:t>
      </w:r>
      <w:r>
        <w:rPr>
          <w:rFonts w:ascii="FangSong" w:hAnsi="FangSong" w:eastAsia="FangSong" w:cs="FangSong"/>
          <w:sz w:val="29"/>
          <w:szCs w:val="29"/>
          <w:spacing w:val="1"/>
        </w:rPr>
        <w:t>调整支出进度。三是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"/>
        </w:rPr>
        <w:t>加强预算编制的前期调查研究，进一步提升预算的科学性、合理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</w:rPr>
        <w:t>性及实用性。</w:t>
      </w:r>
    </w:p>
    <w:p>
      <w:pPr>
        <w:ind w:left="689"/>
        <w:spacing w:before="128" w:line="222" w:lineRule="auto"/>
        <w:outlineLvl w:val="2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4"/>
        </w:rPr>
        <w:t>九、部门整体支出绩效自评结果拟应用和公开情况</w:t>
      </w:r>
    </w:p>
    <w:p>
      <w:pPr>
        <w:pStyle w:val="BodyText"/>
        <w:spacing w:line="267" w:lineRule="auto"/>
        <w:rPr/>
      </w:pPr>
      <w:r/>
    </w:p>
    <w:p>
      <w:pPr>
        <w:ind w:left="175" w:firstLine="509"/>
        <w:spacing w:before="95" w:line="407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5"/>
        </w:rPr>
        <w:t>本单位将以结果为导向，健全绩效评估与绩效评</w:t>
      </w:r>
      <w:r>
        <w:rPr>
          <w:rFonts w:ascii="FangSong" w:hAnsi="FangSong" w:eastAsia="FangSong" w:cs="FangSong"/>
          <w:sz w:val="29"/>
          <w:szCs w:val="29"/>
          <w:spacing w:val="4"/>
        </w:rPr>
        <w:t>价结果挂钩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4"/>
        </w:rPr>
        <w:t>机制，对绩效评价发现的问题，采取有力措施绩效整改，并将绩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效评价结果作为年度绩效考核的依据，持续提高资金使用效益。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本报告将在岳阳楼区政府门户网站进行公示。</w:t>
      </w:r>
    </w:p>
    <w:p>
      <w:pPr>
        <w:ind w:left="684"/>
        <w:spacing w:before="125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其他需要说明的情况：无</w:t>
      </w:r>
    </w:p>
    <w:sectPr>
      <w:footerReference w:type="default" r:id="rId8"/>
      <w:pgSz w:w="11900" w:h="16820"/>
      <w:pgMar w:top="1429" w:right="1605" w:bottom="1239" w:left="1785" w:header="0" w:footer="86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5" w:lineRule="auto"/>
      <w:jc w:val="right"/>
      <w:rPr>
        <w:rFonts w:ascii="SimSun" w:hAnsi="SimSun" w:eastAsia="SimSun" w:cs="SimSun"/>
        <w:sz w:val="32"/>
        <w:szCs w:val="32"/>
      </w:rPr>
    </w:pPr>
    <w:r>
      <w:rPr>
        <w:rFonts w:ascii="SimSun" w:hAnsi="SimSun" w:eastAsia="SimSun" w:cs="SimSun"/>
        <w:sz w:val="32"/>
        <w:szCs w:val="32"/>
        <w:spacing w:val="-17"/>
      </w:rPr>
      <w:t>—</w:t>
    </w:r>
    <w:r>
      <w:rPr>
        <w:rFonts w:ascii="SimSun" w:hAnsi="SimSun" w:eastAsia="SimSun" w:cs="SimSun"/>
        <w:sz w:val="32"/>
        <w:szCs w:val="32"/>
        <w:spacing w:val="-16"/>
      </w:rPr>
      <w:t>1</w:t>
    </w:r>
    <w:r>
      <w:rPr>
        <w:rFonts w:ascii="SimSun" w:hAnsi="SimSun" w:eastAsia="SimSun" w:cs="SimSun"/>
        <w:sz w:val="32"/>
        <w:szCs w:val="32"/>
        <w:spacing w:val="59"/>
      </w:rPr>
      <w:t xml:space="preserve"> </w:t>
    </w:r>
    <w:r>
      <w:rPr>
        <w:rFonts w:ascii="SimSun" w:hAnsi="SimSun" w:eastAsia="SimSun" w:cs="SimSun"/>
        <w:sz w:val="32"/>
        <w:szCs w:val="32"/>
        <w:spacing w:val="-9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"/>
      <w:spacing w:line="234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31"/>
      <w:spacing w:line="23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4"/>
      <w:spacing w:before="1" w:line="234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54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4"/>
      <w:spacing w:line="233" w:lineRule="auto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4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84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—7—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2025-09-19T09:52:57Z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2025-09-19T09:52:58</vt:filetime>
  </property>
  <property fmtid="{D5CDD505-2E9C-101B-9397-08002B2CF9AE}" pid="4" name="UsrData">
    <vt:lpwstr>68ccb7742ad49d001f5ea4bdwl</vt:lpwstr>
  </property>
</Properties>
</file>