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right"/>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pPr>
        <w:spacing w:line="115" w:lineRule="exact"/>
        <w:rPr>
          <w:color w:val="000000" w:themeColor="text1"/>
          <w14:textFill>
            <w14:solidFill>
              <w14:schemeClr w14:val="tx1"/>
            </w14:solidFill>
          </w14:textFill>
        </w:rPr>
      </w:pPr>
    </w:p>
    <w:tbl>
      <w:tblPr>
        <w:tblStyle w:val="9"/>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noWrap w:val="0"/>
            <w:vAlign w:val="top"/>
          </w:tcPr>
          <w:p>
            <w:pPr>
              <w:spacing w:before="103" w:line="219" w:lineRule="auto"/>
              <w:ind w:left="708"/>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岳阳市外国语学校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noWrap w:val="0"/>
            <w:vAlign w:val="top"/>
          </w:tcPr>
          <w:p>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noWrap w:val="0"/>
            <w:vAlign w:val="top"/>
          </w:tcPr>
          <w:p>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noWrap w:val="0"/>
            <w:vAlign w:val="top"/>
          </w:tcPr>
          <w:p>
            <w:pPr>
              <w:spacing w:before="103" w:line="219" w:lineRule="auto"/>
              <w:ind w:left="70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218（含退休）</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165</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noWrap w:val="0"/>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noWrap w:val="0"/>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noWrap w:val="0"/>
            <w:vAlign w:val="top"/>
          </w:tcPr>
          <w:p>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91" w:line="219" w:lineRule="auto"/>
              <w:ind w:left="142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pPr>
              <w:spacing w:before="81" w:line="220" w:lineRule="auto"/>
              <w:ind w:left="38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94.28</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375.56</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3" w:line="200" w:lineRule="auto"/>
              <w:ind w:left="384"/>
              <w:jc w:val="left"/>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pacing w:val="1"/>
                <w:sz w:val="24"/>
                <w:szCs w:val="24"/>
                <w:lang w:eastAsia="zh-CN"/>
                <w14:textFill>
                  <w14:solidFill>
                    <w14:schemeClr w14:val="tx1"/>
                  </w14:solidFill>
                </w14:textFill>
              </w:rPr>
              <w:t>抚恤金</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1.74</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pacing w:val="1"/>
                <w:sz w:val="24"/>
                <w:szCs w:val="24"/>
                <w:lang w:eastAsia="zh-CN"/>
                <w14:textFill>
                  <w14:solidFill>
                    <w14:schemeClr w14:val="tx1"/>
                  </w14:solidFill>
                </w14:textFill>
              </w:rPr>
              <w:t>业务活动</w:t>
            </w: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92.54</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3.</w:t>
            </w:r>
            <w:r>
              <w:rPr>
                <w:rFonts w:ascii="宋体" w:hAnsi="宋体" w:eastAsia="宋体" w:cs="宋体"/>
                <w:i w:val="0"/>
                <w:iCs w:val="0"/>
                <w:color w:val="000000"/>
                <w:kern w:val="0"/>
                <w:sz w:val="24"/>
                <w:szCs w:val="24"/>
                <w:u w:val="none"/>
                <w:lang w:val="en-US" w:eastAsia="zh-CN" w:bidi="ar"/>
              </w:rPr>
              <w:t>纳入一般公共预算管理的非税收入</w:t>
            </w:r>
            <w:r>
              <w:rPr>
                <w:rFonts w:hint="eastAsia" w:ascii="宋体" w:hAnsi="宋体" w:eastAsia="宋体" w:cs="宋体"/>
                <w:i w:val="0"/>
                <w:iCs w:val="0"/>
                <w:color w:val="000000"/>
                <w:kern w:val="0"/>
                <w:sz w:val="24"/>
                <w:szCs w:val="24"/>
                <w:u w:val="none"/>
                <w:lang w:val="en-US" w:eastAsia="zh-CN" w:bidi="ar"/>
              </w:rPr>
              <w:t>资金</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191.52</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spacing w:before="93" w:line="219" w:lineRule="auto"/>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r>
              <w:rPr>
                <w:rFonts w:ascii="宋体" w:hAnsi="宋体" w:eastAsia="宋体" w:cs="宋体"/>
                <w:i w:val="0"/>
                <w:iCs w:val="0"/>
                <w:color w:val="000000"/>
                <w:kern w:val="0"/>
                <w:sz w:val="24"/>
                <w:szCs w:val="24"/>
                <w:u w:val="none"/>
                <w:lang w:val="en-US" w:eastAsia="zh-CN" w:bidi="ar"/>
              </w:rPr>
              <w:t>财政专户</w:t>
            </w:r>
            <w:r>
              <w:rPr>
                <w:rFonts w:hint="eastAsia" w:ascii="宋体" w:hAnsi="宋体" w:eastAsia="宋体" w:cs="宋体"/>
                <w:i w:val="0"/>
                <w:iCs w:val="0"/>
                <w:color w:val="000000"/>
                <w:kern w:val="0"/>
                <w:sz w:val="24"/>
                <w:szCs w:val="24"/>
                <w:u w:val="none"/>
                <w:lang w:val="en-US" w:eastAsia="zh-CN" w:bidi="ar"/>
              </w:rPr>
              <w:t>管理</w:t>
            </w:r>
            <w:r>
              <w:rPr>
                <w:rFonts w:ascii="宋体" w:hAnsi="宋体" w:eastAsia="宋体" w:cs="宋体"/>
                <w:i w:val="0"/>
                <w:iCs w:val="0"/>
                <w:color w:val="000000"/>
                <w:kern w:val="0"/>
                <w:sz w:val="24"/>
                <w:szCs w:val="24"/>
                <w:u w:val="none"/>
                <w:lang w:val="en-US" w:eastAsia="zh-CN" w:bidi="ar"/>
              </w:rPr>
              <w:t>资金</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184.04</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p>
        </w:tc>
        <w:tc>
          <w:tcPr>
            <w:tcW w:w="1815" w:type="dxa"/>
            <w:gridSpan w:val="2"/>
            <w:noWrap w:val="0"/>
            <w:vAlign w:val="top"/>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top"/>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firstLine="246" w:firstLineChars="100"/>
              <w:jc w:val="left"/>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5、上级转移支付</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2"/>
                <w:sz w:val="21"/>
                <w:szCs w:val="21"/>
                <w:lang w:eastAsia="zh-CN"/>
                <w14:textFill>
                  <w14:solidFill>
                    <w14:schemeClr w14:val="tx1"/>
                  </w14:solidFill>
                </w14:textFill>
              </w:rPr>
              <w:t>）</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left="9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135.74</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162.41</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299.49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13.15</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15.00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5.36</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宋体" w:hAnsi="宋体" w:eastAsia="宋体"/>
                <w:b w:val="0"/>
                <w:bCs/>
                <w:color w:val="000000"/>
                <w:sz w:val="24"/>
                <w:szCs w:val="24"/>
              </w:rPr>
              <w:t>255</w:t>
            </w:r>
            <w:r>
              <w:rPr>
                <w:rFonts w:hint="eastAsia" w:ascii="宋体" w:hAnsi="宋体" w:eastAsia="宋体"/>
                <w:b w:val="0"/>
                <w:bCs/>
                <w:color w:val="000000"/>
                <w:sz w:val="24"/>
                <w:szCs w:val="24"/>
                <w:lang w:val="en-US" w:eastAsia="zh-CN"/>
              </w:rPr>
              <w:t>.</w:t>
            </w:r>
            <w:r>
              <w:rPr>
                <w:rFonts w:hint="eastAsia" w:ascii="宋体" w:hAnsi="宋体" w:eastAsia="宋体"/>
                <w:b w:val="0"/>
                <w:bCs/>
                <w:color w:val="000000"/>
                <w:sz w:val="24"/>
                <w:szCs w:val="24"/>
              </w:rPr>
              <w:t>30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255.30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5" w:line="198"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部门基本支出预算调整</w:t>
            </w: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990"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40"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1185"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10"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c>
          <w:tcPr>
            <w:tcW w:w="869" w:type="dxa"/>
            <w:noWrap w:val="0"/>
            <w:vAlign w:val="top"/>
          </w:tcPr>
          <w:p>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eastAsia="zh-CN"/>
                <w14:textFill>
                  <w14:solidFill>
                    <w14:schemeClr w14:val="tx1"/>
                  </w14:solidFill>
                </w14:textFill>
              </w:rPr>
              <w:t>严格执行无预算不开支，不超预算开支的原则</w:t>
            </w: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18"/>
          <w:szCs w:val="18"/>
          <w14:textFill>
            <w14:solidFill>
              <w14:schemeClr w14:val="tx1"/>
            </w14:solidFill>
          </w14:textFill>
        </w:rPr>
        <w:t>填表人</w:t>
      </w:r>
      <w:r>
        <w:rPr>
          <w:rFonts w:hint="eastAsia"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pacing w:val="0"/>
          <w:position w:val="0"/>
          <w:sz w:val="18"/>
          <w:szCs w:val="18"/>
          <w:lang w:eastAsia="zh-CN"/>
          <w14:textFill>
            <w14:solidFill>
              <w14:schemeClr w14:val="tx1"/>
            </w14:solidFill>
          </w14:textFill>
        </w:rPr>
        <w:t>代凤琪</w:t>
      </w:r>
      <w:r>
        <w:rPr>
          <w:rFonts w:hint="eastAsia"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18"/>
          <w:szCs w:val="18"/>
          <w14:textFill>
            <w14:solidFill>
              <w14:schemeClr w14:val="tx1"/>
            </w14:solidFill>
          </w14:textFill>
        </w:rPr>
        <w:t>联系电</w:t>
      </w:r>
      <w:r>
        <w:rPr>
          <w:rFonts w:hint="eastAsia" w:asciiTheme="majorEastAsia" w:hAnsiTheme="majorEastAsia" w:eastAsiaTheme="majorEastAsia" w:cstheme="majorEastAsia"/>
          <w:color w:val="000000" w:themeColor="text1"/>
          <w:spacing w:val="0"/>
          <w:position w:val="0"/>
          <w:sz w:val="18"/>
          <w:szCs w:val="18"/>
          <w:lang w:eastAsia="zh-CN"/>
          <w14:textFill>
            <w14:solidFill>
              <w14:schemeClr w14:val="tx1"/>
            </w14:solidFill>
          </w14:textFill>
        </w:rPr>
        <w:t>话：</w:t>
      </w:r>
      <w:r>
        <w:rPr>
          <w:rFonts w:hint="eastAsia"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t xml:space="preserve">13786066355      </w:t>
      </w:r>
      <w:r>
        <w:rPr>
          <w:rFonts w:hint="eastAsia" w:asciiTheme="majorEastAsia" w:hAnsiTheme="majorEastAsia" w:eastAsiaTheme="majorEastAsia" w:cstheme="majorEastAsia"/>
          <w:color w:val="000000" w:themeColor="text1"/>
          <w:spacing w:val="0"/>
          <w:position w:val="0"/>
          <w:sz w:val="18"/>
          <w:szCs w:val="18"/>
          <w14:textFill>
            <w14:solidFill>
              <w14:schemeClr w14:val="tx1"/>
            </w14:solidFill>
          </w14:textFill>
        </w:rPr>
        <w:t xml:space="preserve"> 单位负责人签字：</w:t>
      </w:r>
      <w:r>
        <w:rPr>
          <w:rFonts w:hint="eastAsia"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18"/>
          <w:szCs w:val="18"/>
          <w14:textFill>
            <w14:solidFill>
              <w14:schemeClr w14:val="tx1"/>
            </w14:solidFill>
          </w14:textFill>
        </w:rPr>
        <w:t>填报日期：</w:t>
      </w:r>
      <w:r>
        <w:rPr>
          <w:rFonts w:hint="eastAsia" w:asciiTheme="majorEastAsia" w:hAnsiTheme="majorEastAsia" w:eastAsiaTheme="majorEastAsia" w:cstheme="majorEastAsia"/>
          <w:color w:val="000000" w:themeColor="text1"/>
          <w:spacing w:val="0"/>
          <w:position w:val="0"/>
          <w:sz w:val="18"/>
          <w:szCs w:val="18"/>
          <w:lang w:val="en-US" w:eastAsia="zh-CN"/>
          <w14:textFill>
            <w14:solidFill>
              <w14:schemeClr w14:val="tx1"/>
            </w14:solidFill>
          </w14:textFill>
        </w:rPr>
        <w:t>2023.6.15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21"/>
          <w:szCs w:val="21"/>
          <w:lang w:val="en-US"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pPr>
        <w:spacing w:line="168" w:lineRule="exact"/>
        <w:rPr>
          <w:color w:val="000000" w:themeColor="text1"/>
          <w14:textFill>
            <w14:solidFill>
              <w14:schemeClr w14:val="tx1"/>
            </w14:solidFill>
          </w14:textFill>
        </w:rPr>
      </w:pPr>
    </w:p>
    <w:tbl>
      <w:tblPr>
        <w:tblStyle w:val="9"/>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00"/>
        <w:gridCol w:w="1050"/>
        <w:gridCol w:w="1530"/>
        <w:gridCol w:w="1245"/>
        <w:gridCol w:w="1245"/>
        <w:gridCol w:w="615"/>
        <w:gridCol w:w="79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noWrap w:val="0"/>
            <w:vAlign w:val="top"/>
          </w:tcPr>
          <w:p>
            <w:pPr>
              <w:ind w:firstLine="630" w:firstLineChars="300"/>
              <w:rPr>
                <w:rFonts w:hint="eastAsia" w:ascii="Arial"/>
                <w:color w:val="000000" w:themeColor="text1"/>
                <w:sz w:val="21"/>
                <w:lang w:val="en-US" w:eastAsia="zh-CN"/>
                <w14:textFill>
                  <w14:solidFill>
                    <w14:schemeClr w14:val="tx1"/>
                  </w14:solidFill>
                </w14:textFill>
              </w:rPr>
            </w:pPr>
          </w:p>
          <w:p>
            <w:pPr>
              <w:ind w:firstLine="720" w:firstLineChars="300"/>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4"/>
                <w:szCs w:val="24"/>
                <w:lang w:val="en-US" w:eastAsia="zh-CN"/>
                <w14:textFill>
                  <w14:solidFill>
                    <w14:schemeClr w14:val="tx1"/>
                  </w14:solidFill>
                </w14:textFill>
              </w:rPr>
              <w:t>岳阳市外国语学校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ascii="Arial"/>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pacing w:val="0"/>
                <w:sz w:val="20"/>
                <w14:textFill>
                  <w14:solidFill>
                    <w14:schemeClr w14:val="tx1"/>
                  </w14:solidFill>
                </w14:textFill>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3407.64</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4166.58</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4163.76</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ascii="宋体" w:hAnsi="宋体" w:eastAsia="宋体" w:cs="宋体"/>
                <w:color w:val="000000" w:themeColor="text1"/>
                <w:spacing w:val="0"/>
                <w:sz w:val="20"/>
                <w:szCs w:val="20"/>
                <w14:textFill>
                  <w14:solidFill>
                    <w14:schemeClr w14:val="tx1"/>
                  </w14:solidFill>
                </w14:textFill>
              </w:rPr>
            </w:pPr>
            <w:r>
              <w:rPr>
                <w:rFonts w:ascii="宋体" w:hAnsi="宋体" w:eastAsia="宋体" w:cs="宋体"/>
                <w:color w:val="000000" w:themeColor="text1"/>
                <w:spacing w:val="0"/>
                <w:position w:val="-3"/>
                <w:sz w:val="20"/>
                <w:szCs w:val="20"/>
                <w14:textFill>
                  <w14:solidFill>
                    <w14:schemeClr w14:val="tx1"/>
                  </w14:solidFill>
                </w14:textFill>
              </w:rPr>
              <w:t>10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99.93%</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color w:val="000000" w:themeColor="text1"/>
                <w:spacing w:val="0"/>
                <w:sz w:val="21"/>
                <w:szCs w:val="21"/>
                <w:lang w:val="en-US" w:eastAsia="zh-CN"/>
                <w14:textFill>
                  <w14:solidFill>
                    <w14:schemeClr w14:val="tx1"/>
                  </w14:solidFill>
                </w14:textFill>
              </w:rPr>
              <w:t>3216.12</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4163.76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r>
              <w:rPr>
                <w:rFonts w:hint="eastAsia" w:ascii="宋体" w:hAnsi="宋体" w:eastAsia="宋体" w:cs="宋体"/>
                <w:color w:val="000000" w:themeColor="text1"/>
                <w:spacing w:val="0"/>
                <w:sz w:val="21"/>
                <w:szCs w:val="21"/>
                <w:lang w:val="en-US" w:eastAsia="zh-CN"/>
                <w14:textFill>
                  <w14:solidFill>
                    <w14:schemeClr w14:val="tx1"/>
                  </w14:solidFill>
                </w14:textFill>
              </w:rPr>
              <w:t>191.52</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r>
              <w:rPr>
                <w:rFonts w:hint="eastAsia" w:ascii="宋体" w:hAnsi="宋体" w:eastAsia="宋体" w:cs="宋体"/>
                <w:color w:val="000000" w:themeColor="text1"/>
                <w:spacing w:val="0"/>
                <w:sz w:val="21"/>
                <w:szCs w:val="21"/>
                <w:lang w:val="en-US" w:eastAsia="zh-CN"/>
                <w14:textFill>
                  <w14:solidFill>
                    <w14:schemeClr w14:val="tx1"/>
                  </w14:solidFill>
                </w14:textFill>
              </w:rPr>
              <w:t>0</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年度总体</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1"/>
                <w:szCs w:val="21"/>
                <w14:textFill>
                  <w14:solidFill>
                    <w14:schemeClr w14:val="tx1"/>
                  </w14:solidFill>
                </w14:textFill>
              </w:rPr>
              <w:t>目</w:t>
            </w:r>
            <w:r>
              <w:rPr>
                <w:rFonts w:hint="eastAsia" w:asciiTheme="minorEastAsia" w:hAnsiTheme="minorEastAsia" w:eastAsiaTheme="minorEastAsia" w:cstheme="minorEastAsia"/>
                <w:color w:val="000000" w:themeColor="text1"/>
                <w:spacing w:val="-35"/>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1"/>
                <w:szCs w:val="21"/>
                <w14:textFill>
                  <w14:solidFill>
                    <w14:schemeClr w14:val="tx1"/>
                  </w14:solidFill>
                </w14:textFill>
              </w:rPr>
              <w:t>标</w:t>
            </w:r>
          </w:p>
        </w:tc>
        <w:tc>
          <w:tcPr>
            <w:tcW w:w="48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t>预期目标</w:t>
            </w:r>
          </w:p>
        </w:tc>
        <w:tc>
          <w:tcPr>
            <w:tcW w:w="39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ind w:firstLine="840" w:firstLineChars="400"/>
              <w:jc w:val="both"/>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825" w:type="dxa"/>
            <w:gridSpan w:val="4"/>
            <w:noWrap w:val="0"/>
            <w:vAlign w:val="center"/>
          </w:tcPr>
          <w:p>
            <w:pPr>
              <w:autoSpaceDN w:val="0"/>
              <w:spacing w:line="320" w:lineRule="exact"/>
              <w:ind w:firstLine="420" w:firstLineChars="200"/>
              <w:jc w:val="left"/>
              <w:textAlignment w:val="center"/>
              <w:rPr>
                <w:rFonts w:hint="eastAsia"/>
              </w:rPr>
            </w:pPr>
            <w:r>
              <w:rPr>
                <w:rFonts w:hint="eastAsia"/>
              </w:rPr>
              <w:t>目标1：</w:t>
            </w:r>
            <w:r>
              <w:rPr>
                <w:rFonts w:hint="eastAsia" w:asciiTheme="minorEastAsia" w:hAnsiTheme="minorEastAsia" w:eastAsiaTheme="minorEastAsia" w:cstheme="minorEastAsia"/>
                <w:color w:val="auto"/>
                <w:sz w:val="18"/>
                <w:szCs w:val="18"/>
                <w:lang w:val="en-US" w:eastAsia="zh-CN"/>
              </w:rPr>
              <w:t>稳步落实立德树人，推动</w:t>
            </w:r>
            <w:r>
              <w:rPr>
                <w:rStyle w:val="10"/>
                <w:rFonts w:hint="eastAsia" w:asciiTheme="minorEastAsia" w:hAnsiTheme="minorEastAsia" w:eastAsiaTheme="minorEastAsia" w:cstheme="minorEastAsia"/>
                <w:b w:val="0"/>
                <w:i w:val="0"/>
                <w:caps w:val="0"/>
                <w:color w:val="auto"/>
                <w:spacing w:val="0"/>
                <w:w w:val="100"/>
                <w:kern w:val="2"/>
                <w:sz w:val="18"/>
                <w:szCs w:val="18"/>
                <w:lang w:val="en-US" w:eastAsia="zh-CN" w:bidi="ar-SA"/>
              </w:rPr>
              <w:t>学生向身心健康者、品德优秀者、习惯良好者、基础扎实者、责任担当者、社会适应者这六个层面发展</w:t>
            </w:r>
            <w:r>
              <w:rPr>
                <w:rFonts w:hint="eastAsia" w:asciiTheme="minorEastAsia" w:hAnsiTheme="minorEastAsia" w:eastAsiaTheme="minorEastAsia" w:cstheme="minorEastAsia"/>
                <w:color w:val="auto"/>
                <w:sz w:val="18"/>
                <w:szCs w:val="18"/>
                <w:lang w:val="en-US" w:eastAsia="zh-CN"/>
              </w:rPr>
              <w:t>。</w:t>
            </w:r>
          </w:p>
          <w:p>
            <w:pPr>
              <w:spacing w:line="240" w:lineRule="auto"/>
              <w:ind w:firstLine="420" w:firstLineChars="200"/>
              <w:rPr>
                <w:rStyle w:val="10"/>
                <w:rFonts w:hint="eastAsia" w:asciiTheme="minorEastAsia" w:hAnsiTheme="minorEastAsia" w:eastAsiaTheme="minorEastAsia" w:cstheme="minorEastAsia"/>
                <w:b w:val="0"/>
                <w:i w:val="0"/>
                <w:caps w:val="0"/>
                <w:color w:val="auto"/>
                <w:spacing w:val="0"/>
                <w:w w:val="100"/>
                <w:kern w:val="2"/>
                <w:sz w:val="18"/>
                <w:szCs w:val="18"/>
                <w:lang w:val="en-US" w:eastAsia="zh-CN" w:bidi="ar-SA"/>
              </w:rPr>
            </w:pPr>
            <w:r>
              <w:rPr>
                <w:rFonts w:hint="eastAsia"/>
              </w:rPr>
              <w:t>目标2：</w:t>
            </w:r>
            <w:r>
              <w:rPr>
                <w:rStyle w:val="10"/>
                <w:rFonts w:hint="eastAsia" w:asciiTheme="minorEastAsia" w:hAnsiTheme="minorEastAsia" w:eastAsiaTheme="minorEastAsia" w:cstheme="minorEastAsia"/>
                <w:b w:val="0"/>
                <w:i w:val="0"/>
                <w:caps w:val="0"/>
                <w:color w:val="auto"/>
                <w:spacing w:val="0"/>
                <w:w w:val="100"/>
                <w:kern w:val="2"/>
                <w:sz w:val="18"/>
                <w:szCs w:val="18"/>
                <w:lang w:val="en-US" w:eastAsia="zh-CN" w:bidi="ar-SA"/>
              </w:rPr>
              <w:t>大力实施“政治领航”、“强基固本”、“凝心聚力”三大工程，以高质量党建引领学校优质发展。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rPr>
              <w:t>目标3：</w:t>
            </w:r>
            <w:r>
              <w:rPr>
                <w:rFonts w:hint="eastAsia" w:asciiTheme="minorEastAsia" w:hAnsiTheme="minorEastAsia" w:eastAsiaTheme="minorEastAsia" w:cstheme="minorEastAsia"/>
                <w:color w:val="auto"/>
                <w:sz w:val="18"/>
                <w:szCs w:val="18"/>
                <w:lang w:val="en-US" w:eastAsia="zh-CN"/>
              </w:rPr>
              <w:t>上下联动、通力合作，全校教师齐发力，全力提升教学质量。</w:t>
            </w:r>
          </w:p>
          <w:p>
            <w:pPr>
              <w:autoSpaceDN w:val="0"/>
              <w:spacing w:line="320" w:lineRule="exact"/>
              <w:jc w:val="left"/>
              <w:textAlignment w:val="center"/>
              <w:rPr>
                <w:rFonts w:hint="eastAsia"/>
              </w:rPr>
            </w:pPr>
          </w:p>
          <w:p>
            <w:pPr>
              <w:pStyle w:val="2"/>
              <w:rPr>
                <w:rFonts w:hint="eastAsia" w:eastAsiaTheme="minorEastAsia"/>
                <w:lang w:val="en-US" w:eastAsia="zh-CN"/>
              </w:rPr>
            </w:pPr>
          </w:p>
        </w:tc>
        <w:tc>
          <w:tcPr>
            <w:tcW w:w="3926" w:type="dxa"/>
            <w:gridSpan w:val="4"/>
            <w:noWrap w:val="0"/>
            <w:vAlign w:val="center"/>
          </w:tcPr>
          <w:p>
            <w:pPr>
              <w:autoSpaceDN w:val="0"/>
              <w:spacing w:line="320" w:lineRule="exact"/>
              <w:ind w:firstLine="420" w:firstLineChars="200"/>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21"/>
                <w:szCs w:val="21"/>
              </w:rPr>
              <w:t>目标1</w:t>
            </w:r>
            <w:r>
              <w:rPr>
                <w:rFonts w:hint="eastAsia" w:asciiTheme="minorEastAsia" w:hAnsiTheme="minorEastAsia" w:eastAsiaTheme="minorEastAsia" w:cstheme="minorEastAsia"/>
                <w:color w:val="000000"/>
                <w:sz w:val="18"/>
                <w:szCs w:val="18"/>
              </w:rPr>
              <w:t>：</w:t>
            </w:r>
            <w:r>
              <w:rPr>
                <w:rFonts w:hint="eastAsia" w:asciiTheme="minorEastAsia" w:hAnsiTheme="minorEastAsia" w:cstheme="minorEastAsia"/>
                <w:color w:val="000000"/>
                <w:sz w:val="18"/>
                <w:szCs w:val="18"/>
                <w:lang w:eastAsia="zh-CN"/>
              </w:rPr>
              <w:t>学生的爱国意识，安全意识，学习习惯，合作意识及动手能力都有所提升。</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eastAsiaTheme="minorEastAsia" w:cstheme="minorEastAsia"/>
                <w:color w:val="000000"/>
                <w:sz w:val="21"/>
                <w:szCs w:val="21"/>
              </w:rPr>
              <w:t>目标2</w:t>
            </w:r>
            <w:r>
              <w:rPr>
                <w:rFonts w:hint="eastAsia" w:asciiTheme="minorEastAsia" w:hAnsiTheme="minorEastAsia" w:eastAsiaTheme="minorEastAsia" w:cstheme="minorEastAsia"/>
                <w:color w:val="000000"/>
                <w:sz w:val="18"/>
                <w:szCs w:val="18"/>
              </w:rPr>
              <w:t>：学</w:t>
            </w:r>
            <w:r>
              <w:rPr>
                <w:rFonts w:hint="eastAsia" w:asciiTheme="minorEastAsia" w:hAnsiTheme="minorEastAsia" w:eastAsiaTheme="minorEastAsia" w:cstheme="minorEastAsia"/>
                <w:b w:val="0"/>
                <w:bCs w:val="0"/>
                <w:color w:val="auto"/>
                <w:kern w:val="2"/>
                <w:sz w:val="18"/>
                <w:szCs w:val="18"/>
                <w:lang w:val="en-US" w:eastAsia="zh-CN" w:bidi="ar"/>
              </w:rPr>
              <w:t>校</w:t>
            </w:r>
            <w:r>
              <w:rPr>
                <w:rFonts w:hint="eastAsia" w:asciiTheme="minorEastAsia" w:hAnsiTheme="minorEastAsia" w:cstheme="minorEastAsia"/>
                <w:b w:val="0"/>
                <w:bCs w:val="0"/>
                <w:color w:val="auto"/>
                <w:kern w:val="2"/>
                <w:sz w:val="18"/>
                <w:szCs w:val="18"/>
                <w:lang w:val="en-US" w:eastAsia="zh-CN" w:bidi="ar"/>
              </w:rPr>
              <w:t>在</w:t>
            </w:r>
            <w:r>
              <w:rPr>
                <w:rFonts w:hint="eastAsia" w:asciiTheme="minorEastAsia" w:hAnsiTheme="minorEastAsia" w:eastAsiaTheme="minorEastAsia" w:cstheme="minorEastAsia"/>
                <w:b w:val="0"/>
                <w:bCs w:val="0"/>
                <w:color w:val="auto"/>
                <w:kern w:val="2"/>
                <w:sz w:val="18"/>
                <w:szCs w:val="18"/>
                <w:lang w:val="en-US" w:eastAsia="zh-CN" w:bidi="ar"/>
              </w:rPr>
              <w:t>规范化、法治化、有序化</w:t>
            </w:r>
            <w:r>
              <w:rPr>
                <w:rFonts w:hint="eastAsia" w:asciiTheme="minorEastAsia" w:hAnsiTheme="minorEastAsia" w:cstheme="minorEastAsia"/>
                <w:b w:val="0"/>
                <w:bCs w:val="0"/>
                <w:color w:val="auto"/>
                <w:kern w:val="2"/>
                <w:sz w:val="18"/>
                <w:szCs w:val="18"/>
                <w:lang w:val="en-US" w:eastAsia="zh-CN" w:bidi="ar"/>
              </w:rPr>
              <w:t>前提下，各项工作有序开展，学校教学任务按时按质按量完成，完成率100%。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000000"/>
                <w:sz w:val="21"/>
                <w:szCs w:val="21"/>
                <w:lang w:val="en-US" w:eastAsia="zh-CN"/>
              </w:rPr>
              <w:t>目标3</w:t>
            </w:r>
            <w:r>
              <w:rPr>
                <w:rFonts w:hint="eastAsia" w:asciiTheme="minorEastAsia" w:hAnsiTheme="minorEastAsia" w:cstheme="minorEastAsia"/>
                <w:color w:val="000000"/>
                <w:sz w:val="18"/>
                <w:szCs w:val="18"/>
                <w:lang w:val="en-US" w:eastAsia="zh-CN"/>
              </w:rPr>
              <w:t>：学校</w:t>
            </w:r>
            <w:r>
              <w:rPr>
                <w:rFonts w:hint="eastAsia" w:asciiTheme="minorEastAsia" w:hAnsiTheme="minorEastAsia" w:eastAsiaTheme="minorEastAsia" w:cstheme="minorEastAsia"/>
                <w:color w:val="auto"/>
                <w:sz w:val="18"/>
                <w:szCs w:val="18"/>
                <w:lang w:val="en-US" w:eastAsia="zh-CN"/>
              </w:rPr>
              <w:t>本科上线率70.59%。纯文化特殊类本科上线人数和本科上线率均创历史最高纪录，各数据稳居楼区普通中学第一名</w:t>
            </w:r>
            <w:r>
              <w:rPr>
                <w:rFonts w:hint="eastAsia" w:asciiTheme="minorEastAsia" w:hAnsiTheme="minorEastAsia" w:cstheme="minorEastAsia"/>
                <w:color w:val="auto"/>
                <w:sz w:val="18"/>
                <w:szCs w:val="18"/>
                <w:lang w:val="en-US" w:eastAsia="zh-CN"/>
              </w:rPr>
              <w:t>，</w:t>
            </w:r>
            <w:r>
              <w:rPr>
                <w:rStyle w:val="10"/>
                <w:rFonts w:hint="eastAsia" w:asciiTheme="minorEastAsia" w:hAnsiTheme="minorEastAsia" w:eastAsiaTheme="minorEastAsia" w:cstheme="minorEastAsia"/>
                <w:b w:val="0"/>
                <w:i w:val="0"/>
                <w:caps w:val="0"/>
                <w:color w:val="auto"/>
                <w:spacing w:val="0"/>
                <w:w w:val="100"/>
                <w:kern w:val="2"/>
                <w:sz w:val="18"/>
                <w:szCs w:val="18"/>
                <w:lang w:val="en-US" w:eastAsia="zh-CN" w:bidi="ar-SA"/>
              </w:rPr>
              <w:t>被评为“岳阳楼区普通高中教育教学质量先进单位”</w:t>
            </w:r>
            <w:r>
              <w:rPr>
                <w:rStyle w:val="10"/>
                <w:rFonts w:hint="eastAsia" w:asciiTheme="minorEastAsia" w:hAnsiTheme="minorEastAsia" w:cstheme="minorEastAsia"/>
                <w:b w:val="0"/>
                <w:i w:val="0"/>
                <w:caps w:val="0"/>
                <w:color w:val="auto"/>
                <w:spacing w:val="0"/>
                <w:w w:val="100"/>
                <w:kern w:val="2"/>
                <w:sz w:val="18"/>
                <w:szCs w:val="18"/>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color w:val="000000" w:themeColor="text1"/>
                <w:spacing w:val="0"/>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绩效指标</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一级指标</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二级指标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三级指标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年度指标值</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实际完成值</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分值</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得分</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t>偏差原因分析</w:t>
            </w:r>
          </w:p>
          <w:p>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position w:val="20"/>
                <w:sz w:val="21"/>
                <w:szCs w:val="21"/>
              </w:rPr>
              <w:t>产出指标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9"/>
                <w:sz w:val="21"/>
                <w:szCs w:val="21"/>
              </w:rPr>
              <w:t>(</w:t>
            </w:r>
            <w:r>
              <w:rPr>
                <w:rFonts w:hint="eastAsia" w:asciiTheme="minorEastAsia" w:hAnsiTheme="minorEastAsia" w:cstheme="minorEastAsia"/>
                <w:color w:val="auto"/>
                <w:spacing w:val="9"/>
                <w:sz w:val="21"/>
                <w:szCs w:val="21"/>
                <w:lang w:val="en-US" w:eastAsia="zh-CN"/>
              </w:rPr>
              <w:t>50</w:t>
            </w:r>
            <w:r>
              <w:rPr>
                <w:rFonts w:hint="eastAsia" w:asciiTheme="minorEastAsia" w:hAnsiTheme="minorEastAsia" w:eastAsiaTheme="minorEastAsia" w:cstheme="minorEastAsia"/>
                <w:color w:val="auto"/>
                <w:spacing w:val="9"/>
                <w:sz w:val="21"/>
                <w:szCs w:val="21"/>
              </w:rPr>
              <w:t>分)</w:t>
            </w:r>
          </w:p>
        </w:tc>
        <w:tc>
          <w:tcPr>
            <w:tcW w:w="10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数量指标</w:t>
            </w:r>
          </w:p>
        </w:tc>
        <w:tc>
          <w:tcPr>
            <w:tcW w:w="1530" w:type="dxa"/>
            <w:noWrap w:val="0"/>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kern w:val="2"/>
                <w:sz w:val="18"/>
                <w:szCs w:val="18"/>
                <w:u w:val="none"/>
                <w:lang w:val="en-US" w:eastAsia="zh-CN" w:bidi="ar-SA"/>
              </w:rPr>
            </w:pPr>
            <w:r>
              <w:rPr>
                <w:rFonts w:hint="eastAsia" w:asciiTheme="minorEastAsia" w:hAnsiTheme="minorEastAsia" w:cstheme="minorEastAsia"/>
                <w:i w:val="0"/>
                <w:iCs w:val="0"/>
                <w:color w:val="auto"/>
                <w:kern w:val="2"/>
                <w:sz w:val="18"/>
                <w:szCs w:val="18"/>
                <w:u w:val="none"/>
                <w:lang w:val="en-US" w:eastAsia="zh-CN" w:bidi="ar-SA"/>
              </w:rPr>
              <w:t>在编学生学业完成率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Theme="minorEastAsia" w:hAnsiTheme="minorEastAsia" w:eastAsiaTheme="minorEastAsia" w:cstheme="minorEastAsia"/>
                <w:color w:val="FF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教职工</w:t>
            </w:r>
            <w:r>
              <w:rPr>
                <w:rFonts w:hint="eastAsia" w:asciiTheme="minorEastAsia" w:hAnsiTheme="minorEastAsia" w:eastAsiaTheme="minorEastAsia" w:cstheme="minorEastAsia"/>
                <w:color w:val="auto"/>
                <w:sz w:val="18"/>
                <w:szCs w:val="18"/>
                <w:lang w:eastAsia="zh-CN"/>
              </w:rPr>
              <w:t>工资社保发放率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教职工培训人次</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150人次</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150人次</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学校招生人数</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1650人</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1650人</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质量指标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初中生毕业率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FF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高中学生毕业率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时效指标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上级下达各项任务</w:t>
            </w:r>
            <w:r>
              <w:rPr>
                <w:rFonts w:hint="eastAsia" w:asciiTheme="minorEastAsia" w:hAnsiTheme="minorEastAsia" w:cstheme="minorEastAsia"/>
                <w:color w:val="auto"/>
                <w:sz w:val="18"/>
                <w:szCs w:val="18"/>
                <w:lang w:eastAsia="zh-CN"/>
              </w:rPr>
              <w:t>按时完成率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教育教学计划按时完成率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成本指标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奖金发放金额</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≤531.60万元</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531.60万元</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Theme="minorEastAsia" w:hAnsiTheme="minorEastAsia" w:eastAsiaTheme="minorEastAsia" w:cstheme="minorEastAsia"/>
                <w:color w:val="FF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position w:val="21"/>
                <w:sz w:val="21"/>
                <w:szCs w:val="21"/>
              </w:rPr>
              <w:t>效益指标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9"/>
                <w:sz w:val="21"/>
                <w:szCs w:val="21"/>
              </w:rPr>
              <w:t>(</w:t>
            </w:r>
            <w:r>
              <w:rPr>
                <w:rFonts w:hint="eastAsia" w:asciiTheme="minorEastAsia" w:hAnsiTheme="minorEastAsia" w:cstheme="minorEastAsia"/>
                <w:color w:val="auto"/>
                <w:spacing w:val="9"/>
                <w:sz w:val="21"/>
                <w:szCs w:val="21"/>
                <w:lang w:val="en-US" w:eastAsia="zh-CN"/>
              </w:rPr>
              <w:t>30</w:t>
            </w:r>
            <w:r>
              <w:rPr>
                <w:rFonts w:hint="eastAsia" w:asciiTheme="minorEastAsia" w:hAnsiTheme="minorEastAsia" w:eastAsiaTheme="minorEastAsia" w:cstheme="minorEastAsia"/>
                <w:color w:val="auto"/>
                <w:spacing w:val="9"/>
                <w:sz w:val="21"/>
                <w:szCs w:val="21"/>
              </w:rPr>
              <w:t>分)</w:t>
            </w:r>
          </w:p>
        </w:tc>
        <w:tc>
          <w:tcPr>
            <w:tcW w:w="105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经济效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益指标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无</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无</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无</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属公益一类事业单位，无经济效益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社会效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益指标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教学质量综合评定</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优</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优</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FF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一本上线率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提升</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有所提升</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Theme="minorEastAsia" w:hAnsiTheme="minorEastAsia" w:eastAsiaTheme="minorEastAsia" w:cstheme="minorEastAsia"/>
                <w:color w:val="FF000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和</w:t>
            </w: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可持续影</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响指标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创建“清廉学校”</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深入开展</w:t>
            </w:r>
            <w:r>
              <w:rPr>
                <w:rFonts w:hint="eastAsia" w:asciiTheme="minorEastAsia" w:hAnsiTheme="minorEastAsia" w:cstheme="minorEastAsia"/>
                <w:color w:val="auto"/>
                <w:sz w:val="18"/>
                <w:szCs w:val="18"/>
                <w:lang w:val="en-US" w:eastAsia="zh-CN"/>
              </w:rPr>
              <w:t>落实安全教育</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满意度</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9"/>
                <w:sz w:val="21"/>
                <w:szCs w:val="21"/>
              </w:rPr>
              <w:t>(</w:t>
            </w:r>
            <w:r>
              <w:rPr>
                <w:rFonts w:hint="eastAsia" w:asciiTheme="minorEastAsia" w:hAnsiTheme="minorEastAsia" w:cstheme="minorEastAsia"/>
                <w:color w:val="auto"/>
                <w:spacing w:val="9"/>
                <w:sz w:val="21"/>
                <w:szCs w:val="21"/>
                <w:lang w:val="en-US" w:eastAsia="zh-CN"/>
              </w:rPr>
              <w:t>10</w:t>
            </w:r>
            <w:r>
              <w:rPr>
                <w:rFonts w:hint="eastAsia" w:asciiTheme="minorEastAsia" w:hAnsiTheme="minorEastAsia" w:eastAsiaTheme="minorEastAsia" w:cstheme="minorEastAsia"/>
                <w:color w:val="auto"/>
                <w:spacing w:val="9"/>
                <w:sz w:val="21"/>
                <w:szCs w:val="21"/>
              </w:rPr>
              <w:t>分)</w:t>
            </w:r>
          </w:p>
        </w:tc>
        <w:tc>
          <w:tcPr>
            <w:tcW w:w="10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服务对象</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满意度指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w:t>
            </w:r>
          </w:p>
        </w:tc>
        <w:tc>
          <w:tcPr>
            <w:tcW w:w="1530" w:type="dxa"/>
            <w:noWrap w:val="0"/>
            <w:vAlign w:val="center"/>
          </w:tcPr>
          <w:p>
            <w:pPr>
              <w:autoSpaceDN w:val="0"/>
              <w:spacing w:line="320" w:lineRule="exact"/>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学生满意度</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99%</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原因：学生自主学习意识不强。改进措施：培育学生自主学习意识与能力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4" w:type="dxa"/>
            <w:vMerge w:val="continue"/>
            <w:tcBorders>
              <w:top w:val="nil"/>
              <w:bottom w:val="nil"/>
            </w:tcBorders>
            <w:noWrap w:val="0"/>
            <w:textDirection w:val="tbRlV"/>
            <w:vAlign w:val="top"/>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0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0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家长满意度</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100%</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99%</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原因：学生在校情况沟通不及时。改进措施：加强家校联系，及时交流学生状况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5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100</w:t>
            </w: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98</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000000" w:themeColor="text1"/>
          <w:spacing w:val="-22"/>
          <w:position w:val="-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t>填表人：</w:t>
      </w:r>
      <w:r>
        <w:rPr>
          <w:rFonts w:hint="eastAsia" w:asciiTheme="minorEastAsia" w:hAnsiTheme="minorEastAsia" w:cstheme="minorEastAsia"/>
          <w:color w:val="000000" w:themeColor="text1"/>
          <w:spacing w:val="-22"/>
          <w:sz w:val="21"/>
          <w:szCs w:val="21"/>
          <w:lang w:eastAsia="zh-CN"/>
          <w14:textFill>
            <w14:solidFill>
              <w14:schemeClr w14:val="tx1"/>
            </w14:solidFill>
          </w14:textFill>
        </w:rPr>
        <w:t>代凤琪</w:t>
      </w:r>
      <w:r>
        <w:rPr>
          <w:rFonts w:hint="eastAsia" w:asciiTheme="minorEastAsia" w:hAnsiTheme="minorEastAsia" w:cstheme="minorEastAsia"/>
          <w:color w:val="000000" w:themeColor="text1"/>
          <w:spacing w:val="-22"/>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t>联系电话：</w:t>
      </w:r>
      <w:r>
        <w:rPr>
          <w:rFonts w:hint="eastAsia" w:asciiTheme="minorEastAsia" w:hAnsiTheme="minorEastAsia" w:cstheme="minorEastAsia"/>
          <w:color w:val="000000" w:themeColor="text1"/>
          <w:spacing w:val="-22"/>
          <w:sz w:val="21"/>
          <w:szCs w:val="21"/>
          <w:lang w:val="en-US" w:eastAsia="zh-CN"/>
          <w14:textFill>
            <w14:solidFill>
              <w14:schemeClr w14:val="tx1"/>
            </w14:solidFill>
          </w14:textFill>
        </w:rPr>
        <w:t>13786066355</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 xml:space="preserve">  </w:t>
      </w:r>
      <w:r>
        <w:rPr>
          <w:rFonts w:hint="eastAsia" w:asciiTheme="minorEastAsia" w:hAnsiTheme="minorEastAsia" w:cstheme="minorEastAsia"/>
          <w:color w:val="000000" w:themeColor="text1"/>
          <w:spacing w:val="2"/>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position w:val="-1"/>
          <w:sz w:val="21"/>
          <w:szCs w:val="21"/>
          <w14:textFill>
            <w14:solidFill>
              <w14:schemeClr w14:val="tx1"/>
            </w14:solidFill>
          </w14:textFill>
        </w:rPr>
        <w:t>单位负责人签字：</w:t>
      </w:r>
      <w:r>
        <w:rPr>
          <w:rFonts w:hint="eastAsia" w:asciiTheme="minorEastAsia" w:hAnsiTheme="minorEastAsia" w:eastAsiaTheme="minorEastAsia" w:cstheme="minorEastAsia"/>
          <w:color w:val="000000" w:themeColor="text1"/>
          <w:spacing w:val="-22"/>
          <w:position w:val="-1"/>
          <w:sz w:val="21"/>
          <w:szCs w:val="21"/>
          <w:lang w:val="en-US" w:eastAsia="zh-CN"/>
          <w14:textFill>
            <w14:solidFill>
              <w14:schemeClr w14:val="tx1"/>
            </w14:solidFill>
          </w14:textFill>
        </w:rPr>
        <w:t xml:space="preserve">                      </w:t>
      </w:r>
      <w:r>
        <w:rPr>
          <w:rFonts w:hint="eastAsia" w:asciiTheme="minorEastAsia" w:hAnsiTheme="minorEastAsia" w:cstheme="minorEastAsia"/>
          <w:color w:val="000000" w:themeColor="text1"/>
          <w:spacing w:val="-22"/>
          <w:position w:val="-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t>填报日期：</w:t>
      </w:r>
      <w:r>
        <w:rPr>
          <w:rFonts w:hint="eastAsia" w:asciiTheme="minorEastAsia" w:hAnsiTheme="minorEastAsia" w:cstheme="minorEastAsia"/>
          <w:color w:val="000000" w:themeColor="text1"/>
          <w:spacing w:val="-22"/>
          <w:sz w:val="21"/>
          <w:szCs w:val="21"/>
          <w:lang w:val="en-US" w:eastAsia="zh-CN"/>
          <w14:textFill>
            <w14:solidFill>
              <w14:schemeClr w14:val="tx1"/>
            </w14:solidFill>
          </w14:textFill>
        </w:rPr>
        <w:t>2023.6.15</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Theme="minorEastAsia" w:hAnsiTheme="minorEastAsia" w:eastAsiaTheme="minorEastAsia" w:cstheme="minorEastAsia"/>
          <w:color w:val="000000" w:themeColor="text1"/>
          <w:spacing w:val="0"/>
          <w:position w:val="0"/>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岳阳市外国语学校</w:t>
      </w: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单位整体支出</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 岳阳市外国语学校  ( 盖 章 )</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2023年 06 月 15 日</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2022年度岳阳楼区岳阳市外国语学校</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pPr>
        <w:numPr>
          <w:ilvl w:val="0"/>
          <w:numId w:val="0"/>
        </w:num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（一）</w:t>
      </w:r>
      <w:r>
        <w:rPr>
          <w:rFonts w:hint="eastAsia" w:ascii="仿宋" w:hAnsi="仿宋" w:eastAsia="仿宋" w:cs="仿宋"/>
          <w:bCs/>
          <w:sz w:val="32"/>
          <w:szCs w:val="32"/>
          <w:lang w:val="en-US" w:eastAsia="zh-CN"/>
        </w:rPr>
        <w:t>机构设置</w:t>
      </w:r>
    </w:p>
    <w:p>
      <w:pPr>
        <w:numPr>
          <w:ilvl w:val="0"/>
          <w:numId w:val="0"/>
        </w:numPr>
        <w:spacing w:line="360" w:lineRule="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Cs/>
          <w:sz w:val="32"/>
          <w:szCs w:val="32"/>
        </w:rPr>
        <w:t>我单位性质为事业单位，按照规定执行《事业单位会计制度》。经机构编制管理部门核定，</w:t>
      </w:r>
      <w:r>
        <w:rPr>
          <w:rFonts w:hint="eastAsia" w:ascii="仿宋" w:hAnsi="仿宋" w:eastAsia="仿宋" w:cs="仿宋"/>
          <w:bCs/>
          <w:color w:val="000000"/>
          <w:sz w:val="32"/>
          <w:szCs w:val="32"/>
          <w:lang w:val="en-US" w:eastAsia="zh-CN"/>
        </w:rPr>
        <w:t>事业</w:t>
      </w:r>
      <w:r>
        <w:rPr>
          <w:rFonts w:hint="eastAsia" w:ascii="仿宋" w:hAnsi="仿宋" w:eastAsia="仿宋" w:cs="仿宋"/>
          <w:bCs/>
          <w:color w:val="000000"/>
          <w:sz w:val="32"/>
          <w:szCs w:val="32"/>
        </w:rPr>
        <w:t>正式编制人员</w:t>
      </w:r>
      <w:r>
        <w:rPr>
          <w:rFonts w:hint="eastAsia" w:ascii="仿宋" w:hAnsi="仿宋" w:eastAsia="仿宋" w:cs="仿宋"/>
          <w:bCs/>
          <w:color w:val="000000"/>
          <w:sz w:val="32"/>
          <w:szCs w:val="32"/>
          <w:lang w:val="en-US" w:eastAsia="zh-CN"/>
        </w:rPr>
        <w:t>218</w:t>
      </w:r>
      <w:r>
        <w:rPr>
          <w:rFonts w:hint="eastAsia" w:ascii="仿宋" w:hAnsi="仿宋" w:eastAsia="仿宋" w:cs="仿宋"/>
          <w:bCs/>
          <w:color w:val="000000"/>
          <w:sz w:val="32"/>
          <w:szCs w:val="32"/>
        </w:rPr>
        <w:t>人</w:t>
      </w:r>
      <w:r>
        <w:rPr>
          <w:rFonts w:hint="eastAsia" w:ascii="仿宋" w:hAnsi="仿宋" w:eastAsia="仿宋" w:cs="仿宋"/>
          <w:bCs/>
          <w:sz w:val="32"/>
          <w:szCs w:val="32"/>
        </w:rPr>
        <w:t>，实有</w:t>
      </w:r>
      <w:r>
        <w:rPr>
          <w:rFonts w:hint="eastAsia" w:ascii="仿宋" w:hAnsi="仿宋" w:eastAsia="仿宋" w:cs="仿宋"/>
          <w:bCs/>
          <w:sz w:val="32"/>
          <w:szCs w:val="32"/>
          <w:lang w:eastAsia="zh-CN"/>
        </w:rPr>
        <w:t>在职</w:t>
      </w:r>
      <w:r>
        <w:rPr>
          <w:rFonts w:hint="eastAsia" w:ascii="仿宋" w:hAnsi="仿宋" w:eastAsia="仿宋" w:cs="仿宋"/>
          <w:bCs/>
          <w:sz w:val="32"/>
          <w:szCs w:val="32"/>
        </w:rPr>
        <w:t>人数</w:t>
      </w:r>
      <w:r>
        <w:rPr>
          <w:rFonts w:hint="eastAsia" w:ascii="仿宋" w:hAnsi="仿宋" w:eastAsia="仿宋" w:cs="仿宋"/>
          <w:bCs/>
          <w:sz w:val="32"/>
          <w:szCs w:val="32"/>
          <w:lang w:val="en-US" w:eastAsia="zh-CN"/>
        </w:rPr>
        <w:t>165</w:t>
      </w:r>
      <w:r>
        <w:rPr>
          <w:rFonts w:hint="eastAsia" w:ascii="仿宋" w:hAnsi="仿宋" w:eastAsia="仿宋" w:cs="仿宋"/>
          <w:bCs/>
          <w:sz w:val="32"/>
          <w:szCs w:val="32"/>
        </w:rPr>
        <w:t>人</w:t>
      </w:r>
      <w:r>
        <w:rPr>
          <w:rFonts w:hint="eastAsia" w:ascii="仿宋" w:hAnsi="仿宋" w:eastAsia="仿宋" w:cs="仿宋"/>
          <w:bCs/>
          <w:sz w:val="32"/>
          <w:szCs w:val="32"/>
          <w:lang w:eastAsia="zh-CN"/>
        </w:rPr>
        <w:t>，退休人数</w:t>
      </w:r>
      <w:r>
        <w:rPr>
          <w:rFonts w:hint="eastAsia" w:ascii="仿宋" w:hAnsi="仿宋" w:eastAsia="仿宋" w:cs="仿宋"/>
          <w:bCs/>
          <w:sz w:val="32"/>
          <w:szCs w:val="32"/>
          <w:lang w:val="en-US" w:eastAsia="zh-CN"/>
        </w:rPr>
        <w:t>53人。</w:t>
      </w:r>
      <w:r>
        <w:rPr>
          <w:rFonts w:hint="eastAsia" w:ascii="仿宋" w:hAnsi="仿宋" w:eastAsia="仿宋" w:cs="仿宋"/>
          <w:bCs/>
          <w:sz w:val="32"/>
          <w:szCs w:val="32"/>
        </w:rPr>
        <w:t>我单位</w:t>
      </w:r>
      <w:r>
        <w:rPr>
          <w:rFonts w:hint="eastAsia" w:ascii="仿宋" w:hAnsi="仿宋" w:eastAsia="仿宋" w:cs="仿宋"/>
          <w:bCs/>
          <w:sz w:val="32"/>
          <w:szCs w:val="32"/>
          <w:lang w:val="en-US" w:eastAsia="zh-CN"/>
        </w:rPr>
        <w:t>机构数为一个，包括4个职能处室，分别为：办公室，总务处，教务处，政教处。</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（二）职能职责</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1、贯彻执行国家教育方针政策，深化教育改革，加强教育教学工作，稳步提高教学质量，发展素质教育，促进教育事业的发展。</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2、加强师德师风建设，树立以人为本，依法治教，以德执教的理念，强化师德素养，提高教师教书育人的能力。</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3、加强学校预算资金的管理和使用，做好后勤保障管理工作，为师生提供良好的教学工作环境。</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4、保证合理的校园基础建设和教学设备投入，为学校教学教研提供良好的工作条件。</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（三）部门预算单位构成</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我单位只有本级,没有其他预算单位,因此本部门预算仅含本级预算。</w:t>
      </w: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2022年年初预算批复的基本支出数为3,032.08万元，其中</w:t>
      </w:r>
      <w:r>
        <w:rPr>
          <w:rFonts w:hint="eastAsia" w:ascii="仿宋" w:hAnsi="仿宋" w:eastAsia="仿宋" w:cs="仿宋"/>
          <w:b w:val="0"/>
          <w:bCs w:val="0"/>
          <w:sz w:val="32"/>
          <w:szCs w:val="32"/>
          <w:lang w:val="en-US" w:eastAsia="zh-CN"/>
        </w:rPr>
        <w:t>工资福利支出2715.78万元，</w:t>
      </w:r>
      <w:r>
        <w:rPr>
          <w:rFonts w:hint="eastAsia" w:ascii="仿宋" w:hAnsi="仿宋" w:eastAsia="仿宋" w:cs="仿宋"/>
          <w:b w:val="0"/>
          <w:bCs w:val="0"/>
          <w:sz w:val="32"/>
          <w:szCs w:val="32"/>
          <w:lang w:eastAsia="zh-CN"/>
        </w:rPr>
        <w:t>商品和服务支出</w:t>
      </w:r>
      <w:r>
        <w:rPr>
          <w:rFonts w:hint="eastAsia" w:ascii="仿宋" w:hAnsi="仿宋" w:eastAsia="仿宋" w:cs="仿宋"/>
          <w:b w:val="0"/>
          <w:bCs w:val="0"/>
          <w:sz w:val="32"/>
          <w:szCs w:val="32"/>
          <w:lang w:val="en-US" w:eastAsia="zh-CN"/>
        </w:rPr>
        <w:t>162.41万元，对个人和家庭的补助支出153.90万元。</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w:t>
      </w:r>
      <w:r>
        <w:rPr>
          <w:rFonts w:hint="eastAsia" w:ascii="仿宋" w:hAnsi="仿宋" w:eastAsia="仿宋" w:cs="仿宋"/>
          <w:bCs/>
          <w:sz w:val="32"/>
          <w:szCs w:val="32"/>
          <w:lang w:eastAsia="zh-CN"/>
        </w:rPr>
        <w:t>决算基本支出为</w:t>
      </w:r>
      <w:r>
        <w:rPr>
          <w:rFonts w:hint="eastAsia" w:ascii="仿宋" w:hAnsi="仿宋" w:eastAsia="仿宋" w:cs="仿宋"/>
          <w:bCs/>
          <w:sz w:val="32"/>
          <w:szCs w:val="32"/>
          <w:lang w:val="en-US" w:eastAsia="zh-CN"/>
        </w:rPr>
        <w:t>3395.56</w:t>
      </w:r>
      <w:r>
        <w:rPr>
          <w:rFonts w:hint="eastAsia" w:ascii="仿宋" w:hAnsi="仿宋" w:eastAsia="仿宋" w:cs="仿宋"/>
          <w:bCs/>
          <w:sz w:val="32"/>
          <w:szCs w:val="32"/>
        </w:rPr>
        <w:t>万元，其中</w:t>
      </w:r>
      <w:r>
        <w:rPr>
          <w:rFonts w:hint="eastAsia" w:ascii="仿宋" w:hAnsi="仿宋" w:eastAsia="仿宋" w:cs="仿宋"/>
          <w:bCs/>
          <w:sz w:val="32"/>
          <w:szCs w:val="32"/>
          <w:lang w:eastAsia="zh-CN"/>
        </w:rPr>
        <w:t>一般公共服务支出</w:t>
      </w:r>
      <w:r>
        <w:rPr>
          <w:rFonts w:hint="eastAsia" w:ascii="仿宋" w:hAnsi="仿宋" w:eastAsia="仿宋" w:cs="仿宋"/>
          <w:bCs/>
          <w:sz w:val="32"/>
          <w:szCs w:val="32"/>
          <w:lang w:val="en-US" w:eastAsia="zh-CN"/>
        </w:rPr>
        <w:t>2.34万元，</w:t>
      </w:r>
      <w:r>
        <w:rPr>
          <w:rFonts w:hint="eastAsia" w:ascii="仿宋" w:hAnsi="仿宋" w:eastAsia="仿宋" w:cs="仿宋"/>
          <w:bCs/>
          <w:sz w:val="32"/>
          <w:szCs w:val="32"/>
        </w:rPr>
        <w:t>教育支出</w:t>
      </w:r>
      <w:r>
        <w:rPr>
          <w:rFonts w:hint="eastAsia" w:ascii="仿宋" w:hAnsi="仿宋" w:eastAsia="仿宋" w:cs="仿宋"/>
          <w:bCs/>
          <w:sz w:val="32"/>
          <w:szCs w:val="32"/>
          <w:lang w:val="en-US" w:eastAsia="zh-CN"/>
        </w:rPr>
        <w:t>2778.17</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，社会保障和就业支出272.15万元，卫生健康支出107.35万元，住房保障支出235.55万元。</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其中：一般公共预算财政拨款基本支出人员经费3096.07万元。</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（1）工资福利支出2854.75万元：包括基本工资1026.55万元；津补贴12.49万元，奖金475.32万元，伙食补助费4.06万元，绩效工资726.48万元。</w:t>
      </w:r>
      <w:r>
        <w:rPr>
          <w:rFonts w:hint="eastAsia" w:ascii="仿宋" w:hAnsi="仿宋" w:eastAsia="仿宋" w:cs="仿宋"/>
          <w:bCs/>
          <w:sz w:val="32"/>
          <w:szCs w:val="32"/>
        </w:rPr>
        <w:t>机关事业单位基本养老保险缴费</w:t>
      </w:r>
      <w:r>
        <w:rPr>
          <w:rFonts w:hint="eastAsia" w:ascii="仿宋" w:hAnsi="仿宋" w:eastAsia="仿宋" w:cs="仿宋"/>
          <w:bCs/>
          <w:sz w:val="32"/>
          <w:szCs w:val="32"/>
          <w:lang w:val="en-US" w:eastAsia="zh-CN"/>
        </w:rPr>
        <w:t>230.85万元；职工基本医疗保险缴费</w:t>
      </w:r>
      <w:r>
        <w:rPr>
          <w:rFonts w:hint="eastAsia" w:ascii="仿宋" w:hAnsi="仿宋" w:eastAsia="仿宋" w:cs="仿宋"/>
          <w:bCs/>
          <w:sz w:val="32"/>
          <w:szCs w:val="32"/>
          <w:lang w:eastAsia="zh-CN"/>
        </w:rPr>
        <w:t>1</w:t>
      </w:r>
      <w:r>
        <w:rPr>
          <w:rFonts w:hint="eastAsia" w:ascii="仿宋" w:hAnsi="仿宋" w:eastAsia="仿宋" w:cs="仿宋"/>
          <w:bCs/>
          <w:sz w:val="32"/>
          <w:szCs w:val="32"/>
          <w:lang w:val="en-US" w:eastAsia="zh-CN"/>
        </w:rPr>
        <w:t>12.51万元；  其他社会保障缴费24.20万元；住房公积金235.55万元；医疗费1.38万元，其他工资福利支出5.36万元。</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 对个人和家庭的补助支出241.32万元：退休费221.34万元，抚恤金15.52万元，生活补助0.76万元，救济费2.25万元，其他对个人和家庭的补助1.45万元，</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一般公共预算财政拨款基本支出</w:t>
      </w:r>
      <w:r>
        <w:rPr>
          <w:rFonts w:hint="eastAsia" w:ascii="仿宋" w:hAnsi="仿宋" w:eastAsia="仿宋" w:cs="仿宋"/>
          <w:bCs/>
          <w:sz w:val="32"/>
          <w:szCs w:val="32"/>
        </w:rPr>
        <w:t>公用经费</w:t>
      </w:r>
      <w:r>
        <w:rPr>
          <w:rFonts w:hint="eastAsia" w:ascii="仿宋" w:hAnsi="仿宋" w:eastAsia="仿宋" w:cs="仿宋"/>
          <w:bCs/>
          <w:sz w:val="32"/>
          <w:szCs w:val="32"/>
          <w:lang w:val="en-US" w:eastAsia="zh-CN"/>
        </w:rPr>
        <w:t>299.49</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）商品和服务支出</w:t>
      </w:r>
      <w:r>
        <w:rPr>
          <w:rFonts w:hint="eastAsia" w:ascii="仿宋" w:hAnsi="仿宋" w:eastAsia="仿宋" w:cs="仿宋"/>
          <w:bCs/>
          <w:sz w:val="32"/>
          <w:szCs w:val="32"/>
          <w:lang w:val="en-US" w:eastAsia="zh-CN"/>
        </w:rPr>
        <w:t>276.43万元：包括</w:t>
      </w:r>
      <w:r>
        <w:rPr>
          <w:rFonts w:hint="eastAsia" w:ascii="仿宋" w:hAnsi="仿宋" w:eastAsia="仿宋" w:cs="仿宋"/>
          <w:bCs/>
          <w:sz w:val="32"/>
          <w:szCs w:val="32"/>
        </w:rPr>
        <w:t>办公费3.</w:t>
      </w:r>
      <w:r>
        <w:rPr>
          <w:rFonts w:hint="eastAsia" w:ascii="仿宋" w:hAnsi="仿宋" w:eastAsia="仿宋" w:cs="仿宋"/>
          <w:bCs/>
          <w:sz w:val="32"/>
          <w:szCs w:val="32"/>
          <w:lang w:val="en-US" w:eastAsia="zh-CN"/>
        </w:rPr>
        <w:t>86</w:t>
      </w:r>
      <w:r>
        <w:rPr>
          <w:rFonts w:hint="eastAsia" w:ascii="仿宋" w:hAnsi="仿宋" w:eastAsia="仿宋" w:cs="仿宋"/>
          <w:bCs/>
          <w:sz w:val="32"/>
          <w:szCs w:val="32"/>
        </w:rPr>
        <w:t>万元，印刷费</w:t>
      </w:r>
      <w:r>
        <w:rPr>
          <w:rFonts w:hint="eastAsia" w:ascii="仿宋" w:hAnsi="仿宋" w:eastAsia="仿宋" w:cs="仿宋"/>
          <w:bCs/>
          <w:sz w:val="32"/>
          <w:szCs w:val="32"/>
          <w:lang w:val="en-US" w:eastAsia="zh-CN"/>
        </w:rPr>
        <w:t>5.96</w:t>
      </w:r>
      <w:r>
        <w:rPr>
          <w:rFonts w:hint="eastAsia" w:ascii="仿宋" w:hAnsi="仿宋" w:eastAsia="仿宋" w:cs="仿宋"/>
          <w:bCs/>
          <w:sz w:val="32"/>
          <w:szCs w:val="32"/>
        </w:rPr>
        <w:t>万元，水费</w:t>
      </w:r>
      <w:r>
        <w:rPr>
          <w:rFonts w:hint="eastAsia" w:ascii="仿宋" w:hAnsi="仿宋" w:eastAsia="仿宋" w:cs="仿宋"/>
          <w:bCs/>
          <w:sz w:val="32"/>
          <w:szCs w:val="32"/>
          <w:lang w:val="en-US" w:eastAsia="zh-CN"/>
        </w:rPr>
        <w:t>20.00</w:t>
      </w:r>
      <w:r>
        <w:rPr>
          <w:rFonts w:hint="eastAsia" w:ascii="仿宋" w:hAnsi="仿宋" w:eastAsia="仿宋" w:cs="仿宋"/>
          <w:bCs/>
          <w:sz w:val="32"/>
          <w:szCs w:val="32"/>
        </w:rPr>
        <w:t>万元，电费</w:t>
      </w:r>
      <w:r>
        <w:rPr>
          <w:rFonts w:hint="eastAsia" w:ascii="仿宋" w:hAnsi="仿宋" w:eastAsia="仿宋" w:cs="仿宋"/>
          <w:bCs/>
          <w:sz w:val="32"/>
          <w:szCs w:val="32"/>
          <w:lang w:val="en-US" w:eastAsia="zh-CN"/>
        </w:rPr>
        <w:t>31.19</w:t>
      </w:r>
      <w:r>
        <w:rPr>
          <w:rFonts w:hint="eastAsia" w:ascii="仿宋" w:hAnsi="仿宋" w:eastAsia="仿宋" w:cs="仿宋"/>
          <w:bCs/>
          <w:sz w:val="32"/>
          <w:szCs w:val="32"/>
        </w:rPr>
        <w:t>万元，</w:t>
      </w:r>
      <w:r>
        <w:rPr>
          <w:rFonts w:hint="eastAsia" w:ascii="仿宋" w:hAnsi="仿宋" w:eastAsia="仿宋" w:cs="仿宋"/>
          <w:bCs/>
          <w:sz w:val="32"/>
          <w:szCs w:val="32"/>
          <w:lang w:eastAsia="zh-CN"/>
        </w:rPr>
        <w:t>邮电费</w:t>
      </w:r>
      <w:r>
        <w:rPr>
          <w:rFonts w:hint="eastAsia" w:ascii="仿宋" w:hAnsi="仿宋" w:eastAsia="仿宋" w:cs="仿宋"/>
          <w:bCs/>
          <w:sz w:val="32"/>
          <w:szCs w:val="32"/>
          <w:lang w:val="en-US" w:eastAsia="zh-CN"/>
        </w:rPr>
        <w:t>1.60万元，</w:t>
      </w:r>
      <w:r>
        <w:rPr>
          <w:rFonts w:hint="eastAsia" w:ascii="仿宋" w:hAnsi="仿宋" w:eastAsia="仿宋" w:cs="仿宋"/>
          <w:bCs/>
          <w:sz w:val="32"/>
          <w:szCs w:val="32"/>
        </w:rPr>
        <w:t>物业管理费</w:t>
      </w:r>
      <w:r>
        <w:rPr>
          <w:rFonts w:hint="eastAsia" w:ascii="仿宋" w:hAnsi="仿宋" w:eastAsia="仿宋" w:cs="仿宋"/>
          <w:bCs/>
          <w:sz w:val="32"/>
          <w:szCs w:val="32"/>
          <w:lang w:val="en-US" w:eastAsia="zh-CN"/>
        </w:rPr>
        <w:t>4.98</w:t>
      </w:r>
      <w:r>
        <w:rPr>
          <w:rFonts w:hint="eastAsia" w:ascii="仿宋" w:hAnsi="仿宋" w:eastAsia="仿宋" w:cs="仿宋"/>
          <w:bCs/>
          <w:sz w:val="32"/>
          <w:szCs w:val="32"/>
        </w:rPr>
        <w:t>万元，差旅费</w:t>
      </w:r>
      <w:r>
        <w:rPr>
          <w:rFonts w:hint="eastAsia" w:ascii="仿宋" w:hAnsi="仿宋" w:eastAsia="仿宋" w:cs="仿宋"/>
          <w:bCs/>
          <w:sz w:val="32"/>
          <w:szCs w:val="32"/>
          <w:lang w:val="en-US" w:eastAsia="zh-CN"/>
        </w:rPr>
        <w:t>1.83</w:t>
      </w:r>
      <w:r>
        <w:rPr>
          <w:rFonts w:hint="eastAsia" w:ascii="仿宋" w:hAnsi="仿宋" w:eastAsia="仿宋" w:cs="仿宋"/>
          <w:bCs/>
          <w:sz w:val="32"/>
          <w:szCs w:val="32"/>
        </w:rPr>
        <w:t>万元，维修（护）费</w:t>
      </w:r>
      <w:r>
        <w:rPr>
          <w:rFonts w:hint="eastAsia" w:ascii="仿宋" w:hAnsi="仿宋" w:eastAsia="仿宋" w:cs="仿宋"/>
          <w:bCs/>
          <w:sz w:val="32"/>
          <w:szCs w:val="32"/>
          <w:lang w:val="en-US" w:eastAsia="zh-CN"/>
        </w:rPr>
        <w:t>19.72</w:t>
      </w:r>
      <w:r>
        <w:rPr>
          <w:rFonts w:hint="eastAsia" w:ascii="仿宋" w:hAnsi="仿宋" w:eastAsia="仿宋" w:cs="仿宋"/>
          <w:bCs/>
          <w:sz w:val="32"/>
          <w:szCs w:val="32"/>
        </w:rPr>
        <w:t>万元，</w:t>
      </w:r>
      <w:r>
        <w:rPr>
          <w:rFonts w:hint="eastAsia" w:ascii="仿宋" w:hAnsi="仿宋" w:eastAsia="仿宋" w:cs="仿宋"/>
          <w:bCs/>
          <w:sz w:val="32"/>
          <w:szCs w:val="32"/>
          <w:lang w:eastAsia="zh-CN"/>
        </w:rPr>
        <w:t>租赁费</w:t>
      </w:r>
      <w:r>
        <w:rPr>
          <w:rFonts w:hint="eastAsia" w:ascii="仿宋" w:hAnsi="仿宋" w:eastAsia="仿宋" w:cs="仿宋"/>
          <w:bCs/>
          <w:sz w:val="32"/>
          <w:szCs w:val="32"/>
          <w:lang w:val="en-US" w:eastAsia="zh-CN"/>
        </w:rPr>
        <w:t>2.77万元，</w:t>
      </w:r>
      <w:r>
        <w:rPr>
          <w:rFonts w:hint="eastAsia" w:ascii="仿宋" w:hAnsi="仿宋" w:eastAsia="仿宋" w:cs="仿宋"/>
          <w:bCs/>
          <w:sz w:val="32"/>
          <w:szCs w:val="32"/>
        </w:rPr>
        <w:t>培训费</w:t>
      </w:r>
      <w:r>
        <w:rPr>
          <w:rFonts w:hint="eastAsia" w:ascii="仿宋" w:hAnsi="仿宋" w:eastAsia="仿宋" w:cs="仿宋"/>
          <w:bCs/>
          <w:sz w:val="32"/>
          <w:szCs w:val="32"/>
          <w:lang w:val="en-US" w:eastAsia="zh-CN"/>
        </w:rPr>
        <w:t>7.55</w:t>
      </w:r>
      <w:r>
        <w:rPr>
          <w:rFonts w:hint="eastAsia" w:ascii="仿宋" w:hAnsi="仿宋" w:eastAsia="仿宋" w:cs="仿宋"/>
          <w:bCs/>
          <w:sz w:val="32"/>
          <w:szCs w:val="32"/>
        </w:rPr>
        <w:t>万元，公务接待费</w:t>
      </w:r>
      <w:r>
        <w:rPr>
          <w:rFonts w:hint="eastAsia" w:ascii="仿宋" w:hAnsi="仿宋" w:eastAsia="仿宋" w:cs="仿宋"/>
          <w:bCs/>
          <w:sz w:val="32"/>
          <w:szCs w:val="32"/>
          <w:lang w:val="en-US" w:eastAsia="zh-CN"/>
        </w:rPr>
        <w:t>1.26</w:t>
      </w:r>
      <w:r>
        <w:rPr>
          <w:rFonts w:hint="eastAsia" w:ascii="仿宋" w:hAnsi="仿宋" w:eastAsia="仿宋" w:cs="仿宋"/>
          <w:bCs/>
          <w:sz w:val="32"/>
          <w:szCs w:val="32"/>
        </w:rPr>
        <w:t>万元，专用材料费</w:t>
      </w:r>
      <w:r>
        <w:rPr>
          <w:rFonts w:hint="eastAsia" w:ascii="仿宋" w:hAnsi="仿宋" w:eastAsia="仿宋" w:cs="仿宋"/>
          <w:bCs/>
          <w:sz w:val="32"/>
          <w:szCs w:val="32"/>
          <w:lang w:val="en-US" w:eastAsia="zh-CN"/>
        </w:rPr>
        <w:t>43.12</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,委托业</w:t>
      </w:r>
      <w:r>
        <w:rPr>
          <w:rFonts w:hint="eastAsia" w:ascii="仿宋" w:hAnsi="仿宋" w:eastAsia="仿宋" w:cs="仿宋"/>
          <w:bCs/>
          <w:sz w:val="32"/>
          <w:szCs w:val="32"/>
        </w:rPr>
        <w:t>务费</w:t>
      </w:r>
      <w:r>
        <w:rPr>
          <w:rFonts w:hint="eastAsia" w:ascii="仿宋" w:hAnsi="仿宋" w:eastAsia="仿宋" w:cs="仿宋"/>
          <w:bCs/>
          <w:sz w:val="32"/>
          <w:szCs w:val="32"/>
          <w:lang w:val="en-US" w:eastAsia="zh-CN"/>
        </w:rPr>
        <w:t>20.84</w:t>
      </w:r>
      <w:r>
        <w:rPr>
          <w:rFonts w:hint="eastAsia" w:ascii="仿宋" w:hAnsi="仿宋" w:eastAsia="仿宋" w:cs="仿宋"/>
          <w:bCs/>
          <w:sz w:val="32"/>
          <w:szCs w:val="32"/>
        </w:rPr>
        <w:t>万元，工会经费</w:t>
      </w:r>
      <w:r>
        <w:rPr>
          <w:rFonts w:hint="eastAsia" w:ascii="仿宋" w:hAnsi="仿宋" w:eastAsia="仿宋" w:cs="仿宋"/>
          <w:bCs/>
          <w:sz w:val="32"/>
          <w:szCs w:val="32"/>
          <w:lang w:val="en-US" w:eastAsia="zh-CN"/>
        </w:rPr>
        <w:t>56.07</w:t>
      </w:r>
      <w:r>
        <w:rPr>
          <w:rFonts w:hint="eastAsia" w:ascii="仿宋" w:hAnsi="仿宋" w:eastAsia="仿宋" w:cs="仿宋"/>
          <w:bCs/>
          <w:sz w:val="32"/>
          <w:szCs w:val="32"/>
        </w:rPr>
        <w:t>万元，其他交通费2.</w:t>
      </w:r>
      <w:r>
        <w:rPr>
          <w:rFonts w:hint="eastAsia" w:ascii="仿宋" w:hAnsi="仿宋" w:eastAsia="仿宋" w:cs="仿宋"/>
          <w:bCs/>
          <w:sz w:val="32"/>
          <w:szCs w:val="32"/>
          <w:lang w:val="en-US" w:eastAsia="zh-CN"/>
        </w:rPr>
        <w:t>01</w:t>
      </w:r>
      <w:r>
        <w:rPr>
          <w:rFonts w:hint="eastAsia" w:ascii="仿宋" w:hAnsi="仿宋" w:eastAsia="仿宋" w:cs="仿宋"/>
          <w:bCs/>
          <w:sz w:val="32"/>
          <w:szCs w:val="32"/>
        </w:rPr>
        <w:t>万元，</w:t>
      </w:r>
      <w:r>
        <w:rPr>
          <w:rFonts w:hint="eastAsia" w:ascii="仿宋" w:hAnsi="仿宋" w:eastAsia="仿宋" w:cs="仿宋"/>
          <w:bCs/>
          <w:sz w:val="32"/>
          <w:szCs w:val="32"/>
          <w:lang w:eastAsia="zh-CN"/>
        </w:rPr>
        <w:t>税金及附加费用</w:t>
      </w:r>
      <w:r>
        <w:rPr>
          <w:rFonts w:hint="eastAsia" w:ascii="仿宋" w:hAnsi="仿宋" w:eastAsia="仿宋" w:cs="仿宋"/>
          <w:bCs/>
          <w:sz w:val="32"/>
          <w:szCs w:val="32"/>
          <w:lang w:val="en-US" w:eastAsia="zh-CN"/>
        </w:rPr>
        <w:t>0.28万元，</w:t>
      </w:r>
      <w:r>
        <w:rPr>
          <w:rFonts w:hint="eastAsia" w:ascii="仿宋" w:hAnsi="仿宋" w:eastAsia="仿宋" w:cs="仿宋"/>
          <w:bCs/>
          <w:sz w:val="32"/>
          <w:szCs w:val="32"/>
        </w:rPr>
        <w:t>其他商品和服务支出</w:t>
      </w:r>
      <w:r>
        <w:rPr>
          <w:rFonts w:hint="eastAsia" w:ascii="仿宋" w:hAnsi="仿宋" w:eastAsia="仿宋" w:cs="仿宋"/>
          <w:bCs/>
          <w:sz w:val="32"/>
          <w:szCs w:val="32"/>
          <w:lang w:val="en-US" w:eastAsia="zh-CN"/>
        </w:rPr>
        <w:t>53.38</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）资本性支出</w:t>
      </w:r>
      <w:r>
        <w:rPr>
          <w:rFonts w:hint="eastAsia" w:ascii="仿宋" w:hAnsi="仿宋" w:eastAsia="仿宋" w:cs="仿宋"/>
          <w:bCs/>
          <w:sz w:val="32"/>
          <w:szCs w:val="32"/>
          <w:lang w:val="en-US" w:eastAsia="zh-CN"/>
        </w:rPr>
        <w:t>23.06</w:t>
      </w:r>
      <w:r>
        <w:rPr>
          <w:rFonts w:hint="eastAsia" w:ascii="仿宋" w:hAnsi="仿宋" w:eastAsia="仿宋" w:cs="仿宋"/>
          <w:bCs/>
          <w:sz w:val="32"/>
          <w:szCs w:val="32"/>
        </w:rPr>
        <w:t>万元</w:t>
      </w:r>
      <w:r>
        <w:rPr>
          <w:rFonts w:hint="eastAsia" w:ascii="仿宋" w:hAnsi="仿宋" w:eastAsia="仿宋" w:cs="仿宋"/>
          <w:bCs/>
          <w:sz w:val="32"/>
          <w:szCs w:val="32"/>
          <w:lang w:eastAsia="zh-CN"/>
        </w:rPr>
        <w:t>：包括办公设备购置</w:t>
      </w:r>
      <w:r>
        <w:rPr>
          <w:rFonts w:hint="eastAsia" w:ascii="仿宋" w:hAnsi="仿宋" w:eastAsia="仿宋" w:cs="仿宋"/>
          <w:bCs/>
          <w:sz w:val="32"/>
          <w:szCs w:val="32"/>
          <w:lang w:val="en-US" w:eastAsia="zh-CN"/>
        </w:rPr>
        <w:t>18.51万元，专用设备购置0.12万元，文物和陈列品购置3.87万元，其他资本性支出0.56万元。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（二）项目支出情况</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2022年度本部门无项目支出情况。</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2"/>
          <w:position w:val="0"/>
          <w:sz w:val="32"/>
          <w:szCs w:val="32"/>
          <w:lang w:val="en-US" w:eastAsia="zh-CN" w:bidi="ar-SA"/>
          <w14:textFill>
            <w14:solidFill>
              <w14:schemeClr w14:val="tx1"/>
            </w14:solidFill>
          </w14:textFill>
        </w:rPr>
        <w:t>三、</w:t>
      </w: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2022年度本部门无政府性基金支出情况。</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2"/>
          <w:position w:val="0"/>
          <w:sz w:val="32"/>
          <w:szCs w:val="32"/>
          <w:lang w:val="en-US" w:eastAsia="zh-CN" w:bidi="ar-SA"/>
          <w14:textFill>
            <w14:solidFill>
              <w14:schemeClr w14:val="tx1"/>
            </w14:solidFill>
          </w14:textFill>
        </w:rPr>
        <w:t>四、</w:t>
      </w: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2022年度本部门无国有资本经营预算支出情况。</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2022年度本部门无政府性基金支出情况</w:t>
      </w:r>
      <w:r>
        <w:rPr>
          <w:rFonts w:hint="eastAsia" w:ascii="楷体_GB2312" w:hAnsi="楷体_GB2312" w:eastAsia="楷体_GB2312" w:cs="楷体_GB2312"/>
          <w:b w:val="0"/>
          <w:bCs w:val="0"/>
          <w:color w:val="000000" w:themeColor="text1"/>
          <w:spacing w:val="0"/>
          <w:positio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年度评价得分为9</w:t>
      </w:r>
      <w:r>
        <w:rPr>
          <w:rFonts w:hint="eastAsia" w:ascii="仿宋" w:hAnsi="仿宋" w:eastAsia="仿宋" w:cs="仿宋"/>
          <w:bCs/>
          <w:sz w:val="32"/>
          <w:szCs w:val="32"/>
          <w:lang w:val="en-US" w:eastAsia="zh-CN"/>
        </w:rPr>
        <w:t>8</w:t>
      </w:r>
      <w:r>
        <w:rPr>
          <w:rFonts w:hint="eastAsia" w:ascii="仿宋" w:hAnsi="仿宋" w:eastAsia="仿宋" w:cs="仿宋"/>
          <w:bCs/>
          <w:sz w:val="32"/>
          <w:szCs w:val="32"/>
        </w:rPr>
        <w:t>分。</w:t>
      </w:r>
    </w:p>
    <w:p>
      <w:pPr>
        <w:spacing w:line="360" w:lineRule="auto"/>
        <w:ind w:firstLine="643" w:firstLineChars="200"/>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（一）</w:t>
      </w:r>
      <w:r>
        <w:rPr>
          <w:rFonts w:hint="eastAsia" w:ascii="仿宋" w:hAnsi="仿宋" w:eastAsia="仿宋" w:cs="仿宋"/>
          <w:b/>
          <w:bCs w:val="0"/>
          <w:sz w:val="32"/>
          <w:szCs w:val="32"/>
        </w:rPr>
        <w:t>部门整体支出绩效</w:t>
      </w:r>
      <w:r>
        <w:rPr>
          <w:rFonts w:hint="eastAsia" w:ascii="仿宋" w:hAnsi="仿宋" w:eastAsia="仿宋" w:cs="仿宋"/>
          <w:b/>
          <w:bCs w:val="0"/>
          <w:sz w:val="32"/>
          <w:szCs w:val="32"/>
          <w:lang w:eastAsia="zh-CN"/>
        </w:rPr>
        <w:t>指标完成情况如下：</w:t>
      </w:r>
    </w:p>
    <w:p>
      <w:pPr>
        <w:numPr>
          <w:ilvl w:val="0"/>
          <w:numId w:val="0"/>
        </w:num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预算执行比较到位。</w:t>
      </w:r>
      <w:r>
        <w:rPr>
          <w:rFonts w:hint="eastAsia" w:ascii="仿宋" w:hAnsi="仿宋" w:eastAsia="仿宋" w:cs="仿宋"/>
          <w:bCs/>
          <w:sz w:val="32"/>
          <w:szCs w:val="32"/>
          <w:lang w:val="en-US" w:eastAsia="zh-CN"/>
        </w:rPr>
        <w:t>我单位全年预算数4166.58万元，全年执行数4163.76万元，预算完成率99.93%。</w:t>
      </w:r>
    </w:p>
    <w:p>
      <w:pPr>
        <w:numPr>
          <w:ilvl w:val="0"/>
          <w:numId w:val="0"/>
        </w:num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产出指标执行比较到位。</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（1）数量指标：</w:t>
      </w:r>
      <w:r>
        <w:rPr>
          <w:rFonts w:hint="eastAsia" w:ascii="仿宋" w:hAnsi="仿宋" w:eastAsia="仿宋" w:cs="仿宋"/>
          <w:bCs/>
          <w:sz w:val="32"/>
          <w:szCs w:val="32"/>
          <w:lang w:eastAsia="zh-CN"/>
        </w:rPr>
        <w:t>学习招生工作圆满完成，教职工工资社保足额</w:t>
      </w:r>
      <w:r>
        <w:rPr>
          <w:rFonts w:hint="eastAsia" w:ascii="仿宋" w:hAnsi="仿宋" w:eastAsia="仿宋" w:cs="仿宋"/>
          <w:bCs/>
          <w:sz w:val="32"/>
          <w:szCs w:val="32"/>
          <w:lang w:val="en-US" w:eastAsia="zh-CN"/>
        </w:rPr>
        <w:t>按时</w:t>
      </w:r>
      <w:r>
        <w:rPr>
          <w:rFonts w:hint="eastAsia" w:ascii="仿宋" w:hAnsi="仿宋" w:eastAsia="仿宋" w:cs="仿宋"/>
          <w:bCs/>
          <w:sz w:val="32"/>
          <w:szCs w:val="32"/>
          <w:lang w:eastAsia="zh-CN"/>
        </w:rPr>
        <w:t>发放，</w:t>
      </w:r>
      <w:r>
        <w:rPr>
          <w:rFonts w:hint="eastAsia" w:ascii="仿宋" w:hAnsi="仿宋" w:eastAsia="仿宋" w:cs="仿宋"/>
          <w:bCs/>
          <w:sz w:val="32"/>
          <w:szCs w:val="32"/>
          <w:lang w:val="en-US" w:eastAsia="zh-CN"/>
        </w:rPr>
        <w:t>退休人员待遇及时足额发放，</w:t>
      </w:r>
      <w:r>
        <w:rPr>
          <w:rFonts w:hint="eastAsia" w:ascii="仿宋" w:hAnsi="仿宋" w:eastAsia="仿宋" w:cs="仿宋"/>
          <w:bCs/>
          <w:sz w:val="32"/>
          <w:szCs w:val="32"/>
          <w:lang w:eastAsia="zh-CN"/>
        </w:rPr>
        <w:t>教职工满意度</w:t>
      </w:r>
      <w:r>
        <w:rPr>
          <w:rFonts w:hint="eastAsia" w:ascii="仿宋" w:hAnsi="仿宋" w:eastAsia="仿宋" w:cs="仿宋"/>
          <w:bCs/>
          <w:sz w:val="32"/>
          <w:szCs w:val="32"/>
        </w:rPr>
        <w:t>100%。</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（2）质量指标：</w:t>
      </w:r>
      <w:r>
        <w:rPr>
          <w:rFonts w:hint="eastAsia" w:ascii="仿宋" w:hAnsi="仿宋" w:eastAsia="仿宋" w:cs="仿宋"/>
          <w:color w:val="000000"/>
          <w:sz w:val="32"/>
          <w:szCs w:val="32"/>
        </w:rPr>
        <w:t>开展优质教育教学活动和特色教育，完成教学目标任务。</w:t>
      </w:r>
      <w:r>
        <w:rPr>
          <w:rFonts w:hint="eastAsia" w:ascii="仿宋" w:hAnsi="仿宋" w:eastAsia="仿宋" w:cs="仿宋"/>
          <w:color w:val="000000"/>
          <w:sz w:val="32"/>
          <w:szCs w:val="32"/>
          <w:lang w:val="en-US" w:eastAsia="zh-CN"/>
        </w:rPr>
        <w:t>初中生升学</w:t>
      </w:r>
      <w:r>
        <w:rPr>
          <w:rFonts w:hint="eastAsia" w:ascii="仿宋" w:hAnsi="仿宋" w:eastAsia="仿宋" w:cs="仿宋"/>
          <w:color w:val="000000"/>
          <w:sz w:val="32"/>
          <w:szCs w:val="32"/>
          <w:lang w:eastAsia="zh-CN"/>
        </w:rPr>
        <w:t>率和学考合格率</w:t>
      </w:r>
      <w:r>
        <w:rPr>
          <w:rFonts w:hint="eastAsia" w:ascii="仿宋" w:hAnsi="仿宋" w:eastAsia="仿宋" w:cs="仿宋"/>
          <w:bCs/>
          <w:sz w:val="32"/>
          <w:szCs w:val="32"/>
        </w:rPr>
        <w:t>年度指标值100%，实际完成值100%。</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（3）时效指标：</w:t>
      </w:r>
      <w:r>
        <w:rPr>
          <w:rFonts w:hint="eastAsia" w:ascii="仿宋" w:hAnsi="仿宋" w:eastAsia="仿宋" w:cs="仿宋"/>
          <w:bCs/>
          <w:sz w:val="32"/>
          <w:szCs w:val="32"/>
          <w:lang w:val="en-US" w:eastAsia="zh-CN"/>
        </w:rPr>
        <w:t>按要求完成</w:t>
      </w:r>
      <w:r>
        <w:rPr>
          <w:rFonts w:hint="eastAsia" w:ascii="仿宋" w:hAnsi="仿宋" w:eastAsia="仿宋" w:cs="仿宋"/>
          <w:bCs/>
          <w:sz w:val="32"/>
          <w:szCs w:val="32"/>
          <w:lang w:eastAsia="zh-CN"/>
        </w:rPr>
        <w:t>上级下达</w:t>
      </w:r>
      <w:r>
        <w:rPr>
          <w:rFonts w:hint="eastAsia" w:ascii="仿宋" w:hAnsi="仿宋" w:eastAsia="仿宋" w:cs="仿宋"/>
          <w:bCs/>
          <w:sz w:val="32"/>
          <w:szCs w:val="32"/>
          <w:lang w:val="en-US" w:eastAsia="zh-CN"/>
        </w:rPr>
        <w:t>的</w:t>
      </w:r>
      <w:r>
        <w:rPr>
          <w:rFonts w:hint="eastAsia" w:ascii="仿宋" w:hAnsi="仿宋" w:eastAsia="仿宋" w:cs="仿宋"/>
          <w:bCs/>
          <w:sz w:val="32"/>
          <w:szCs w:val="32"/>
          <w:lang w:eastAsia="zh-CN"/>
        </w:rPr>
        <w:t>各项工作，</w:t>
      </w:r>
      <w:r>
        <w:rPr>
          <w:rFonts w:hint="eastAsia" w:ascii="仿宋" w:hAnsi="仿宋" w:eastAsia="仿宋" w:cs="仿宋"/>
          <w:bCs/>
          <w:sz w:val="32"/>
          <w:szCs w:val="32"/>
          <w:lang w:val="en-US" w:eastAsia="zh-CN"/>
        </w:rPr>
        <w:t>春秋两季</w:t>
      </w:r>
      <w:r>
        <w:rPr>
          <w:rFonts w:hint="eastAsia" w:ascii="仿宋" w:hAnsi="仿宋" w:eastAsia="仿宋" w:cs="仿宋"/>
          <w:bCs/>
          <w:sz w:val="32"/>
          <w:szCs w:val="32"/>
          <w:lang w:eastAsia="zh-CN"/>
        </w:rPr>
        <w:t>教学任务</w:t>
      </w:r>
      <w:r>
        <w:rPr>
          <w:rFonts w:hint="eastAsia" w:ascii="仿宋" w:hAnsi="仿宋" w:eastAsia="仿宋" w:cs="仿宋"/>
          <w:bCs/>
          <w:sz w:val="32"/>
          <w:szCs w:val="32"/>
          <w:lang w:val="en-US" w:eastAsia="zh-CN"/>
        </w:rPr>
        <w:t>及时</w:t>
      </w:r>
      <w:r>
        <w:rPr>
          <w:rFonts w:hint="eastAsia" w:ascii="仿宋" w:hAnsi="仿宋" w:eastAsia="仿宋" w:cs="仿宋"/>
          <w:bCs/>
          <w:sz w:val="32"/>
          <w:szCs w:val="32"/>
        </w:rPr>
        <w:t>完成，年度指标值100%，实际完成值100%。</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（4）成本指标：行政效能，我单位不断改善行政管理，严格经费及资产管理，改进文风会风，精简会议，提高了行政效率，降低了行政成本。</w:t>
      </w:r>
      <w:r>
        <w:rPr>
          <w:rFonts w:hint="eastAsia" w:ascii="仿宋" w:hAnsi="仿宋" w:eastAsia="仿宋" w:cs="仿宋"/>
          <w:bCs/>
          <w:sz w:val="32"/>
          <w:szCs w:val="32"/>
          <w:lang w:eastAsia="zh-CN"/>
        </w:rPr>
        <w:t>不挪用挤占专项资金，</w:t>
      </w:r>
      <w:r>
        <w:rPr>
          <w:rFonts w:hint="eastAsia" w:ascii="仿宋" w:hAnsi="仿宋" w:eastAsia="仿宋" w:cs="仿宋"/>
          <w:bCs/>
          <w:sz w:val="32"/>
          <w:szCs w:val="32"/>
          <w:lang w:val="en-US" w:eastAsia="zh-CN"/>
        </w:rPr>
        <w:t>奖金发放</w:t>
      </w:r>
      <w:r>
        <w:rPr>
          <w:rFonts w:hint="eastAsia" w:ascii="仿宋" w:hAnsi="仿宋" w:eastAsia="仿宋" w:cs="仿宋"/>
          <w:bCs/>
          <w:sz w:val="32"/>
          <w:szCs w:val="32"/>
        </w:rPr>
        <w:t>年度指标值100%，实际完成值100%。</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rPr>
        <w:t>效益指标执行比较到位。</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（1）经济效益指标：</w:t>
      </w:r>
      <w:r>
        <w:rPr>
          <w:rFonts w:hint="eastAsia" w:ascii="仿宋" w:hAnsi="仿宋" w:eastAsia="仿宋" w:cs="仿宋"/>
          <w:bCs/>
          <w:sz w:val="32"/>
          <w:szCs w:val="32"/>
          <w:lang w:val="en-US" w:eastAsia="zh-CN"/>
        </w:rPr>
        <w:t>学校各项工作有序开展，年度指标值100%，实际完成100%。</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（2）社会效益指标：</w:t>
      </w:r>
      <w:r>
        <w:rPr>
          <w:rFonts w:hint="eastAsia" w:ascii="仿宋" w:hAnsi="仿宋" w:eastAsia="仿宋" w:cs="仿宋"/>
          <w:bCs/>
          <w:sz w:val="32"/>
          <w:szCs w:val="32"/>
          <w:lang w:val="en-US" w:eastAsia="zh-CN"/>
        </w:rPr>
        <w:t>定期组织学生参加社会实践教育活动，及各种节日的主题教育活动，</w:t>
      </w:r>
      <w:r>
        <w:rPr>
          <w:rFonts w:hint="eastAsia" w:ascii="仿宋" w:hAnsi="仿宋" w:eastAsia="仿宋" w:cs="仿宋"/>
          <w:bCs/>
          <w:sz w:val="32"/>
          <w:szCs w:val="32"/>
        </w:rPr>
        <w:t>得到社会大众</w:t>
      </w:r>
      <w:r>
        <w:rPr>
          <w:rFonts w:hint="eastAsia" w:ascii="仿宋" w:hAnsi="仿宋" w:eastAsia="仿宋" w:cs="仿宋"/>
          <w:bCs/>
          <w:sz w:val="32"/>
          <w:szCs w:val="32"/>
          <w:lang w:val="en-US" w:eastAsia="zh-CN"/>
        </w:rPr>
        <w:t>和家长</w:t>
      </w:r>
      <w:r>
        <w:rPr>
          <w:rFonts w:hint="eastAsia" w:ascii="仿宋" w:hAnsi="仿宋" w:eastAsia="仿宋" w:cs="仿宋"/>
          <w:bCs/>
          <w:sz w:val="32"/>
          <w:szCs w:val="32"/>
        </w:rPr>
        <w:t>的一致肯定</w:t>
      </w:r>
      <w:r>
        <w:rPr>
          <w:rFonts w:hint="eastAsia" w:ascii="仿宋" w:hAnsi="仿宋" w:eastAsia="仿宋" w:cs="仿宋"/>
          <w:bCs/>
          <w:sz w:val="32"/>
          <w:szCs w:val="32"/>
          <w:lang w:val="en-US" w:eastAsia="zh-CN"/>
        </w:rPr>
        <w:t>与</w:t>
      </w:r>
      <w:r>
        <w:rPr>
          <w:rFonts w:hint="eastAsia" w:ascii="仿宋" w:hAnsi="仿宋" w:eastAsia="仿宋" w:cs="仿宋"/>
          <w:bCs/>
          <w:sz w:val="32"/>
          <w:szCs w:val="32"/>
        </w:rPr>
        <w:t>好评</w:t>
      </w:r>
      <w:r>
        <w:rPr>
          <w:rFonts w:hint="eastAsia" w:ascii="仿宋" w:hAnsi="仿宋" w:eastAsia="仿宋" w:cs="仿宋"/>
          <w:bCs/>
          <w:sz w:val="32"/>
          <w:szCs w:val="32"/>
          <w:lang w:eastAsia="zh-CN"/>
        </w:rPr>
        <w:t>。</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（3）可持续影响指标：</w:t>
      </w:r>
      <w:r>
        <w:rPr>
          <w:rFonts w:hint="eastAsia" w:ascii="仿宋" w:hAnsi="仿宋" w:eastAsia="仿宋" w:cs="仿宋"/>
          <w:bCs/>
          <w:sz w:val="32"/>
          <w:szCs w:val="32"/>
          <w:lang w:eastAsia="zh-CN"/>
        </w:rPr>
        <w:t>创建“清廉学校”，</w:t>
      </w:r>
      <w:r>
        <w:rPr>
          <w:rFonts w:hint="eastAsia" w:ascii="仿宋" w:hAnsi="仿宋" w:eastAsia="仿宋" w:cs="仿宋"/>
          <w:bCs/>
          <w:sz w:val="32"/>
          <w:szCs w:val="32"/>
          <w:lang w:val="en-US" w:eastAsia="zh-CN"/>
        </w:rPr>
        <w:t>实施“政治领航”，引领学校优质发展。大力开展落实学生安全管理和安全教育，安全知识宣传等活动。</w:t>
      </w:r>
      <w:r>
        <w:rPr>
          <w:rFonts w:hint="eastAsia" w:ascii="仿宋" w:hAnsi="仿宋" w:eastAsia="仿宋" w:cs="仿宋"/>
          <w:bCs/>
          <w:sz w:val="32"/>
          <w:szCs w:val="32"/>
        </w:rPr>
        <w:t>年度指标值100%，实际完成值100%。</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w:t>
      </w:r>
      <w:r>
        <w:rPr>
          <w:rFonts w:hint="eastAsia" w:ascii="仿宋" w:hAnsi="仿宋" w:eastAsia="仿宋" w:cs="仿宋"/>
          <w:bCs/>
          <w:sz w:val="32"/>
          <w:szCs w:val="32"/>
        </w:rPr>
        <w:t>社会公众或服务对象满意度：在年度绩效考核中成绩合格。</w:t>
      </w:r>
    </w:p>
    <w:p>
      <w:pPr>
        <w:pStyle w:val="2"/>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（二）部门整体支出绩效目标完成情况如下：</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、落实立德树人，提升德育实效</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立德树人是学校的根本任务。我校着力通过正面教育来引导人、感化人、激励人；通过合适的教育来塑造人、改变人、发展人。</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以管理育人促习惯养成。好习惯是成就人生的基础。各年级针对不同年龄段学生的特点，结合“五项管理”的工作要求，制定培养目标和行为标准，严格训练，反复强化，培养学生好的学习生活习惯。通过强化日常行为管理、落实文明城市创建的相关要求，培养学生的文明习惯；通过有效地家校合作，实现家校共育，班主任坚持每周家访、电访，关注并培养学生的生活习惯；通过规范体育课教学、开展大课间活动，培养学生的运动习惯；通过抓实课堂常规，培养学生在课堂上抬头挺胸、声音洪亮的说话习惯，认真倾听、踊跃发言的听课习惯，字迹工整的书写习惯，小组学习、相互讨论的合作习惯以及静心阅读、善做笔记的阅读习惯。</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以课程育人促价值引领。思政课是落实立德树人任务的根本课程，我校重点组建了一支专业的思政课教师团队，创新思政课堂模式，让学生主导课堂，让思政教学更有“亲和力”，学校政治组被评为楼区名师工作室。在课程思政方面，研究并发挥各个学科的德育功能，挖掘育人素材，用好校本课程，在价值传播中凝聚知识底蕴、在学科教学中强调价值引领。</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以预防为主促平安发展。“生命不保，何谈教育？”平安是学校发展的基石，也是学校教育的首要任务之一。我校以制度强管理，针对安全工作，制定并完善了安全管理制度、安全隐患排除制度、安全事故应急预案等。坚持以防为主，组织完成了“青骄行动”网上禁毒教育平台、“安全教育平台”、“消防安全”教育平台、“疫情防控监测”平台、“全国中小学生体质健康平台”的注册和线上学习。利用主题班会、升旗仪式、宣传栏等途径，做好防校园欺凌、防溺水等安全知识宣传。在校门口建立护学岗，由校领导、行政、党员教师等坚持每天值守，加强学生上学、放学等重点时段的管理，确保师生出入平安。注重情感关怀和思想引导，开展心理健康教育专题讲座等，就增强学生自信心，心理情绪调适等方面进行科学指导，加强学生心理健康防护。</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同时，按照“两案九制”工作要求，重点加强常态化疫情防控工作。一是做好师生疫情摸排。组织以班级为单位开展疫情摸底工作，准确掌握全校师生假期动向和身体健康状况。二是建立疫情台账档案。建立师生防疫日报表，做好详细的信息统计，每天跟踪询问核查相关师生身体心理及情绪状况，切实做到早发现、早预防。三是严格落实全体学生每日体温测量、因病缺勤缺课登记、追踪与回访等制度。四是严格校园管理整治。为严防疫情向校园输入扩散，严格执行校园封闭式管理，严格执行“五个一律”。一年来，学校未发生任何安全责任事故。</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）、以活动育人促身心发展。在德育的实践与探索中，我校逐步形成了五大系列教育活动。</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一是国防、爱国主义教育活动。每年新生入校都进行了军训，实行准军事化管理，帮助学生确立规范意识，增强纪律观念，磨练坚韧意志，培养吃苦耐劳的精神。每周一举行升旗仪式，通过国旗下讲话激发学生的爱国热情和自立自强、积极向上的精神风貌。</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是节日、纪念日主题教育活动。如：3月学雷锋演讲、征文、板报比赛；清明节祭扫烈士墓；在母亲节、教师节组织学生征文比赛；二十大召开前后组织了唱红歌比赛、学习二十大等专题活动；12月4日法制宣传日组织普法签名、黑板报评比等等。</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三是社会实践教育活动。组织学生到敬老院进行慰问演出；走进市特校开展一对一帮教活动；在寒暑假做普法调查等内容的社会实践报，让学生走出校园，在实践中得到锻炼成长。</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四是文明礼仪教育活动。利用班会课、板报、手抄报等形式开展内部丰富、形式多样的文明礼仪教育活动。</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五是体育艺术教育活动。我们坚持每年举办一届校园文化艺术节、运动会、手工艺品展，成立了包括文学社、书法社、爱心社、环保社、舞蹈社等多个学生社团，丰富了校园生活，培养了学生能力，发展了学生个性，也取得了一定的成绩。</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通过管理育人，课程育人，活动育人，稳步落实立德树人，推动学生向身心健康者、品德优秀者、习惯良好者、基础扎实者、责任担当者、社会适应者这六个层面发展。在湖南省第十四届运动会上，我校足球队荣获青少年组足球比赛亚军，取得岳阳市历史最好成绩，参加省足协杯比赛荣获省第五名，多名运动员获二级足球运动员称号；陈梓妮、刘懿禾等同学获得青少年组水球比赛冠军；黄云扬同学获得青少年组蝶泳全能第三名和青少年组男子4x100接力第八名；苏景泽同学获得高尔夫球U18男子个人比赛第四名，及青少年组高尔夫球比赛体育道德风尚奖。在市区成建制班级合唱比赛中我校荣获区级第一名，市级第三名。在全国第24届《语文报》杯主题征文中，袁钰淇等多名学生分获金银铜奖，舒梦灵等多名教师分获金、银牌指导老师奖。在全国蓝桥杯计算机编程比赛中，樊洪儒等同学取得省赛入门级一等奖，提高级二等奖，以优异成绩进入国赛。在第二十二届湖南省中小学信息素养提升实践活动中，刘俊瑄同学荣获省二等奖，市一等奖。在全国及省市中学生才艺大赛中，王可达等多名学生取得名次。王奕萌同学被评为市级“新时代岳阳好少年”。</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、坚持党建引领，确保风清气正</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校党总支全面贯彻落实新时代党的建设总要求，加强党对学校工作的全面领导，大力实施“政治领航”、“强基固本”、“凝心聚力”三大工程，以高质量党建引领学校优质发展。</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）、实施“政治领航”工程，把牢办学政治方向。学校始终坚持把政治建设放在首位，坚持和完善党总支领导下的校长负责制，严格落实意识形态工作责任制，实施党政齐抓共管，党政同步推进。</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年初，楼区纪委、区教育局来校开展巡察工作，既是区委对我校领导班子和党员干部履职情况的监督检查，也是对我校党组织建设等工作的全面了解和有力促进。对于巡察组指出我校存在的八个问题，我们建立问题清单、细化整改措施，分解责任到人，明确整改时限，推进任务销号。下半年，巡察组进行回访督查，肯定了我校在整改中的工作措施和工作成效，认为巡察工作达到预期效果。此次巡察工作推动我校各项工作向规范化、法治化、有序化发展，全面提升学校的办学水平。</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实施“强基固本”工程，建强基层战斗堡垒。以四亮创建和“三表率一模范”党员先锋示范岗活动，推动学校支部建设全面进步、全面过硬。在教育教学、疫情防控、考试组考、垃圾分类等工作中，党员干部亮身份、树榜样、挑重担，争做标兵。校长、书记亲自上党课，带领党员学习二十大报告；鲁辉、刘小兴、杨凌等带头上公开课；刘毅、高蕾、张政等年轻党员服从学校安排，身兼数职。丁岳华、余松华、杨东才等老党员坚守高三，以校为家。</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实施“清风护航”工程，营造风清气正环境。清廉学校建设是学校发展的一块重要基石，我校把党风廉政建设纳入重要工作日程，以廉政促勤政，以廉政促教风。严格规范从教行为，开展领导干部廉政自查，完善教师职业道德考核办法、学校财务管理办法等。监督小微权力，推行校务公开，学校重大决策、大宗物资采购、工程招投标、评优评先、改革方案的制定实施，都广泛征求意见并及时公开结果。</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积极创建省市区级“清廉单元样本培树单位”，建设廉政文化长廊，编订清廉校本教材，开设清廉教育课程，开展“敬廉”主题班会，发放清廉家书，让清廉意识植根学生心灵。9月1日，岳阳市清廉单元现场观摩会之“听廉”活动在我校举行，市纪委书记谢运策等市区各级纪检监察部门的领导对我校清廉校园建设给予高度评价。</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、围绕全面提质，抓实教学常规</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在“三新（新课标、新教材、新高考）”背景下，落实“双减”政策，提升教学质量尤为重要。我校把质量当成头等大事，通过上下联动、通力合作，全校教师齐发力，全力提升教学质量。</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加强队伍建设，提高教师素质。教师是课堂教学的主体，我校实施师德和业务两手抓，两不误，着力培养教师在“树立必胜信念；加强师德修养；提升业务水平；落实教学常规；加强教学研究；加强团队协作”六个层面的发展。</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立德者先立德，立德者必有德。我校利用会议、培训及微信公众号等，多渠道推送《习总书记喜欢的典故》《清廉文化每周一读》《学习二十大》等内容，全面推进师德师风的教育和宣传。建立学校内部督导机制，落实上级有关中小学违规征订教辅材料、违规收受红包礼金等专项整治工作，制订《岳阳市外国语学校教师十严禁》，在令行禁止，建章立制的基础上，评选师德标兵，树立模范典型，讲好师德故事，突出爱与责任，传递正能量。蔡咏雪、刘娟、张华喜等老师的事迹在《岳阳日报》上报道；钟龙飞老师荣获区政协“书香政协，读书达人”称号，周天伦老师荣获区“五四青年”奖章。在2022年楼区教师节表彰大会上，杨丽老师荣获“岳阳楼区名师”荣誉称号、蔡咏雪老师荣获“优秀班主任”荣誉称号、黎红杏老师荣获“优秀教师”荣誉称号、刘毅老师荣获市级表彰个人、我校教研组等荣获多项集体荣誉称号。</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努力提高教师的十六种业务能力，一方面，加大教师培训力度，通过名师讲堂、业务考试、教学竞赛、师徒结对、教学检查、教学督导等多途径促进教师学习，提升业务能力。今年，我校组织参加新课程、新教材、新高考、新技术理论等各类培训21项，参培教师共计313人次。罗起、许彩云、张湘辉等37名教师的教学论文在省级以上刊物发表并获奖。黎红杏、王次敏等10余名教师参与了重点教辅资料的编订工作。刘毅、陈红利等老师分别参与了国家及省市区级的课题研究。另一方面加强青年教师和新进教师培养。在教师业务考试、教学竞赛中，一批年轻教师脱颖而出。张华喜、梁娟等10余名教师获得省级以上荣誉，高蕾、许婉萍等教师在“金鹗杯”“金钥匙”等教学竞赛中拔得头筹。在区委、区政府、区教育局的大力支持下，我校通过四海揽才、教师招聘等选拔了16名新教师，其中既有毛卫东、欧阳芳等名优骨干教师，也有张政、李立等优秀高校毕业生，为学校发展注入了活力，队伍结构得到了优化。</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抓实教学常规，打造高效课堂。我校严格落实教育部有关“双减”和“五项管理”的工作要求，按照上级教育部门规定开齐开足课程，同时结合学校特色开设二外、礼仪等校本课程，科学合理编制课程表、作息时间表、教学活动计划表等，确保教学工作顺利进行。</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教学质量的核心在于落实教学常规。首先，落实集体备课，把集体备课作为深入研讨教与学的方法。每期开学前，召开教研组长会，分析一学期的教学工作重点，布置教学任务。备课组集体研讨做到定主题、定时间、定地点；研政策、研资料、研学情；有记录、有反思、有效果。重点围绕教学中出现的实际问题展开，就导学案、周测卷等工作提出全员参与，分工合作，主备+讨论等思想，备课组活动成果要入学校导学案库和周测卷库，备课组活动情况每周进行统计通报。其次，抓实教学督导，校领导带头深入课堂，督导教学。检查教师的教案、作业批改，组织学生座谈，并在督导反馈会上就教案、作业、听课、座谈等情况进行讲评，提出整改意见与建议。上半年组织了高三教学督导、青年教师习题讲评课，下半年组织了新进教师亮相课、竞赛课和全校文化课随机督导，极大地提升了教师的教学能力。第三，将终结性的检查分散到平时工作，对教师的教案、作业、听评课、培优辅差情况进行定期检查与不定期抽查相结合，并及时形成讲评材料反馈存在的问题。</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教学质量的评估依托考试检测。认真组织月考、期中、期末等考试，严把考后质量分析关。每次考试前，就命题、审题、质量、难度、梯度、试题、答题卡、参考答案格式规范等召开专题会议商定。就严格组考、统一哨声、提前到岗、严密安检、认真监考等召开年级组长会议做要求。每次考试后，做到试卷不过夜，数据分析及时到位。各备课组的老师也会坐下来，认真就每一个班级，每一个后进生的具体情况仔细分析，总结成功经验和失败教训，分析每位后进生知识的缺陷，交流各自改进的措施，努力做到考试一次，研究一次，提高一次。各年级认真组织召开年级组教师会、班科联系会、学生会、家长会，用数据说话，讲评得失，表彰优秀，汇报学情。学校的教学讲评以问题为导向，切中要点，对症下药。</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高三强力推进，学校全面护航。高三工作是学校管理工作的重中之重，我校集中力量，全力护航。加强领导是前提，按照“两有、两抓”的指导思想，即：有信心就有力量，有付出就有收获；抓常规就是抓质量，抓管理也是抓质量。校级领导和行政干部联点班级和备课组，深入一线抓备考。严格管理是保证，实行班主任周例会制，每周一早晨召开班主任例会，讲评上周工作，安排下周工作，解决问题及时得当，工作安排有条不紊。落实常规是关键，实行周测制和小题训练，有力地促进了查漏补缺工作。科学备考是策略，以活动提士气，组织百日誓师大会、成人礼及主题班会等活动，不断激励学生积极向上，攻坚克难；同时，注重学生心理疏通，通过体育锻炼、谈心谈话等方式适时缓解学生心理压力，杜绝安全隐患。向临界生要质量，实施“低重心、重基础、多反复、慢爬坡”的复习应考策略，有超过50名学生经过老师的精心辅导，高考成绩大幅提高；向单招、专业生要质量，尽早谋划，用心策划，做家长工作，做学生工作，做最优选择，寻求新的增长点。</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市教科院、楼区教研中心三次来校开展视导活动，对我校教学工作，特别是高三年级的教学工作给予了高度评价。今年高考再创辉煌，340人参考，本科上线人数240人，本科上线率70.59%。纯文化特殊类本科上线人数和本科上线率均创历史最高纪录，各数据稳居楼区普通中学第一名。</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、突出办学特色，创新内涵发展</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特色建设是学校内涵发展的重要内容。我校坚持办好六年一贯，不断深化语言特色教育，努力创出自己的品牌。</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六年一贯制”已现锋芒。今年是我校力推初高中“六年一贯制”课程改革的第五年。已有两个课改年级进入高中阶段学习，中三年级完成分班工作。为确保学生在分班、直升后顺利适应新的教学内容和班级环境，组织各年级各学科召开初高中教学衔接研讨会，参考已有经验，结合省内外其他学校的经验，稳步实现初高中教学的无缝衔接。目前，课改班几次参加省市联考均取得了非常理想的成绩。上半年，湖南师大附中党委副书记、颐华学校党总支书记、校长彭荣宏一行来校参观交流，高度评价了我校六年一贯改革，并提出双方学校能在六年一贯制及高考等方面保持交流，实现资源共享，互促发展。</w:t>
      </w:r>
    </w:p>
    <w:p>
      <w:pPr>
        <w:pStyle w:val="2"/>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外语特色做强做优。做强英语学科，我校初高中英语在高考、联考等考试中继续保持全市同类学校第一名，英语教研组被评为市级优秀教研组，黎红杏老师的市级英语名师工作室已正式挂牌。做优小语种，现开设有德语、日语、韩语三门课程，实行等级考试。德语A1等级考试，我校通过率达100%，连续三年取得全省第一，李娅等三名学生获得全额奖学金，参加德国夏令营。我校成功入选“中美青少年教育交流周活动”，全国仅有25所学校，全省仅有两所学校入选。疫情期间，与日本沼津、北海道立命馆庆祥高中保持联系，开展了铃木翔太画展、线上主题交流、赠送新年贺卡等多项活动。</w:t>
      </w:r>
    </w:p>
    <w:p>
      <w:pPr>
        <w:pStyle w:val="2"/>
        <w:rPr>
          <w:rFonts w:hint="eastAsia" w:eastAsia="仿宋"/>
          <w:lang w:eastAsia="zh-CN"/>
        </w:rPr>
      </w:pPr>
      <w:r>
        <w:rPr>
          <w:rFonts w:hint="eastAsia" w:ascii="仿宋" w:hAnsi="仿宋" w:eastAsia="仿宋" w:cs="仿宋"/>
          <w:bCs/>
          <w:sz w:val="32"/>
          <w:szCs w:val="32"/>
          <w:lang w:eastAsia="zh-CN"/>
        </w:rPr>
        <w:t>船到中流须搏浪，人至巅峰可瞰远。我校正处于改革发展的关键时期，下到楼区后更是得到了楼区区委、区政府、区教育局的高度重视，不仅在师资引进、职称评定上给予了大力支持，还为学校新建了教学楼、配备了多种现代化的教学设备。为争创楼区名副其实的优质高中，学校提出了未来两年“863”的奋斗目标，即本科升学率突破80%，600分必须突破，一本升学率突破30%。有目标，就有动力。创优之路还需全体教职员工继续努力，团结协作，砥砺奋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预算编制工作有待细化。预算编制不够明确和细化，预算编制的合理性需要提高，预算执行力度还要进一步加强。</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2</w:t>
      </w:r>
      <w:r>
        <w:rPr>
          <w:rFonts w:hint="eastAsia" w:ascii="仿宋" w:hAnsi="仿宋" w:eastAsia="仿宋" w:cs="仿宋"/>
          <w:bCs/>
          <w:sz w:val="32"/>
          <w:szCs w:val="32"/>
          <w:lang w:eastAsia="zh-CN"/>
        </w:rPr>
        <w:t>、商品和服务支出预算</w:t>
      </w:r>
      <w:r>
        <w:rPr>
          <w:rFonts w:hint="eastAsia" w:ascii="仿宋" w:hAnsi="仿宋" w:eastAsia="仿宋" w:cs="仿宋"/>
          <w:bCs/>
          <w:sz w:val="32"/>
          <w:szCs w:val="32"/>
        </w:rPr>
        <w:t>与实际支出相差较大</w:t>
      </w:r>
      <w:r>
        <w:rPr>
          <w:rFonts w:hint="eastAsia" w:ascii="仿宋" w:hAnsi="仿宋" w:eastAsia="仿宋" w:cs="仿宋"/>
          <w:bCs/>
          <w:sz w:val="32"/>
          <w:szCs w:val="32"/>
          <w:lang w:eastAsia="zh-CN"/>
        </w:rPr>
        <w:t>，基本为刚性开支，控制有一定难度。</w:t>
      </w:r>
    </w:p>
    <w:p>
      <w:pPr>
        <w:spacing w:line="360" w:lineRule="auto"/>
        <w:ind w:firstLine="640" w:firstLineChars="200"/>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Cs/>
          <w:sz w:val="32"/>
          <w:szCs w:val="32"/>
          <w:lang w:val="en-US" w:eastAsia="zh-CN"/>
        </w:rPr>
        <w:t>3、</w:t>
      </w:r>
      <w:r>
        <w:rPr>
          <w:rFonts w:hint="eastAsia" w:ascii="仿宋" w:hAnsi="仿宋" w:eastAsia="仿宋" w:cs="仿宋"/>
          <w:color w:val="010101"/>
          <w:sz w:val="32"/>
          <w:szCs w:val="32"/>
        </w:rPr>
        <w:t>政府采购决算与年初批复</w:t>
      </w:r>
      <w:r>
        <w:rPr>
          <w:rFonts w:hint="eastAsia" w:ascii="仿宋" w:hAnsi="仿宋" w:eastAsia="仿宋" w:cs="仿宋"/>
          <w:color w:val="010101"/>
          <w:sz w:val="32"/>
          <w:szCs w:val="32"/>
          <w:lang w:eastAsia="zh-CN"/>
        </w:rPr>
        <w:t>预算</w:t>
      </w:r>
      <w:r>
        <w:rPr>
          <w:rFonts w:hint="eastAsia" w:ascii="仿宋" w:hAnsi="仿宋" w:eastAsia="仿宋" w:cs="仿宋"/>
          <w:color w:val="010101"/>
          <w:sz w:val="32"/>
          <w:szCs w:val="32"/>
        </w:rPr>
        <w:t>存在差异</w:t>
      </w:r>
      <w:r>
        <w:rPr>
          <w:rFonts w:hint="eastAsia" w:ascii="仿宋" w:hAnsi="仿宋" w:eastAsia="仿宋" w:cs="仿宋"/>
          <w:color w:val="010101"/>
          <w:sz w:val="32"/>
          <w:szCs w:val="32"/>
          <w:lang w:eastAsia="zh-CN"/>
        </w:rPr>
        <w:t>，主要是维修费支出发生频繁，数额较小，没有</w:t>
      </w:r>
      <w:r>
        <w:rPr>
          <w:rFonts w:hint="eastAsia" w:ascii="仿宋" w:hAnsi="仿宋" w:eastAsia="仿宋" w:cs="仿宋"/>
          <w:color w:val="010101"/>
          <w:sz w:val="32"/>
          <w:szCs w:val="32"/>
          <w:lang w:val="en-US" w:eastAsia="zh-CN"/>
        </w:rPr>
        <w:t>执行</w:t>
      </w:r>
      <w:r>
        <w:rPr>
          <w:rFonts w:hint="eastAsia" w:ascii="仿宋" w:hAnsi="仿宋" w:eastAsia="仿宋" w:cs="仿宋"/>
          <w:color w:val="010101"/>
          <w:sz w:val="32"/>
          <w:szCs w:val="32"/>
          <w:lang w:eastAsia="zh-CN"/>
        </w:rPr>
        <w:t>政府采购。</w:t>
      </w:r>
    </w:p>
    <w:p>
      <w:pPr>
        <w:ind w:firstLine="640" w:firstLineChars="200"/>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八、下一步改进措施</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bCs/>
          <w:sz w:val="32"/>
          <w:szCs w:val="32"/>
        </w:rPr>
        <w:t>针对上述存在的问题及对外整体支出管理工作的需要，拟实施的改进措施如下：</w:t>
      </w:r>
      <w:r>
        <w:rPr>
          <w:rFonts w:hint="eastAsia" w:ascii="仿宋" w:hAnsi="仿宋" w:eastAsia="仿宋" w:cs="仿宋"/>
          <w:sz w:val="32"/>
          <w:szCs w:val="32"/>
        </w:rPr>
        <w:t> </w:t>
      </w:r>
    </w:p>
    <w:p>
      <w:pPr>
        <w:spacing w:line="360" w:lineRule="auto"/>
        <w:ind w:left="218" w:leftChars="104" w:firstLine="482"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cstheme="minorEastAsia"/>
          <w:b/>
          <w:bCs/>
          <w:sz w:val="32"/>
          <w:szCs w:val="32"/>
          <w:lang w:eastAsia="zh-CN"/>
        </w:rPr>
        <w:t>（一）</w:t>
      </w:r>
      <w:r>
        <w:rPr>
          <w:rFonts w:hint="eastAsia" w:asciiTheme="minorEastAsia" w:hAnsiTheme="minorEastAsia" w:eastAsiaTheme="minorEastAsia" w:cstheme="minorEastAsia"/>
          <w:b/>
          <w:bCs/>
          <w:sz w:val="32"/>
          <w:szCs w:val="32"/>
        </w:rPr>
        <w:t>严格预决算管理</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加强预算管理。</w:t>
      </w:r>
      <w:r>
        <w:rPr>
          <w:rFonts w:hint="eastAsia" w:ascii="仿宋" w:hAnsi="仿宋" w:eastAsia="仿宋" w:cs="仿宋"/>
          <w:color w:val="010101"/>
          <w:sz w:val="32"/>
          <w:szCs w:val="32"/>
        </w:rPr>
        <w:t>加强预算编制的前瞻性，按照《预算法》及其实施条例的相关规定，按政策规定及本部门的发展规划，结合上一年度预算执行情况和本年度预算收支变化因素，科学、合理地编制本年预算草案，避免预算支出与实际执行出现较大偏差的情况。</w:t>
      </w:r>
      <w:r>
        <w:rPr>
          <w:rFonts w:hint="eastAsia" w:ascii="仿宋" w:hAnsi="仿宋" w:eastAsia="仿宋" w:cs="仿宋"/>
          <w:sz w:val="32"/>
          <w:szCs w:val="32"/>
        </w:rPr>
        <w:t>支出预算要按照“量入为出”和“保工资，保运转，保稳定，促发展”的原则合理安排。</w:t>
      </w:r>
      <w:r>
        <w:rPr>
          <w:rFonts w:hint="eastAsia" w:ascii="仿宋" w:hAnsi="仿宋" w:eastAsia="仿宋" w:cs="仿宋"/>
          <w:bCs/>
          <w:sz w:val="32"/>
          <w:szCs w:val="32"/>
        </w:rPr>
        <w:t>进一步提高预算编制的科学性、严谨性和可控性。加强内部预算编制的审核和预算控制指标的下达。</w:t>
      </w:r>
    </w:p>
    <w:p>
      <w:pPr>
        <w:spacing w:line="360" w:lineRule="auto"/>
        <w:ind w:left="218" w:leftChars="104" w:firstLine="640" w:firstLineChars="200"/>
        <w:rPr>
          <w:rFonts w:hint="eastAsia" w:asciiTheme="minorEastAsia" w:hAnsiTheme="minorEastAsia" w:cstheme="minorEastAsia"/>
          <w:sz w:val="24"/>
          <w:szCs w:val="24"/>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加强决算管理。切实履行单位决算的工作组织，编制审核，汇总报送，分析利用以及考核评价等方面的管理职责，做到决算数据真实准确，内容完整</w:t>
      </w:r>
      <w:r>
        <w:rPr>
          <w:rFonts w:hint="eastAsia" w:ascii="仿宋" w:hAnsi="仿宋" w:eastAsia="仿宋" w:cs="仿宋"/>
          <w:sz w:val="32"/>
          <w:szCs w:val="32"/>
          <w:lang w:eastAsia="zh-CN"/>
        </w:rPr>
        <w:t>。</w:t>
      </w:r>
    </w:p>
    <w:p>
      <w:pPr>
        <w:spacing w:line="360" w:lineRule="auto"/>
        <w:ind w:left="218" w:leftChars="104" w:firstLine="480" w:firstLineChars="200"/>
        <w:rPr>
          <w:rFonts w:hint="eastAsia" w:ascii="仿宋" w:hAnsi="仿宋" w:eastAsia="仿宋" w:cs="仿宋"/>
          <w:sz w:val="32"/>
          <w:szCs w:val="32"/>
        </w:rPr>
      </w:pPr>
      <w:r>
        <w:rPr>
          <w:rFonts w:hint="eastAsia" w:asciiTheme="minorEastAsia" w:hAnsiTheme="minorEastAsia" w:eastAsiaTheme="minorEastAsia" w:cstheme="minorEastAsia"/>
          <w:sz w:val="24"/>
          <w:szCs w:val="24"/>
        </w:rPr>
        <w:t> </w:t>
      </w:r>
      <w:r>
        <w:rPr>
          <w:rFonts w:hint="eastAsia" w:ascii="仿宋" w:hAnsi="仿宋" w:eastAsia="仿宋" w:cs="仿宋"/>
          <w:b/>
          <w:bCs/>
          <w:sz w:val="32"/>
          <w:szCs w:val="32"/>
          <w:lang w:eastAsia="zh-CN"/>
        </w:rPr>
        <w:t>（二）</w:t>
      </w:r>
      <w:r>
        <w:rPr>
          <w:rFonts w:hint="eastAsia" w:ascii="仿宋" w:hAnsi="仿宋" w:eastAsia="仿宋" w:cs="仿宋"/>
          <w:b/>
          <w:bCs/>
          <w:sz w:val="32"/>
          <w:szCs w:val="32"/>
        </w:rPr>
        <w:t>加强收支管理</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加强收入管理，将本单位收入全部纳入财政预算一体化系统，实行国库集中支付电子化管理。</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加强支出管理，</w:t>
      </w:r>
      <w:r>
        <w:rPr>
          <w:rFonts w:hint="eastAsia" w:ascii="仿宋" w:hAnsi="仿宋" w:eastAsia="仿宋" w:cs="仿宋"/>
          <w:sz w:val="32"/>
          <w:szCs w:val="32"/>
          <w:lang w:eastAsia="zh-CN"/>
        </w:rPr>
        <w:t>严格</w:t>
      </w:r>
      <w:r>
        <w:rPr>
          <w:rFonts w:hint="eastAsia" w:ascii="仿宋" w:hAnsi="仿宋" w:eastAsia="仿宋" w:cs="仿宋"/>
          <w:bCs/>
          <w:sz w:val="32"/>
          <w:szCs w:val="32"/>
        </w:rPr>
        <w:t>按照预算规定的费用项目和用途进行资金使用审核、列报支付、财务核算，杜绝超支现象的发生。</w:t>
      </w:r>
      <w:r>
        <w:rPr>
          <w:rFonts w:hint="eastAsia" w:ascii="仿宋" w:hAnsi="仿宋" w:eastAsia="仿宋" w:cs="仿宋"/>
          <w:sz w:val="32"/>
          <w:szCs w:val="32"/>
        </w:rPr>
        <w:t>基本支出和项目支出不得混用，公用经费和人员经费不得混用。</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（1）工资福利管理，严格执行相关工资及津补贴政策，不得自立项目，超范围超标准发放津补贴奖金和其他福利。</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（2）公务活动用餐管理，严格执行无公函不接待，同城不接待。严禁报销烟酒水果高档菜肴及娱乐场所发票。严格控制陪餐人数和用餐标准。</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（3）差旅费管理，切实加强差旅费预算管理，从严控制出差天数和人数，严禁无实质内容无明确公务目的的差旅活动。对公务出差人员按政策标准据实报销交通费住宿费和伙食补助。</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4）政府采购管理，本单位在编制单位预算的同时，按《预算法》有关规定编制政府采购预算。严格按照《中华人民共和国政府采购法》和《政府集中采购目录》的有关规定，凡采购物品和服务项目金额达到政府采购标准的，都必须实施政府采购。不得将采购项目化整为零，规避政府采购。</w:t>
      </w:r>
    </w:p>
    <w:p>
      <w:pPr>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 加强国有资产管理</w:t>
      </w:r>
    </w:p>
    <w:p>
      <w:pPr>
        <w:spacing w:line="360" w:lineRule="auto"/>
        <w:ind w:firstLine="960" w:firstLineChars="300"/>
        <w:rPr>
          <w:rFonts w:hint="eastAsia" w:ascii="仿宋" w:hAnsi="仿宋" w:eastAsia="仿宋" w:cs="仿宋"/>
          <w:bCs/>
          <w:sz w:val="32"/>
          <w:szCs w:val="32"/>
          <w:lang w:eastAsia="zh-CN"/>
        </w:rPr>
      </w:pPr>
      <w:r>
        <w:rPr>
          <w:rFonts w:hint="eastAsia" w:ascii="仿宋" w:hAnsi="仿宋" w:eastAsia="仿宋" w:cs="仿宋"/>
          <w:color w:val="010101"/>
          <w:sz w:val="32"/>
          <w:szCs w:val="32"/>
        </w:rPr>
        <w:t>严格按照《固定资产管理办法》的规定</w:t>
      </w:r>
      <w:r>
        <w:rPr>
          <w:rFonts w:hint="eastAsia" w:ascii="仿宋" w:hAnsi="仿宋" w:eastAsia="仿宋" w:cs="仿宋"/>
          <w:color w:val="010101"/>
          <w:sz w:val="32"/>
          <w:szCs w:val="32"/>
          <w:lang w:eastAsia="zh-CN"/>
        </w:rPr>
        <w:t>，</w:t>
      </w:r>
      <w:r>
        <w:rPr>
          <w:rFonts w:hint="eastAsia" w:ascii="仿宋" w:hAnsi="仿宋" w:eastAsia="仿宋" w:cs="仿宋"/>
          <w:bCs/>
          <w:sz w:val="32"/>
          <w:szCs w:val="32"/>
        </w:rPr>
        <w:t>规范各类资产的购置审批制度、资产采购制度、使用管理制度、资产处置和报废审批制度、资产管理岗位职责制度等</w:t>
      </w:r>
      <w:r>
        <w:rPr>
          <w:rFonts w:hint="eastAsia" w:ascii="仿宋" w:hAnsi="仿宋" w:eastAsia="仿宋" w:cs="仿宋"/>
          <w:bCs/>
          <w:sz w:val="32"/>
          <w:szCs w:val="32"/>
          <w:lang w:eastAsia="zh-CN"/>
        </w:rPr>
        <w:t>。</w:t>
      </w:r>
      <w:r>
        <w:rPr>
          <w:rFonts w:hint="eastAsia" w:ascii="仿宋" w:hAnsi="仿宋" w:eastAsia="仿宋" w:cs="仿宋"/>
          <w:sz w:val="32"/>
          <w:szCs w:val="32"/>
        </w:rPr>
        <w:t>国有资产</w:t>
      </w:r>
      <w:r>
        <w:rPr>
          <w:rFonts w:hint="eastAsia" w:ascii="仿宋" w:hAnsi="仿宋" w:eastAsia="仿宋" w:cs="仿宋"/>
          <w:sz w:val="32"/>
          <w:szCs w:val="32"/>
          <w:lang w:eastAsia="zh-CN"/>
        </w:rPr>
        <w:t>日常</w:t>
      </w:r>
      <w:r>
        <w:rPr>
          <w:rFonts w:hint="eastAsia" w:ascii="仿宋" w:hAnsi="仿宋" w:eastAsia="仿宋" w:cs="仿宋"/>
          <w:sz w:val="32"/>
          <w:szCs w:val="32"/>
        </w:rPr>
        <w:t>要及时纳入财政财务核算，并定期进行盘点，做到账账相符，账实相符</w:t>
      </w:r>
      <w:r>
        <w:rPr>
          <w:rFonts w:hint="eastAsia" w:ascii="仿宋" w:hAnsi="仿宋" w:eastAsia="仿宋" w:cs="仿宋"/>
          <w:sz w:val="32"/>
          <w:szCs w:val="32"/>
          <w:lang w:eastAsia="zh-CN"/>
        </w:rPr>
        <w:t>，严禁账外资产，</w:t>
      </w:r>
      <w:r>
        <w:rPr>
          <w:rFonts w:hint="eastAsia" w:ascii="仿宋" w:hAnsi="仿宋" w:eastAsia="仿宋" w:cs="仿宋"/>
          <w:bCs/>
          <w:sz w:val="32"/>
          <w:szCs w:val="32"/>
        </w:rPr>
        <w:t>加强单位内部的资产管理</w:t>
      </w:r>
      <w:r>
        <w:rPr>
          <w:rFonts w:hint="eastAsia" w:ascii="仿宋" w:hAnsi="仿宋" w:eastAsia="仿宋" w:cs="仿宋"/>
          <w:bCs/>
          <w:sz w:val="32"/>
          <w:szCs w:val="32"/>
          <w:lang w:eastAsia="zh-CN"/>
        </w:rPr>
        <w:t>。</w:t>
      </w:r>
    </w:p>
    <w:p>
      <w:pPr>
        <w:pStyle w:val="2"/>
        <w:rPr>
          <w:rFonts w:hint="eastAsia"/>
        </w:rPr>
      </w:pPr>
    </w:p>
    <w:p>
      <w:pPr>
        <w:numPr>
          <w:ilvl w:val="0"/>
          <w:numId w:val="2"/>
        </w:numPr>
        <w:ind w:left="148" w:leftChars="0" w:firstLine="482" w:firstLineChars="0"/>
        <w:rPr>
          <w:rFonts w:hint="eastAsia" w:ascii="仿宋" w:hAnsi="仿宋" w:eastAsia="仿宋" w:cs="仿宋"/>
          <w:b/>
          <w:bCs/>
          <w:sz w:val="32"/>
          <w:szCs w:val="32"/>
        </w:rPr>
      </w:pPr>
      <w:r>
        <w:rPr>
          <w:rFonts w:hint="eastAsia" w:ascii="仿宋" w:hAnsi="仿宋" w:eastAsia="仿宋" w:cs="仿宋"/>
          <w:b/>
          <w:bCs/>
          <w:sz w:val="32"/>
          <w:szCs w:val="32"/>
        </w:rPr>
        <w:t>建立健全内部控制制度</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岗位管理，严格按照《会计法》和相关政策要求设置财务岗位，明确岗位职责权限，严格执行不相容职务相分离制度。</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内部控制，加强内部审计，实行日常监督和专项监督相结合的财务监督制度，规范单位各项经济活动，依法公开财务信息。</w:t>
      </w:r>
    </w:p>
    <w:p>
      <w:pPr>
        <w:spacing w:line="360" w:lineRule="auto"/>
        <w:ind w:left="218" w:leftChars="104"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 业务培训，加强财务人员业务培训，</w:t>
      </w:r>
      <w:r>
        <w:rPr>
          <w:rFonts w:hint="eastAsia" w:ascii="仿宋" w:hAnsi="仿宋" w:eastAsia="仿宋" w:cs="仿宋"/>
          <w:sz w:val="32"/>
          <w:szCs w:val="32"/>
          <w:lang w:eastAsia="zh-CN"/>
        </w:rPr>
        <w:t>继续教育，</w:t>
      </w:r>
      <w:r>
        <w:rPr>
          <w:rFonts w:hint="eastAsia" w:ascii="仿宋" w:hAnsi="仿宋" w:eastAsia="仿宋" w:cs="仿宋"/>
          <w:sz w:val="32"/>
          <w:szCs w:val="32"/>
        </w:rPr>
        <w:t>不断提高财务人员政治素质</w:t>
      </w:r>
      <w:r>
        <w:rPr>
          <w:rFonts w:hint="eastAsia" w:ascii="仿宋" w:hAnsi="仿宋" w:eastAsia="仿宋" w:cs="仿宋"/>
          <w:sz w:val="32"/>
          <w:szCs w:val="32"/>
          <w:lang w:eastAsia="zh-CN"/>
        </w:rPr>
        <w:t>，</w:t>
      </w:r>
      <w:r>
        <w:rPr>
          <w:rFonts w:hint="eastAsia" w:ascii="仿宋" w:hAnsi="仿宋" w:eastAsia="仿宋" w:cs="仿宋"/>
          <w:sz w:val="32"/>
          <w:szCs w:val="32"/>
        </w:rPr>
        <w:t>业务能力和职业道德水平。</w:t>
      </w:r>
    </w:p>
    <w:p>
      <w:pPr>
        <w:pStyle w:val="2"/>
        <w:rPr>
          <w:rFonts w:hint="default"/>
        </w:rPr>
      </w:pP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部门整体支出绩效自评结果拟应用和公开情况</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sz w:val="32"/>
          <w:szCs w:val="32"/>
        </w:rPr>
        <w:t>根据《部门整体支出绩效评价指标》规定的内容</w:t>
      </w:r>
      <w:r>
        <w:rPr>
          <w:rFonts w:hint="eastAsia" w:ascii="仿宋" w:hAnsi="仿宋" w:eastAsia="仿宋" w:cs="仿宋"/>
          <w:color w:val="000000"/>
          <w:sz w:val="32"/>
          <w:szCs w:val="32"/>
          <w:lang w:eastAsia="zh-CN"/>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部门整体支出绩效自评打分98分，绩效考核成绩整体较好。且</w:t>
      </w:r>
      <w:r>
        <w:rPr>
          <w:rFonts w:hint="eastAsia" w:ascii="仿宋" w:hAnsi="仿宋" w:eastAsia="仿宋" w:cs="仿宋"/>
          <w:color w:val="010101"/>
          <w:sz w:val="32"/>
          <w:szCs w:val="32"/>
        </w:rPr>
        <w:t>按规定内容规定时限</w:t>
      </w:r>
      <w:r>
        <w:rPr>
          <w:rFonts w:hint="eastAsia" w:ascii="仿宋" w:hAnsi="仿宋" w:eastAsia="仿宋" w:cs="仿宋"/>
          <w:color w:val="010101"/>
          <w:sz w:val="32"/>
          <w:szCs w:val="32"/>
          <w:lang w:eastAsia="zh-CN"/>
        </w:rPr>
        <w:t>进行</w:t>
      </w:r>
      <w:r>
        <w:rPr>
          <w:rFonts w:hint="eastAsia" w:ascii="仿宋" w:hAnsi="仿宋" w:eastAsia="仿宋" w:cs="仿宋"/>
          <w:color w:val="010101"/>
          <w:sz w:val="32"/>
          <w:szCs w:val="32"/>
        </w:rPr>
        <w:t>预决算信息</w:t>
      </w:r>
      <w:r>
        <w:rPr>
          <w:rFonts w:hint="eastAsia" w:ascii="仿宋" w:hAnsi="仿宋" w:eastAsia="仿宋" w:cs="仿宋"/>
          <w:color w:val="010101"/>
          <w:sz w:val="32"/>
          <w:szCs w:val="32"/>
          <w:lang w:eastAsia="zh-CN"/>
        </w:rPr>
        <w:t>全公开。</w:t>
      </w:r>
      <w:r>
        <w:rPr>
          <w:rFonts w:hint="eastAsia" w:ascii="仿宋" w:hAnsi="仿宋" w:eastAsia="仿宋" w:cs="仿宋"/>
          <w:color w:val="010101"/>
          <w:sz w:val="32"/>
          <w:szCs w:val="32"/>
        </w:rPr>
        <w:t>基础数据信息和会计信息资料真实，</w:t>
      </w:r>
      <w:r>
        <w:rPr>
          <w:rFonts w:hint="eastAsia" w:ascii="仿宋" w:hAnsi="仿宋" w:eastAsia="仿宋" w:cs="仿宋"/>
          <w:color w:val="010101"/>
          <w:sz w:val="32"/>
          <w:szCs w:val="32"/>
          <w:lang w:eastAsia="zh-CN"/>
        </w:rPr>
        <w:t>完整，</w:t>
      </w:r>
      <w:r>
        <w:rPr>
          <w:rFonts w:hint="eastAsia" w:ascii="仿宋" w:hAnsi="仿宋" w:eastAsia="仿宋" w:cs="仿宋"/>
          <w:color w:val="010101"/>
          <w:sz w:val="32"/>
          <w:szCs w:val="32"/>
        </w:rPr>
        <w:t>准确。</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报告需要以下附件：</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1、部门整体支出绩效评价基础数据表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2、部门整体支出绩效自评表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3、项目支出绩效自评表(一个一级项目支出一张表)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4、政府性基金预算支出情况表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5、国有资本经营预算支出情况表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6、社会保险基金预算支出情况表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spacing w:before="169" w:line="776" w:lineRule="exact"/>
        <w:ind w:left="372"/>
        <w:rPr>
          <w:rFonts w:hint="eastAsia" w:ascii="宋体" w:hAnsi="宋体" w:eastAsia="宋体" w:cs="宋体"/>
          <w:b/>
          <w:bCs/>
          <w:color w:val="000000" w:themeColor="text1"/>
          <w:spacing w:val="19"/>
          <w:position w:val="17"/>
          <w:sz w:val="36"/>
          <w:szCs w:val="36"/>
          <w:lang w:eastAsia="zh-CN"/>
          <w14:textFill>
            <w14:solidFill>
              <w14:schemeClr w14:val="tx1"/>
            </w14:solidFill>
          </w14:textFill>
        </w:rPr>
        <w:sectPr>
          <w:pgSz w:w="11906" w:h="16838"/>
          <w:pgMar w:top="1701" w:right="1701" w:bottom="1701" w:left="170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9"/>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75" w:type="dxa"/>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pPr>
        <w:ind w:firstLine="1440" w:firstLineChars="400"/>
        <w:jc w:val="both"/>
        <w:rPr>
          <w:rFonts w:hint="eastAsia" w:eastAsia="方正小标宋简体"/>
          <w:sz w:val="36"/>
          <w:szCs w:val="36"/>
          <w:lang w:eastAsia="zh-CN"/>
        </w:rPr>
      </w:pPr>
    </w:p>
    <w:p>
      <w:pPr>
        <w:ind w:firstLine="1440" w:firstLineChars="400"/>
        <w:jc w:val="both"/>
        <w:rPr>
          <w:rFonts w:hint="eastAsia" w:eastAsia="方正小标宋简体"/>
          <w:color w:val="FF0000"/>
          <w:spacing w:val="-6"/>
          <w:sz w:val="36"/>
          <w:szCs w:val="36"/>
          <w:lang w:eastAsia="zh-CN"/>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6"/>
        <w:tblW w:w="9510" w:type="dxa"/>
        <w:jc w:val="center"/>
        <w:tblLayout w:type="fixed"/>
        <w:tblCellMar>
          <w:top w:w="0" w:type="dxa"/>
          <w:left w:w="108" w:type="dxa"/>
          <w:bottom w:w="0" w:type="dxa"/>
          <w:right w:w="108" w:type="dxa"/>
        </w:tblCellMar>
      </w:tblPr>
      <w:tblGrid>
        <w:gridCol w:w="774"/>
        <w:gridCol w:w="1501"/>
        <w:gridCol w:w="6482"/>
        <w:gridCol w:w="753"/>
      </w:tblGrid>
      <w:tr>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w:t>
            </w:r>
          </w:p>
        </w:tc>
      </w:tr>
      <w:tr>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pPr>
              <w:spacing w:line="320" w:lineRule="exact"/>
              <w:jc w:val="center"/>
              <w:rPr>
                <w:rFonts w:hint="eastAsia" w:asciiTheme="majorEastAsia" w:hAnsiTheme="majorEastAsia" w:eastAsiaTheme="majorEastAsia" w:cstheme="majorEastAsia"/>
                <w:szCs w:val="21"/>
              </w:rPr>
            </w:pPr>
          </w:p>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pPr>
              <w:spacing w:line="240" w:lineRule="exact"/>
              <w:jc w:val="center"/>
              <w:rPr>
                <w:rFonts w:hint="eastAsia" w:asciiTheme="majorEastAsia" w:hAnsiTheme="majorEastAsia" w:eastAsiaTheme="majorEastAsia" w:cstheme="majorEastAsia"/>
                <w:szCs w:val="21"/>
              </w:rPr>
            </w:pPr>
          </w:p>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both"/>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19</w:t>
            </w:r>
          </w:p>
        </w:tc>
      </w:tr>
      <w:tr>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14</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98</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1203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0D850"/>
    <w:multiLevelType w:val="singleLevel"/>
    <w:tmpl w:val="0150D850"/>
    <w:lvl w:ilvl="0" w:tentative="0">
      <w:start w:val="9"/>
      <w:numFmt w:val="chineseCounting"/>
      <w:suff w:val="nothing"/>
      <w:lvlText w:val="%1、"/>
      <w:lvlJc w:val="left"/>
      <w:rPr>
        <w:rFonts w:hint="eastAsia"/>
      </w:rPr>
    </w:lvl>
  </w:abstractNum>
  <w:abstractNum w:abstractNumId="1">
    <w:nsid w:val="5F2384ED"/>
    <w:multiLevelType w:val="singleLevel"/>
    <w:tmpl w:val="5F2384ED"/>
    <w:lvl w:ilvl="0" w:tentative="0">
      <w:start w:val="4"/>
      <w:numFmt w:val="chineseCounting"/>
      <w:suff w:val="space"/>
      <w:lvlText w:val="（%1）"/>
      <w:lvlJc w:val="left"/>
      <w:pPr>
        <w:ind w:left="-70"/>
      </w:pPr>
      <w:rPr>
        <w:rFonts w:hint="eastAsia"/>
      </w:rPr>
    </w:lvl>
  </w:abstractNum>
  <w:abstractNum w:abstractNumId="2">
    <w:nsid w:val="79416AEA"/>
    <w:multiLevelType w:val="singleLevel"/>
    <w:tmpl w:val="79416AE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00A3765"/>
    <w:rsid w:val="001D7282"/>
    <w:rsid w:val="0039081D"/>
    <w:rsid w:val="005E6ECB"/>
    <w:rsid w:val="006B26C4"/>
    <w:rsid w:val="00744EA1"/>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457029"/>
    <w:rsid w:val="014900E3"/>
    <w:rsid w:val="014F5749"/>
    <w:rsid w:val="01521E95"/>
    <w:rsid w:val="01727F7E"/>
    <w:rsid w:val="01764DBE"/>
    <w:rsid w:val="01806F8C"/>
    <w:rsid w:val="0182483A"/>
    <w:rsid w:val="01863406"/>
    <w:rsid w:val="018D011E"/>
    <w:rsid w:val="019614B0"/>
    <w:rsid w:val="019956D5"/>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95CF1"/>
    <w:rsid w:val="025C47D6"/>
    <w:rsid w:val="0263675C"/>
    <w:rsid w:val="02656E75"/>
    <w:rsid w:val="026C4FD1"/>
    <w:rsid w:val="027431E5"/>
    <w:rsid w:val="02815C6A"/>
    <w:rsid w:val="02B544DB"/>
    <w:rsid w:val="02CB5D99"/>
    <w:rsid w:val="02F61D91"/>
    <w:rsid w:val="02FC4679"/>
    <w:rsid w:val="02FE5E0A"/>
    <w:rsid w:val="030E5699"/>
    <w:rsid w:val="0347190C"/>
    <w:rsid w:val="034760CE"/>
    <w:rsid w:val="03487959"/>
    <w:rsid w:val="034A3058"/>
    <w:rsid w:val="03505BE1"/>
    <w:rsid w:val="036D41A2"/>
    <w:rsid w:val="037865C9"/>
    <w:rsid w:val="037F229C"/>
    <w:rsid w:val="03911277"/>
    <w:rsid w:val="039A540B"/>
    <w:rsid w:val="03BD010E"/>
    <w:rsid w:val="03E2685C"/>
    <w:rsid w:val="03E66326"/>
    <w:rsid w:val="03FF6E0F"/>
    <w:rsid w:val="0404259A"/>
    <w:rsid w:val="04051601"/>
    <w:rsid w:val="04102A68"/>
    <w:rsid w:val="04150B3B"/>
    <w:rsid w:val="04327F62"/>
    <w:rsid w:val="04344800"/>
    <w:rsid w:val="045F666C"/>
    <w:rsid w:val="0460075C"/>
    <w:rsid w:val="04613BEE"/>
    <w:rsid w:val="0462054D"/>
    <w:rsid w:val="04675C34"/>
    <w:rsid w:val="046C0B29"/>
    <w:rsid w:val="04816E5C"/>
    <w:rsid w:val="048924DD"/>
    <w:rsid w:val="04914D95"/>
    <w:rsid w:val="0495144B"/>
    <w:rsid w:val="04AC07A1"/>
    <w:rsid w:val="04C63115"/>
    <w:rsid w:val="04CF5236"/>
    <w:rsid w:val="04CF5AF0"/>
    <w:rsid w:val="04D24FF1"/>
    <w:rsid w:val="04DE1BAB"/>
    <w:rsid w:val="04E411E4"/>
    <w:rsid w:val="04F37BBA"/>
    <w:rsid w:val="05085366"/>
    <w:rsid w:val="05145F64"/>
    <w:rsid w:val="054037EF"/>
    <w:rsid w:val="054E7FFF"/>
    <w:rsid w:val="05621117"/>
    <w:rsid w:val="058C5045"/>
    <w:rsid w:val="059C7C89"/>
    <w:rsid w:val="05A50C70"/>
    <w:rsid w:val="05B525CA"/>
    <w:rsid w:val="05C4448F"/>
    <w:rsid w:val="05E616EC"/>
    <w:rsid w:val="06146BAF"/>
    <w:rsid w:val="06286BB6"/>
    <w:rsid w:val="06405E9C"/>
    <w:rsid w:val="064C13A1"/>
    <w:rsid w:val="064D5380"/>
    <w:rsid w:val="064E0F6B"/>
    <w:rsid w:val="0653671F"/>
    <w:rsid w:val="06617309"/>
    <w:rsid w:val="06650E6A"/>
    <w:rsid w:val="06854A05"/>
    <w:rsid w:val="068B5259"/>
    <w:rsid w:val="06986D10"/>
    <w:rsid w:val="06A14716"/>
    <w:rsid w:val="06B968A3"/>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B913B4"/>
    <w:rsid w:val="07BA1C6A"/>
    <w:rsid w:val="07BD44A3"/>
    <w:rsid w:val="07CE6155"/>
    <w:rsid w:val="07E11DA2"/>
    <w:rsid w:val="07E40515"/>
    <w:rsid w:val="07EE6091"/>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A002E0D"/>
    <w:rsid w:val="0A140987"/>
    <w:rsid w:val="0A241A5C"/>
    <w:rsid w:val="0A2E3566"/>
    <w:rsid w:val="0A393280"/>
    <w:rsid w:val="0A5F2F6C"/>
    <w:rsid w:val="0A670B4E"/>
    <w:rsid w:val="0A851E03"/>
    <w:rsid w:val="0A95164C"/>
    <w:rsid w:val="0A985A6F"/>
    <w:rsid w:val="0AA808AF"/>
    <w:rsid w:val="0ABD142C"/>
    <w:rsid w:val="0AC644AE"/>
    <w:rsid w:val="0ACB61B4"/>
    <w:rsid w:val="0ACD4157"/>
    <w:rsid w:val="0AE964B0"/>
    <w:rsid w:val="0B163034"/>
    <w:rsid w:val="0B1F5B6D"/>
    <w:rsid w:val="0B2F4AF7"/>
    <w:rsid w:val="0B3312B6"/>
    <w:rsid w:val="0B3C1BB3"/>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A87805"/>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FE4287"/>
    <w:rsid w:val="0F0D525E"/>
    <w:rsid w:val="0F2A2A37"/>
    <w:rsid w:val="0F2E6C95"/>
    <w:rsid w:val="0F4675CA"/>
    <w:rsid w:val="0F471A79"/>
    <w:rsid w:val="0F500384"/>
    <w:rsid w:val="0F5B4015"/>
    <w:rsid w:val="0F6071C8"/>
    <w:rsid w:val="0F7B0394"/>
    <w:rsid w:val="0FA00CB6"/>
    <w:rsid w:val="0FA434D3"/>
    <w:rsid w:val="0FB471F7"/>
    <w:rsid w:val="0FC95C51"/>
    <w:rsid w:val="0FC965F5"/>
    <w:rsid w:val="0FCD6B4B"/>
    <w:rsid w:val="0FCF7138"/>
    <w:rsid w:val="0FD35AB6"/>
    <w:rsid w:val="0FE017B9"/>
    <w:rsid w:val="0FE04B17"/>
    <w:rsid w:val="0FEC2891"/>
    <w:rsid w:val="0FF71EB7"/>
    <w:rsid w:val="10225AB2"/>
    <w:rsid w:val="102D74F0"/>
    <w:rsid w:val="103C47DA"/>
    <w:rsid w:val="103D5CB0"/>
    <w:rsid w:val="10411774"/>
    <w:rsid w:val="1043497A"/>
    <w:rsid w:val="104B6B58"/>
    <w:rsid w:val="105552F6"/>
    <w:rsid w:val="108449FF"/>
    <w:rsid w:val="108B34B0"/>
    <w:rsid w:val="109D4BAC"/>
    <w:rsid w:val="109E2943"/>
    <w:rsid w:val="10B247FF"/>
    <w:rsid w:val="10C8346E"/>
    <w:rsid w:val="10FE6AB1"/>
    <w:rsid w:val="1112624E"/>
    <w:rsid w:val="11140D0D"/>
    <w:rsid w:val="11153798"/>
    <w:rsid w:val="11297158"/>
    <w:rsid w:val="114B2C9B"/>
    <w:rsid w:val="115D78BB"/>
    <w:rsid w:val="116001E2"/>
    <w:rsid w:val="117143B2"/>
    <w:rsid w:val="11793618"/>
    <w:rsid w:val="11813452"/>
    <w:rsid w:val="11913DD4"/>
    <w:rsid w:val="11961E43"/>
    <w:rsid w:val="11987ED2"/>
    <w:rsid w:val="119969A0"/>
    <w:rsid w:val="11A91B68"/>
    <w:rsid w:val="11B76464"/>
    <w:rsid w:val="11BC2DF3"/>
    <w:rsid w:val="11C43676"/>
    <w:rsid w:val="11EA3CA0"/>
    <w:rsid w:val="11F403BB"/>
    <w:rsid w:val="11FA6A1C"/>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667AD2"/>
    <w:rsid w:val="14710CBF"/>
    <w:rsid w:val="14791934"/>
    <w:rsid w:val="147D213D"/>
    <w:rsid w:val="14950C5F"/>
    <w:rsid w:val="14A04833"/>
    <w:rsid w:val="14B12779"/>
    <w:rsid w:val="14B37576"/>
    <w:rsid w:val="14D45A1D"/>
    <w:rsid w:val="14F4219E"/>
    <w:rsid w:val="150135C1"/>
    <w:rsid w:val="15035C84"/>
    <w:rsid w:val="151C632A"/>
    <w:rsid w:val="152E4EB1"/>
    <w:rsid w:val="153E3566"/>
    <w:rsid w:val="154034C3"/>
    <w:rsid w:val="156B6CDB"/>
    <w:rsid w:val="15726626"/>
    <w:rsid w:val="157D50D3"/>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6D2F5A"/>
    <w:rsid w:val="17794395"/>
    <w:rsid w:val="178D50A9"/>
    <w:rsid w:val="178F0FE3"/>
    <w:rsid w:val="17B85018"/>
    <w:rsid w:val="17E339CC"/>
    <w:rsid w:val="17F33C57"/>
    <w:rsid w:val="181D4FAC"/>
    <w:rsid w:val="1822677A"/>
    <w:rsid w:val="182B38C1"/>
    <w:rsid w:val="18351597"/>
    <w:rsid w:val="18353961"/>
    <w:rsid w:val="18474510"/>
    <w:rsid w:val="184F1D16"/>
    <w:rsid w:val="1852374B"/>
    <w:rsid w:val="185629F1"/>
    <w:rsid w:val="18685D91"/>
    <w:rsid w:val="188F0DAB"/>
    <w:rsid w:val="18905464"/>
    <w:rsid w:val="18910B5C"/>
    <w:rsid w:val="18A62960"/>
    <w:rsid w:val="18BD3DC4"/>
    <w:rsid w:val="18C149F3"/>
    <w:rsid w:val="18CC58A8"/>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9EE72FF"/>
    <w:rsid w:val="1A0A04E6"/>
    <w:rsid w:val="1A187AC0"/>
    <w:rsid w:val="1A213466"/>
    <w:rsid w:val="1A3F3F76"/>
    <w:rsid w:val="1A4B4BAE"/>
    <w:rsid w:val="1A5F35C0"/>
    <w:rsid w:val="1A745F5D"/>
    <w:rsid w:val="1A8006B2"/>
    <w:rsid w:val="1A8D461D"/>
    <w:rsid w:val="1A8D640E"/>
    <w:rsid w:val="1A974192"/>
    <w:rsid w:val="1ACA62AD"/>
    <w:rsid w:val="1ADA675E"/>
    <w:rsid w:val="1AE11CDA"/>
    <w:rsid w:val="1AE4114C"/>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B1131B"/>
    <w:rsid w:val="1BC74329"/>
    <w:rsid w:val="1BC90A36"/>
    <w:rsid w:val="1BD0347B"/>
    <w:rsid w:val="1BD40AF3"/>
    <w:rsid w:val="1BD802A4"/>
    <w:rsid w:val="1BDF236A"/>
    <w:rsid w:val="1BED02B9"/>
    <w:rsid w:val="1C0435DD"/>
    <w:rsid w:val="1C044A22"/>
    <w:rsid w:val="1C0500B1"/>
    <w:rsid w:val="1C0876C1"/>
    <w:rsid w:val="1C165874"/>
    <w:rsid w:val="1C1D4C3D"/>
    <w:rsid w:val="1C212C7F"/>
    <w:rsid w:val="1C4C28F3"/>
    <w:rsid w:val="1C71314E"/>
    <w:rsid w:val="1C82672C"/>
    <w:rsid w:val="1C89138D"/>
    <w:rsid w:val="1C8E76D2"/>
    <w:rsid w:val="1C937172"/>
    <w:rsid w:val="1C975C4B"/>
    <w:rsid w:val="1CA27BB1"/>
    <w:rsid w:val="1CA70C88"/>
    <w:rsid w:val="1CAF7DCF"/>
    <w:rsid w:val="1CB07D7A"/>
    <w:rsid w:val="1CDA4D56"/>
    <w:rsid w:val="1CE62BC0"/>
    <w:rsid w:val="1CF810AC"/>
    <w:rsid w:val="1D0B3755"/>
    <w:rsid w:val="1D124C24"/>
    <w:rsid w:val="1D2C6C65"/>
    <w:rsid w:val="1D402518"/>
    <w:rsid w:val="1D4E7169"/>
    <w:rsid w:val="1D554265"/>
    <w:rsid w:val="1D5C6839"/>
    <w:rsid w:val="1D69344A"/>
    <w:rsid w:val="1D6B31E8"/>
    <w:rsid w:val="1D6B7F83"/>
    <w:rsid w:val="1D776C3D"/>
    <w:rsid w:val="1D95321A"/>
    <w:rsid w:val="1DB85E5C"/>
    <w:rsid w:val="1DBD69C3"/>
    <w:rsid w:val="1DC46662"/>
    <w:rsid w:val="1DCA5E3A"/>
    <w:rsid w:val="1DCF5405"/>
    <w:rsid w:val="1DD75183"/>
    <w:rsid w:val="1DDE2626"/>
    <w:rsid w:val="1DFD7C50"/>
    <w:rsid w:val="1E080AB5"/>
    <w:rsid w:val="1E0E0D58"/>
    <w:rsid w:val="1E2A197B"/>
    <w:rsid w:val="1E35255F"/>
    <w:rsid w:val="1E3C5A5F"/>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74484"/>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A6F98"/>
    <w:rsid w:val="20AD18F5"/>
    <w:rsid w:val="20B77D0F"/>
    <w:rsid w:val="20BB288C"/>
    <w:rsid w:val="20D06EB4"/>
    <w:rsid w:val="20E40557"/>
    <w:rsid w:val="20EF04D3"/>
    <w:rsid w:val="210C69CF"/>
    <w:rsid w:val="21107C1A"/>
    <w:rsid w:val="212F1E92"/>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171E1E"/>
    <w:rsid w:val="222F0761"/>
    <w:rsid w:val="22383B4D"/>
    <w:rsid w:val="22466CD3"/>
    <w:rsid w:val="225D1D49"/>
    <w:rsid w:val="225D33C8"/>
    <w:rsid w:val="226239FE"/>
    <w:rsid w:val="22626562"/>
    <w:rsid w:val="226A76AE"/>
    <w:rsid w:val="22733EB6"/>
    <w:rsid w:val="22906578"/>
    <w:rsid w:val="22973E77"/>
    <w:rsid w:val="22AB58F3"/>
    <w:rsid w:val="22C13FD4"/>
    <w:rsid w:val="22C24771"/>
    <w:rsid w:val="22CB0895"/>
    <w:rsid w:val="22E14ABE"/>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1B3769"/>
    <w:rsid w:val="244328F6"/>
    <w:rsid w:val="245032E9"/>
    <w:rsid w:val="24536196"/>
    <w:rsid w:val="24626203"/>
    <w:rsid w:val="24666A60"/>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50F44FD"/>
    <w:rsid w:val="2514288A"/>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1916AB"/>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11F32"/>
    <w:rsid w:val="27D4538F"/>
    <w:rsid w:val="27DE15AE"/>
    <w:rsid w:val="27E03A2F"/>
    <w:rsid w:val="280D297A"/>
    <w:rsid w:val="28276A98"/>
    <w:rsid w:val="285710C8"/>
    <w:rsid w:val="285C4BAF"/>
    <w:rsid w:val="285D0F42"/>
    <w:rsid w:val="28703320"/>
    <w:rsid w:val="289539A5"/>
    <w:rsid w:val="289F019A"/>
    <w:rsid w:val="28CC6ED5"/>
    <w:rsid w:val="28F010D9"/>
    <w:rsid w:val="28F05C88"/>
    <w:rsid w:val="29082E70"/>
    <w:rsid w:val="291343EF"/>
    <w:rsid w:val="29166F16"/>
    <w:rsid w:val="294D5371"/>
    <w:rsid w:val="295A5964"/>
    <w:rsid w:val="29626133"/>
    <w:rsid w:val="29702C6A"/>
    <w:rsid w:val="298756CC"/>
    <w:rsid w:val="29A81FA5"/>
    <w:rsid w:val="29AB297C"/>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B17620"/>
    <w:rsid w:val="2AB30FEA"/>
    <w:rsid w:val="2AB657B1"/>
    <w:rsid w:val="2AE07913"/>
    <w:rsid w:val="2AEA3FC0"/>
    <w:rsid w:val="2AEA4AC4"/>
    <w:rsid w:val="2B0E64B5"/>
    <w:rsid w:val="2B166BF6"/>
    <w:rsid w:val="2B2B0DE1"/>
    <w:rsid w:val="2B34402E"/>
    <w:rsid w:val="2B3E1E16"/>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D16667"/>
    <w:rsid w:val="2CDF4AD3"/>
    <w:rsid w:val="2CF756B7"/>
    <w:rsid w:val="2CF9252D"/>
    <w:rsid w:val="2CF97782"/>
    <w:rsid w:val="2D107154"/>
    <w:rsid w:val="2D143281"/>
    <w:rsid w:val="2D1C79F8"/>
    <w:rsid w:val="2D324177"/>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A42F17"/>
    <w:rsid w:val="2EB86707"/>
    <w:rsid w:val="2EC92184"/>
    <w:rsid w:val="2EC9744E"/>
    <w:rsid w:val="2ECD27F6"/>
    <w:rsid w:val="2EEF6BEA"/>
    <w:rsid w:val="2F0E1C14"/>
    <w:rsid w:val="2F366FC1"/>
    <w:rsid w:val="2F5034C7"/>
    <w:rsid w:val="2F77098D"/>
    <w:rsid w:val="2F866106"/>
    <w:rsid w:val="2FA3249D"/>
    <w:rsid w:val="2FC05B92"/>
    <w:rsid w:val="2FDE3BE4"/>
    <w:rsid w:val="2FEC1413"/>
    <w:rsid w:val="2FEF5C51"/>
    <w:rsid w:val="2FF85D77"/>
    <w:rsid w:val="301F1E0F"/>
    <w:rsid w:val="302E6295"/>
    <w:rsid w:val="303329F0"/>
    <w:rsid w:val="303818E5"/>
    <w:rsid w:val="303F1851"/>
    <w:rsid w:val="303F79AD"/>
    <w:rsid w:val="30492212"/>
    <w:rsid w:val="304C3A2B"/>
    <w:rsid w:val="30596318"/>
    <w:rsid w:val="306F339C"/>
    <w:rsid w:val="30762710"/>
    <w:rsid w:val="30814CF1"/>
    <w:rsid w:val="308E4163"/>
    <w:rsid w:val="30C20BA4"/>
    <w:rsid w:val="30C478ED"/>
    <w:rsid w:val="30EC01FB"/>
    <w:rsid w:val="30F54D00"/>
    <w:rsid w:val="31026564"/>
    <w:rsid w:val="310A5122"/>
    <w:rsid w:val="312107CD"/>
    <w:rsid w:val="31210CA8"/>
    <w:rsid w:val="31215285"/>
    <w:rsid w:val="312D0344"/>
    <w:rsid w:val="31346C1B"/>
    <w:rsid w:val="314A407E"/>
    <w:rsid w:val="31666F0B"/>
    <w:rsid w:val="317038BB"/>
    <w:rsid w:val="317958D0"/>
    <w:rsid w:val="318D218C"/>
    <w:rsid w:val="31964319"/>
    <w:rsid w:val="319A32FE"/>
    <w:rsid w:val="31A53AB7"/>
    <w:rsid w:val="31A801F9"/>
    <w:rsid w:val="31C57FB2"/>
    <w:rsid w:val="31C932E2"/>
    <w:rsid w:val="31F61F62"/>
    <w:rsid w:val="320358D0"/>
    <w:rsid w:val="32052FE4"/>
    <w:rsid w:val="320B77FD"/>
    <w:rsid w:val="32131AED"/>
    <w:rsid w:val="321976B1"/>
    <w:rsid w:val="321D6876"/>
    <w:rsid w:val="3220390C"/>
    <w:rsid w:val="322B51BC"/>
    <w:rsid w:val="322F26BF"/>
    <w:rsid w:val="32313F22"/>
    <w:rsid w:val="32643522"/>
    <w:rsid w:val="326470BA"/>
    <w:rsid w:val="32744A8B"/>
    <w:rsid w:val="32753DA5"/>
    <w:rsid w:val="32871B4B"/>
    <w:rsid w:val="32886DB3"/>
    <w:rsid w:val="32895C45"/>
    <w:rsid w:val="32A43D99"/>
    <w:rsid w:val="32B141E0"/>
    <w:rsid w:val="32B44D2D"/>
    <w:rsid w:val="32C90A49"/>
    <w:rsid w:val="32D22AAA"/>
    <w:rsid w:val="32FA2D7F"/>
    <w:rsid w:val="32FC6C4E"/>
    <w:rsid w:val="33085CC5"/>
    <w:rsid w:val="33262CBA"/>
    <w:rsid w:val="332B323C"/>
    <w:rsid w:val="332E3189"/>
    <w:rsid w:val="335B62EC"/>
    <w:rsid w:val="335E79BA"/>
    <w:rsid w:val="3360061D"/>
    <w:rsid w:val="336549AB"/>
    <w:rsid w:val="33782709"/>
    <w:rsid w:val="33871EFB"/>
    <w:rsid w:val="3392025F"/>
    <w:rsid w:val="33A8285D"/>
    <w:rsid w:val="33AC1E29"/>
    <w:rsid w:val="33B17041"/>
    <w:rsid w:val="33B202F3"/>
    <w:rsid w:val="33B20F64"/>
    <w:rsid w:val="33EE53FA"/>
    <w:rsid w:val="33FD7485"/>
    <w:rsid w:val="34012F1B"/>
    <w:rsid w:val="34467089"/>
    <w:rsid w:val="34523AB5"/>
    <w:rsid w:val="346B4B47"/>
    <w:rsid w:val="346E4F77"/>
    <w:rsid w:val="34762AAC"/>
    <w:rsid w:val="348402A8"/>
    <w:rsid w:val="34B510BB"/>
    <w:rsid w:val="34BB2714"/>
    <w:rsid w:val="34C25EF7"/>
    <w:rsid w:val="34D20F28"/>
    <w:rsid w:val="34E22DC0"/>
    <w:rsid w:val="350233D4"/>
    <w:rsid w:val="35195F01"/>
    <w:rsid w:val="35313A72"/>
    <w:rsid w:val="35493C91"/>
    <w:rsid w:val="355C0228"/>
    <w:rsid w:val="357800DF"/>
    <w:rsid w:val="358527FB"/>
    <w:rsid w:val="358B5BCF"/>
    <w:rsid w:val="359A77E8"/>
    <w:rsid w:val="35A1790B"/>
    <w:rsid w:val="35A45B99"/>
    <w:rsid w:val="35B01090"/>
    <w:rsid w:val="35DD2073"/>
    <w:rsid w:val="35DF75FB"/>
    <w:rsid w:val="35EB21A5"/>
    <w:rsid w:val="35F52D00"/>
    <w:rsid w:val="35FF153A"/>
    <w:rsid w:val="3606622C"/>
    <w:rsid w:val="36077316"/>
    <w:rsid w:val="3613278E"/>
    <w:rsid w:val="36356D4F"/>
    <w:rsid w:val="36405687"/>
    <w:rsid w:val="36414112"/>
    <w:rsid w:val="365F3D60"/>
    <w:rsid w:val="36645530"/>
    <w:rsid w:val="367851C1"/>
    <w:rsid w:val="369510BC"/>
    <w:rsid w:val="36973632"/>
    <w:rsid w:val="36A30194"/>
    <w:rsid w:val="36D21A02"/>
    <w:rsid w:val="36FD4BCD"/>
    <w:rsid w:val="37104DEB"/>
    <w:rsid w:val="372D0977"/>
    <w:rsid w:val="37337382"/>
    <w:rsid w:val="374D5647"/>
    <w:rsid w:val="374F42A7"/>
    <w:rsid w:val="37506DBE"/>
    <w:rsid w:val="3759338C"/>
    <w:rsid w:val="37654002"/>
    <w:rsid w:val="378E3E66"/>
    <w:rsid w:val="37C244FC"/>
    <w:rsid w:val="37D95C79"/>
    <w:rsid w:val="37E81F7B"/>
    <w:rsid w:val="38026A1B"/>
    <w:rsid w:val="38197832"/>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44C69"/>
    <w:rsid w:val="396B7002"/>
    <w:rsid w:val="396C2A15"/>
    <w:rsid w:val="39AC01F9"/>
    <w:rsid w:val="39B73BAC"/>
    <w:rsid w:val="39B7517F"/>
    <w:rsid w:val="39BA3B51"/>
    <w:rsid w:val="39C20795"/>
    <w:rsid w:val="39CA08C8"/>
    <w:rsid w:val="39E90E2B"/>
    <w:rsid w:val="39E94D86"/>
    <w:rsid w:val="39F1638E"/>
    <w:rsid w:val="3A001C79"/>
    <w:rsid w:val="3A1513BA"/>
    <w:rsid w:val="3A2E618D"/>
    <w:rsid w:val="3A4109A1"/>
    <w:rsid w:val="3A742C8C"/>
    <w:rsid w:val="3A7B2702"/>
    <w:rsid w:val="3A8313B5"/>
    <w:rsid w:val="3A896EEE"/>
    <w:rsid w:val="3AAA2893"/>
    <w:rsid w:val="3AB74141"/>
    <w:rsid w:val="3ABB15C7"/>
    <w:rsid w:val="3AD8279E"/>
    <w:rsid w:val="3AE73EDB"/>
    <w:rsid w:val="3AF9127F"/>
    <w:rsid w:val="3B08641D"/>
    <w:rsid w:val="3B1C7A19"/>
    <w:rsid w:val="3B2B5582"/>
    <w:rsid w:val="3B4234D4"/>
    <w:rsid w:val="3B7622BA"/>
    <w:rsid w:val="3B7C1C88"/>
    <w:rsid w:val="3B8107C8"/>
    <w:rsid w:val="3B8972AA"/>
    <w:rsid w:val="3BA219B8"/>
    <w:rsid w:val="3BA96003"/>
    <w:rsid w:val="3BC61A51"/>
    <w:rsid w:val="3BE14893"/>
    <w:rsid w:val="3BE8265C"/>
    <w:rsid w:val="3BE92A35"/>
    <w:rsid w:val="3BEB460F"/>
    <w:rsid w:val="3BEF1DA2"/>
    <w:rsid w:val="3BF64635"/>
    <w:rsid w:val="3BF956C3"/>
    <w:rsid w:val="3C0E5CDB"/>
    <w:rsid w:val="3C4D3B02"/>
    <w:rsid w:val="3C5B1D89"/>
    <w:rsid w:val="3C827323"/>
    <w:rsid w:val="3C85498F"/>
    <w:rsid w:val="3C8946A5"/>
    <w:rsid w:val="3CA372A1"/>
    <w:rsid w:val="3CA600E0"/>
    <w:rsid w:val="3CB0357F"/>
    <w:rsid w:val="3CB765A9"/>
    <w:rsid w:val="3CBA4326"/>
    <w:rsid w:val="3CBC0BE3"/>
    <w:rsid w:val="3CC614DA"/>
    <w:rsid w:val="3CD01DA9"/>
    <w:rsid w:val="3CDA38F5"/>
    <w:rsid w:val="3CDB6554"/>
    <w:rsid w:val="3CDD517D"/>
    <w:rsid w:val="3CE33FC3"/>
    <w:rsid w:val="3CEA3B31"/>
    <w:rsid w:val="3CF9401E"/>
    <w:rsid w:val="3CFC6325"/>
    <w:rsid w:val="3D093C71"/>
    <w:rsid w:val="3D1A22C0"/>
    <w:rsid w:val="3D294B1B"/>
    <w:rsid w:val="3D2B034D"/>
    <w:rsid w:val="3D5A60CA"/>
    <w:rsid w:val="3D9F4364"/>
    <w:rsid w:val="3DA702BF"/>
    <w:rsid w:val="3DB92106"/>
    <w:rsid w:val="3DCF457D"/>
    <w:rsid w:val="3DF169A7"/>
    <w:rsid w:val="3DF2399F"/>
    <w:rsid w:val="3DF40FE4"/>
    <w:rsid w:val="3E0519AD"/>
    <w:rsid w:val="3E4A1D40"/>
    <w:rsid w:val="3E4C287B"/>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8208C"/>
    <w:rsid w:val="419B51EE"/>
    <w:rsid w:val="419F312D"/>
    <w:rsid w:val="41B11897"/>
    <w:rsid w:val="41C57D35"/>
    <w:rsid w:val="41F34606"/>
    <w:rsid w:val="41FD2D89"/>
    <w:rsid w:val="4200399D"/>
    <w:rsid w:val="420E20BD"/>
    <w:rsid w:val="421647B9"/>
    <w:rsid w:val="42263E3B"/>
    <w:rsid w:val="422C70F1"/>
    <w:rsid w:val="423C6CFA"/>
    <w:rsid w:val="42442693"/>
    <w:rsid w:val="428D1B97"/>
    <w:rsid w:val="42B608A5"/>
    <w:rsid w:val="42BC6C8F"/>
    <w:rsid w:val="42C5446D"/>
    <w:rsid w:val="42E94337"/>
    <w:rsid w:val="43031943"/>
    <w:rsid w:val="431327F1"/>
    <w:rsid w:val="43182DB2"/>
    <w:rsid w:val="43534C07"/>
    <w:rsid w:val="4368794F"/>
    <w:rsid w:val="436D0FB5"/>
    <w:rsid w:val="437518D1"/>
    <w:rsid w:val="438D1E49"/>
    <w:rsid w:val="43B23B98"/>
    <w:rsid w:val="43C80076"/>
    <w:rsid w:val="43D8550E"/>
    <w:rsid w:val="43DC0C7D"/>
    <w:rsid w:val="43EA69D8"/>
    <w:rsid w:val="44356D2F"/>
    <w:rsid w:val="44390E25"/>
    <w:rsid w:val="44433468"/>
    <w:rsid w:val="44437F9F"/>
    <w:rsid w:val="444F5C68"/>
    <w:rsid w:val="44613E6E"/>
    <w:rsid w:val="446A5324"/>
    <w:rsid w:val="447E7804"/>
    <w:rsid w:val="44943661"/>
    <w:rsid w:val="44A05C5C"/>
    <w:rsid w:val="44AC7417"/>
    <w:rsid w:val="44B16853"/>
    <w:rsid w:val="450D5FAD"/>
    <w:rsid w:val="45172F07"/>
    <w:rsid w:val="451D5184"/>
    <w:rsid w:val="452F3716"/>
    <w:rsid w:val="453C65FD"/>
    <w:rsid w:val="454B256E"/>
    <w:rsid w:val="455D76E4"/>
    <w:rsid w:val="45646F33"/>
    <w:rsid w:val="45671007"/>
    <w:rsid w:val="456C331B"/>
    <w:rsid w:val="45A26739"/>
    <w:rsid w:val="45B07140"/>
    <w:rsid w:val="45C43431"/>
    <w:rsid w:val="45EE3358"/>
    <w:rsid w:val="46066722"/>
    <w:rsid w:val="461976C3"/>
    <w:rsid w:val="461C0664"/>
    <w:rsid w:val="463D42BA"/>
    <w:rsid w:val="46521A41"/>
    <w:rsid w:val="465D50F1"/>
    <w:rsid w:val="46771C91"/>
    <w:rsid w:val="467F06A4"/>
    <w:rsid w:val="4694259D"/>
    <w:rsid w:val="46A64B43"/>
    <w:rsid w:val="46AA5A85"/>
    <w:rsid w:val="46AC6264"/>
    <w:rsid w:val="46C01696"/>
    <w:rsid w:val="46C52BE0"/>
    <w:rsid w:val="46D118AB"/>
    <w:rsid w:val="46F30AEE"/>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492D82"/>
    <w:rsid w:val="48606A0B"/>
    <w:rsid w:val="486D78BB"/>
    <w:rsid w:val="48915636"/>
    <w:rsid w:val="48985F31"/>
    <w:rsid w:val="48AC6E35"/>
    <w:rsid w:val="48AF2AEE"/>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121587"/>
    <w:rsid w:val="4A212635"/>
    <w:rsid w:val="4A2175B6"/>
    <w:rsid w:val="4A4260CB"/>
    <w:rsid w:val="4A611E1A"/>
    <w:rsid w:val="4A7055A6"/>
    <w:rsid w:val="4A9C47ED"/>
    <w:rsid w:val="4AA71D5E"/>
    <w:rsid w:val="4AAA6CA9"/>
    <w:rsid w:val="4AE008D2"/>
    <w:rsid w:val="4AEF3B75"/>
    <w:rsid w:val="4B0B3617"/>
    <w:rsid w:val="4B257D5D"/>
    <w:rsid w:val="4B2815DF"/>
    <w:rsid w:val="4B2C17A0"/>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270B31"/>
    <w:rsid w:val="4C3202E6"/>
    <w:rsid w:val="4C6370A1"/>
    <w:rsid w:val="4C736886"/>
    <w:rsid w:val="4C7F7CEF"/>
    <w:rsid w:val="4C821AA7"/>
    <w:rsid w:val="4CA43125"/>
    <w:rsid w:val="4CAC2A11"/>
    <w:rsid w:val="4CB01CB9"/>
    <w:rsid w:val="4CCD33EA"/>
    <w:rsid w:val="4CCF426B"/>
    <w:rsid w:val="4CFE069C"/>
    <w:rsid w:val="4D033F9C"/>
    <w:rsid w:val="4D055E23"/>
    <w:rsid w:val="4D2433AC"/>
    <w:rsid w:val="4D4A4A28"/>
    <w:rsid w:val="4D5D7D7F"/>
    <w:rsid w:val="4D625C01"/>
    <w:rsid w:val="4D8F350E"/>
    <w:rsid w:val="4D924E46"/>
    <w:rsid w:val="4D9877E4"/>
    <w:rsid w:val="4DBD22E7"/>
    <w:rsid w:val="4DC73507"/>
    <w:rsid w:val="4DDA6A5F"/>
    <w:rsid w:val="4DDB7205"/>
    <w:rsid w:val="4DDF772B"/>
    <w:rsid w:val="4DEB15AD"/>
    <w:rsid w:val="4DF87443"/>
    <w:rsid w:val="4E09487C"/>
    <w:rsid w:val="4E370600"/>
    <w:rsid w:val="4E435024"/>
    <w:rsid w:val="4E4E7E80"/>
    <w:rsid w:val="4E534A5B"/>
    <w:rsid w:val="4E5C5562"/>
    <w:rsid w:val="4E5F69A8"/>
    <w:rsid w:val="4E655726"/>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BF34BA"/>
    <w:rsid w:val="4FCA2B98"/>
    <w:rsid w:val="4FCB218A"/>
    <w:rsid w:val="4FCE7BAE"/>
    <w:rsid w:val="4FFE4A87"/>
    <w:rsid w:val="500344EA"/>
    <w:rsid w:val="500B7B4C"/>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2746EF"/>
    <w:rsid w:val="51283E4C"/>
    <w:rsid w:val="51291D35"/>
    <w:rsid w:val="512B3A7F"/>
    <w:rsid w:val="513E2C61"/>
    <w:rsid w:val="51414399"/>
    <w:rsid w:val="515D5FD6"/>
    <w:rsid w:val="516A7012"/>
    <w:rsid w:val="51721A38"/>
    <w:rsid w:val="517D016D"/>
    <w:rsid w:val="517D58F9"/>
    <w:rsid w:val="51A45867"/>
    <w:rsid w:val="51AD7250"/>
    <w:rsid w:val="51C81DC9"/>
    <w:rsid w:val="51CF1465"/>
    <w:rsid w:val="51D05FAF"/>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C3987"/>
    <w:rsid w:val="5427381E"/>
    <w:rsid w:val="543B788E"/>
    <w:rsid w:val="54447CBB"/>
    <w:rsid w:val="544E798D"/>
    <w:rsid w:val="545062A7"/>
    <w:rsid w:val="545C3555"/>
    <w:rsid w:val="54617320"/>
    <w:rsid w:val="547A28DC"/>
    <w:rsid w:val="54827775"/>
    <w:rsid w:val="54AC5134"/>
    <w:rsid w:val="54BA7A99"/>
    <w:rsid w:val="54D73513"/>
    <w:rsid w:val="54DE6078"/>
    <w:rsid w:val="54E86EBD"/>
    <w:rsid w:val="54F2526E"/>
    <w:rsid w:val="55075D9B"/>
    <w:rsid w:val="55184BBF"/>
    <w:rsid w:val="551874CA"/>
    <w:rsid w:val="551E6A56"/>
    <w:rsid w:val="552006D3"/>
    <w:rsid w:val="55301CB3"/>
    <w:rsid w:val="55327054"/>
    <w:rsid w:val="553A26BA"/>
    <w:rsid w:val="5556054C"/>
    <w:rsid w:val="55833286"/>
    <w:rsid w:val="55862A42"/>
    <w:rsid w:val="55990578"/>
    <w:rsid w:val="55A56891"/>
    <w:rsid w:val="55AC66CB"/>
    <w:rsid w:val="55C33131"/>
    <w:rsid w:val="55CD7903"/>
    <w:rsid w:val="55E172A0"/>
    <w:rsid w:val="55E24605"/>
    <w:rsid w:val="55F81C60"/>
    <w:rsid w:val="55FA0F14"/>
    <w:rsid w:val="56097F90"/>
    <w:rsid w:val="56133E90"/>
    <w:rsid w:val="56474D43"/>
    <w:rsid w:val="564B2A15"/>
    <w:rsid w:val="564C1D1D"/>
    <w:rsid w:val="565F1E2E"/>
    <w:rsid w:val="56670F45"/>
    <w:rsid w:val="566F1BE2"/>
    <w:rsid w:val="567B004B"/>
    <w:rsid w:val="56825178"/>
    <w:rsid w:val="568F784B"/>
    <w:rsid w:val="569C0124"/>
    <w:rsid w:val="56A17AE8"/>
    <w:rsid w:val="56C9634D"/>
    <w:rsid w:val="56D2166B"/>
    <w:rsid w:val="56D41BE8"/>
    <w:rsid w:val="56EC7A5D"/>
    <w:rsid w:val="56F4599D"/>
    <w:rsid w:val="570D0322"/>
    <w:rsid w:val="57180ACE"/>
    <w:rsid w:val="571B61B6"/>
    <w:rsid w:val="57213E7D"/>
    <w:rsid w:val="5723561B"/>
    <w:rsid w:val="572362C9"/>
    <w:rsid w:val="572F37C6"/>
    <w:rsid w:val="5736629C"/>
    <w:rsid w:val="57540996"/>
    <w:rsid w:val="57802A35"/>
    <w:rsid w:val="578C3658"/>
    <w:rsid w:val="57A31D59"/>
    <w:rsid w:val="57B66918"/>
    <w:rsid w:val="57BD6FCE"/>
    <w:rsid w:val="57D214D2"/>
    <w:rsid w:val="57DA1A42"/>
    <w:rsid w:val="58002D08"/>
    <w:rsid w:val="58057728"/>
    <w:rsid w:val="580D546C"/>
    <w:rsid w:val="581D1F94"/>
    <w:rsid w:val="582872BA"/>
    <w:rsid w:val="5829318A"/>
    <w:rsid w:val="582D7EE9"/>
    <w:rsid w:val="583343BB"/>
    <w:rsid w:val="583439B3"/>
    <w:rsid w:val="583B5787"/>
    <w:rsid w:val="586759C7"/>
    <w:rsid w:val="58C07CA9"/>
    <w:rsid w:val="58DE5A38"/>
    <w:rsid w:val="58FA7B16"/>
    <w:rsid w:val="58FB22A6"/>
    <w:rsid w:val="59003437"/>
    <w:rsid w:val="59182EE7"/>
    <w:rsid w:val="5921212C"/>
    <w:rsid w:val="59233F27"/>
    <w:rsid w:val="59395687"/>
    <w:rsid w:val="596F472F"/>
    <w:rsid w:val="5974345D"/>
    <w:rsid w:val="597534AA"/>
    <w:rsid w:val="59951C91"/>
    <w:rsid w:val="59982867"/>
    <w:rsid w:val="59A11ED6"/>
    <w:rsid w:val="59AB0DFC"/>
    <w:rsid w:val="59B8562B"/>
    <w:rsid w:val="59C1557F"/>
    <w:rsid w:val="59C8615E"/>
    <w:rsid w:val="59E02B73"/>
    <w:rsid w:val="59E771C2"/>
    <w:rsid w:val="59E84659"/>
    <w:rsid w:val="59FF2575"/>
    <w:rsid w:val="5A344FB0"/>
    <w:rsid w:val="5A360707"/>
    <w:rsid w:val="5A482568"/>
    <w:rsid w:val="5A5755C9"/>
    <w:rsid w:val="5A59758B"/>
    <w:rsid w:val="5A5A13C0"/>
    <w:rsid w:val="5A772EA3"/>
    <w:rsid w:val="5A7D29E6"/>
    <w:rsid w:val="5A821401"/>
    <w:rsid w:val="5A8A2B4B"/>
    <w:rsid w:val="5A9F5080"/>
    <w:rsid w:val="5AAB6618"/>
    <w:rsid w:val="5AB95B19"/>
    <w:rsid w:val="5ABE23E8"/>
    <w:rsid w:val="5AC52E1B"/>
    <w:rsid w:val="5AE91049"/>
    <w:rsid w:val="5AEF582B"/>
    <w:rsid w:val="5B0B5334"/>
    <w:rsid w:val="5B1B7ACD"/>
    <w:rsid w:val="5B247C71"/>
    <w:rsid w:val="5B2A406A"/>
    <w:rsid w:val="5B2B06FA"/>
    <w:rsid w:val="5B392BD6"/>
    <w:rsid w:val="5B48305A"/>
    <w:rsid w:val="5B561D67"/>
    <w:rsid w:val="5B774FD6"/>
    <w:rsid w:val="5B814790"/>
    <w:rsid w:val="5B82237F"/>
    <w:rsid w:val="5B824855"/>
    <w:rsid w:val="5B856A19"/>
    <w:rsid w:val="5B88245B"/>
    <w:rsid w:val="5B8A0D7A"/>
    <w:rsid w:val="5B8B0F7C"/>
    <w:rsid w:val="5B9E05AD"/>
    <w:rsid w:val="5BBB1AC4"/>
    <w:rsid w:val="5BCC14C5"/>
    <w:rsid w:val="5BE11C63"/>
    <w:rsid w:val="5BF24E07"/>
    <w:rsid w:val="5BFB55EA"/>
    <w:rsid w:val="5C0A119D"/>
    <w:rsid w:val="5C15792E"/>
    <w:rsid w:val="5C1A5869"/>
    <w:rsid w:val="5C2404DB"/>
    <w:rsid w:val="5C290BF2"/>
    <w:rsid w:val="5C4E1E1E"/>
    <w:rsid w:val="5C4F343B"/>
    <w:rsid w:val="5C6A79EB"/>
    <w:rsid w:val="5C912690"/>
    <w:rsid w:val="5C970365"/>
    <w:rsid w:val="5C9F632F"/>
    <w:rsid w:val="5CA754BB"/>
    <w:rsid w:val="5CCB04A2"/>
    <w:rsid w:val="5CCD7E04"/>
    <w:rsid w:val="5CD51F6A"/>
    <w:rsid w:val="5CD6026B"/>
    <w:rsid w:val="5CE319F6"/>
    <w:rsid w:val="5CE42846"/>
    <w:rsid w:val="5CE9406B"/>
    <w:rsid w:val="5CF17A12"/>
    <w:rsid w:val="5D0656E1"/>
    <w:rsid w:val="5D566DF5"/>
    <w:rsid w:val="5D5736EC"/>
    <w:rsid w:val="5D592213"/>
    <w:rsid w:val="5D7067ED"/>
    <w:rsid w:val="5D77660D"/>
    <w:rsid w:val="5D7A7C97"/>
    <w:rsid w:val="5D8A240A"/>
    <w:rsid w:val="5D8A4019"/>
    <w:rsid w:val="5D9907FA"/>
    <w:rsid w:val="5DAC6C2E"/>
    <w:rsid w:val="5DCD4FAD"/>
    <w:rsid w:val="5DD45E20"/>
    <w:rsid w:val="5DD77F01"/>
    <w:rsid w:val="5DF376B4"/>
    <w:rsid w:val="5DF974C4"/>
    <w:rsid w:val="5E150E16"/>
    <w:rsid w:val="5E156702"/>
    <w:rsid w:val="5E2C3CE8"/>
    <w:rsid w:val="5E480DBB"/>
    <w:rsid w:val="5E532C32"/>
    <w:rsid w:val="5E5B4E53"/>
    <w:rsid w:val="5E6B78B9"/>
    <w:rsid w:val="5E72530D"/>
    <w:rsid w:val="5E7B3471"/>
    <w:rsid w:val="5E811840"/>
    <w:rsid w:val="5EAC620C"/>
    <w:rsid w:val="5EB0691E"/>
    <w:rsid w:val="5EB56E43"/>
    <w:rsid w:val="5EDB6E5E"/>
    <w:rsid w:val="5F050603"/>
    <w:rsid w:val="5F0F5BF5"/>
    <w:rsid w:val="5F1070E5"/>
    <w:rsid w:val="5F137093"/>
    <w:rsid w:val="5F475DFB"/>
    <w:rsid w:val="5F4A6912"/>
    <w:rsid w:val="5FA342D5"/>
    <w:rsid w:val="5FA40581"/>
    <w:rsid w:val="5FBF418B"/>
    <w:rsid w:val="5FC03F1C"/>
    <w:rsid w:val="5FC128D4"/>
    <w:rsid w:val="5FC577B3"/>
    <w:rsid w:val="5FDD151E"/>
    <w:rsid w:val="5FF91176"/>
    <w:rsid w:val="5FFB751D"/>
    <w:rsid w:val="5FFC1DCE"/>
    <w:rsid w:val="602423C7"/>
    <w:rsid w:val="603F2394"/>
    <w:rsid w:val="604407B5"/>
    <w:rsid w:val="60487E62"/>
    <w:rsid w:val="605A5C34"/>
    <w:rsid w:val="60630B92"/>
    <w:rsid w:val="606E4C0D"/>
    <w:rsid w:val="60935B47"/>
    <w:rsid w:val="60AD2174"/>
    <w:rsid w:val="60C76F62"/>
    <w:rsid w:val="60CE1254"/>
    <w:rsid w:val="60D321CB"/>
    <w:rsid w:val="60D467A9"/>
    <w:rsid w:val="60EA12BA"/>
    <w:rsid w:val="60EB3CE8"/>
    <w:rsid w:val="60FB1A5A"/>
    <w:rsid w:val="61034470"/>
    <w:rsid w:val="61041400"/>
    <w:rsid w:val="6108421E"/>
    <w:rsid w:val="610C08D6"/>
    <w:rsid w:val="610C1D8A"/>
    <w:rsid w:val="611504BF"/>
    <w:rsid w:val="61233B56"/>
    <w:rsid w:val="6129287D"/>
    <w:rsid w:val="6132559A"/>
    <w:rsid w:val="614845FF"/>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7D6404"/>
    <w:rsid w:val="62AE05DB"/>
    <w:rsid w:val="62B60A29"/>
    <w:rsid w:val="62BA5EE7"/>
    <w:rsid w:val="62DB5454"/>
    <w:rsid w:val="62F04E93"/>
    <w:rsid w:val="62F14EED"/>
    <w:rsid w:val="62FF3767"/>
    <w:rsid w:val="63074094"/>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413D22"/>
    <w:rsid w:val="64470699"/>
    <w:rsid w:val="644B6CD5"/>
    <w:rsid w:val="646253D3"/>
    <w:rsid w:val="64627D01"/>
    <w:rsid w:val="6473435B"/>
    <w:rsid w:val="64864D44"/>
    <w:rsid w:val="64A01013"/>
    <w:rsid w:val="64C5647A"/>
    <w:rsid w:val="64C76164"/>
    <w:rsid w:val="64D3186F"/>
    <w:rsid w:val="64EF2266"/>
    <w:rsid w:val="64F33559"/>
    <w:rsid w:val="64FD2EEA"/>
    <w:rsid w:val="64FF1ABC"/>
    <w:rsid w:val="650E3520"/>
    <w:rsid w:val="651B17E0"/>
    <w:rsid w:val="654069DE"/>
    <w:rsid w:val="65413B3E"/>
    <w:rsid w:val="654B3E81"/>
    <w:rsid w:val="65506318"/>
    <w:rsid w:val="655555A6"/>
    <w:rsid w:val="655F14F0"/>
    <w:rsid w:val="65660277"/>
    <w:rsid w:val="656E6D13"/>
    <w:rsid w:val="65990AED"/>
    <w:rsid w:val="65A63707"/>
    <w:rsid w:val="65A80F59"/>
    <w:rsid w:val="65AA319F"/>
    <w:rsid w:val="65AA3ACF"/>
    <w:rsid w:val="65AC5539"/>
    <w:rsid w:val="65BB595A"/>
    <w:rsid w:val="65F22562"/>
    <w:rsid w:val="65F65692"/>
    <w:rsid w:val="660C7338"/>
    <w:rsid w:val="66407FD5"/>
    <w:rsid w:val="665346CA"/>
    <w:rsid w:val="6661498D"/>
    <w:rsid w:val="666B3926"/>
    <w:rsid w:val="668C5B9C"/>
    <w:rsid w:val="66A421AD"/>
    <w:rsid w:val="66C77BCC"/>
    <w:rsid w:val="66CF58C8"/>
    <w:rsid w:val="66D00FF0"/>
    <w:rsid w:val="66E50A5C"/>
    <w:rsid w:val="66E5305A"/>
    <w:rsid w:val="66FA0A76"/>
    <w:rsid w:val="670314C2"/>
    <w:rsid w:val="670A28DD"/>
    <w:rsid w:val="671F2137"/>
    <w:rsid w:val="67256725"/>
    <w:rsid w:val="672C3BD3"/>
    <w:rsid w:val="67441F0C"/>
    <w:rsid w:val="674465E9"/>
    <w:rsid w:val="67453963"/>
    <w:rsid w:val="67594618"/>
    <w:rsid w:val="675B3954"/>
    <w:rsid w:val="676B6466"/>
    <w:rsid w:val="67954429"/>
    <w:rsid w:val="67A22FF0"/>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D4182F"/>
    <w:rsid w:val="68DA458B"/>
    <w:rsid w:val="68E565D8"/>
    <w:rsid w:val="68ED4DA7"/>
    <w:rsid w:val="68FC5EBD"/>
    <w:rsid w:val="69036813"/>
    <w:rsid w:val="69122538"/>
    <w:rsid w:val="69194FE8"/>
    <w:rsid w:val="691F4315"/>
    <w:rsid w:val="692549DB"/>
    <w:rsid w:val="69544350"/>
    <w:rsid w:val="69703FA0"/>
    <w:rsid w:val="69733998"/>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5577F"/>
    <w:rsid w:val="6A3A22EA"/>
    <w:rsid w:val="6A3F2D1D"/>
    <w:rsid w:val="6A592054"/>
    <w:rsid w:val="6A777087"/>
    <w:rsid w:val="6A820574"/>
    <w:rsid w:val="6A99048F"/>
    <w:rsid w:val="6AA077DB"/>
    <w:rsid w:val="6AA47C92"/>
    <w:rsid w:val="6AB909BB"/>
    <w:rsid w:val="6ABA0C51"/>
    <w:rsid w:val="6ABD020C"/>
    <w:rsid w:val="6ADD6D64"/>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7E73DD"/>
    <w:rsid w:val="6EAA56FE"/>
    <w:rsid w:val="6EB37B5B"/>
    <w:rsid w:val="6EBE6FBB"/>
    <w:rsid w:val="6ED70BA2"/>
    <w:rsid w:val="6EDB7671"/>
    <w:rsid w:val="6EF77260"/>
    <w:rsid w:val="6F2302E3"/>
    <w:rsid w:val="6F314C13"/>
    <w:rsid w:val="6F382FA6"/>
    <w:rsid w:val="6F391F60"/>
    <w:rsid w:val="6F692962"/>
    <w:rsid w:val="6F694006"/>
    <w:rsid w:val="6F6C5490"/>
    <w:rsid w:val="6F761900"/>
    <w:rsid w:val="6FA71AD5"/>
    <w:rsid w:val="6FAF2607"/>
    <w:rsid w:val="6FD47D24"/>
    <w:rsid w:val="6FE17D06"/>
    <w:rsid w:val="6FF536DD"/>
    <w:rsid w:val="6FFD71B3"/>
    <w:rsid w:val="70070663"/>
    <w:rsid w:val="700D2412"/>
    <w:rsid w:val="70112883"/>
    <w:rsid w:val="70243856"/>
    <w:rsid w:val="703F2471"/>
    <w:rsid w:val="704B4131"/>
    <w:rsid w:val="70531ED5"/>
    <w:rsid w:val="705A528C"/>
    <w:rsid w:val="7068062C"/>
    <w:rsid w:val="706D7E92"/>
    <w:rsid w:val="707F47B3"/>
    <w:rsid w:val="70954F53"/>
    <w:rsid w:val="70A94A40"/>
    <w:rsid w:val="70D56CE6"/>
    <w:rsid w:val="70D80F32"/>
    <w:rsid w:val="70D97C76"/>
    <w:rsid w:val="70F76E40"/>
    <w:rsid w:val="711337D0"/>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C012B3"/>
    <w:rsid w:val="72F03574"/>
    <w:rsid w:val="72F77CB6"/>
    <w:rsid w:val="731438BD"/>
    <w:rsid w:val="731561A7"/>
    <w:rsid w:val="731D7396"/>
    <w:rsid w:val="733155C8"/>
    <w:rsid w:val="73422D3C"/>
    <w:rsid w:val="73625723"/>
    <w:rsid w:val="737007D9"/>
    <w:rsid w:val="73865ADC"/>
    <w:rsid w:val="738B5B50"/>
    <w:rsid w:val="73AA53A0"/>
    <w:rsid w:val="73B04F6B"/>
    <w:rsid w:val="73CD1EF7"/>
    <w:rsid w:val="73D20D1A"/>
    <w:rsid w:val="73D6055F"/>
    <w:rsid w:val="73E168D2"/>
    <w:rsid w:val="73E873C4"/>
    <w:rsid w:val="73F07AA4"/>
    <w:rsid w:val="74010DBC"/>
    <w:rsid w:val="74054701"/>
    <w:rsid w:val="740D2C3F"/>
    <w:rsid w:val="74135925"/>
    <w:rsid w:val="742827DB"/>
    <w:rsid w:val="742D6CA9"/>
    <w:rsid w:val="742E58A2"/>
    <w:rsid w:val="743A18A9"/>
    <w:rsid w:val="74525628"/>
    <w:rsid w:val="745F06BF"/>
    <w:rsid w:val="746C713B"/>
    <w:rsid w:val="74736EB3"/>
    <w:rsid w:val="748D2368"/>
    <w:rsid w:val="749217E0"/>
    <w:rsid w:val="74B22D8C"/>
    <w:rsid w:val="74C26B38"/>
    <w:rsid w:val="74C55FC1"/>
    <w:rsid w:val="74CC7EC1"/>
    <w:rsid w:val="74DA7552"/>
    <w:rsid w:val="74E41FDD"/>
    <w:rsid w:val="74EF6361"/>
    <w:rsid w:val="74F347DF"/>
    <w:rsid w:val="74FA7FE6"/>
    <w:rsid w:val="74FD4A9B"/>
    <w:rsid w:val="751D43A6"/>
    <w:rsid w:val="75453AE1"/>
    <w:rsid w:val="75493EC7"/>
    <w:rsid w:val="75573AC9"/>
    <w:rsid w:val="755939F0"/>
    <w:rsid w:val="75595449"/>
    <w:rsid w:val="75782022"/>
    <w:rsid w:val="758B283A"/>
    <w:rsid w:val="75BD313A"/>
    <w:rsid w:val="75BF6D3D"/>
    <w:rsid w:val="75DC1EF4"/>
    <w:rsid w:val="75E50837"/>
    <w:rsid w:val="75EF5520"/>
    <w:rsid w:val="75F63713"/>
    <w:rsid w:val="7604704D"/>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9E5963"/>
    <w:rsid w:val="77A06542"/>
    <w:rsid w:val="77A922C9"/>
    <w:rsid w:val="77AC049C"/>
    <w:rsid w:val="77B23714"/>
    <w:rsid w:val="77BB772D"/>
    <w:rsid w:val="77BF5FFA"/>
    <w:rsid w:val="77D43FD2"/>
    <w:rsid w:val="77FA155A"/>
    <w:rsid w:val="781137AD"/>
    <w:rsid w:val="781D13FA"/>
    <w:rsid w:val="782817E9"/>
    <w:rsid w:val="78555C26"/>
    <w:rsid w:val="78640057"/>
    <w:rsid w:val="78810787"/>
    <w:rsid w:val="78826969"/>
    <w:rsid w:val="788E3AAC"/>
    <w:rsid w:val="789B5421"/>
    <w:rsid w:val="78B515B5"/>
    <w:rsid w:val="78C21620"/>
    <w:rsid w:val="78CE2D76"/>
    <w:rsid w:val="78EE2375"/>
    <w:rsid w:val="78FA244C"/>
    <w:rsid w:val="78FE1B78"/>
    <w:rsid w:val="79024116"/>
    <w:rsid w:val="790B5E4F"/>
    <w:rsid w:val="790D572F"/>
    <w:rsid w:val="791D0039"/>
    <w:rsid w:val="79233654"/>
    <w:rsid w:val="79455569"/>
    <w:rsid w:val="79470AE2"/>
    <w:rsid w:val="795123A8"/>
    <w:rsid w:val="79535AC3"/>
    <w:rsid w:val="79620961"/>
    <w:rsid w:val="79987ED2"/>
    <w:rsid w:val="79AE1AE3"/>
    <w:rsid w:val="79AE77FB"/>
    <w:rsid w:val="79B85AA8"/>
    <w:rsid w:val="79C342A8"/>
    <w:rsid w:val="79C34F9F"/>
    <w:rsid w:val="79C81B6A"/>
    <w:rsid w:val="79E83652"/>
    <w:rsid w:val="79EF6059"/>
    <w:rsid w:val="7A074D7D"/>
    <w:rsid w:val="7A1053E1"/>
    <w:rsid w:val="7A17618B"/>
    <w:rsid w:val="7A1E05C7"/>
    <w:rsid w:val="7A3F1ABF"/>
    <w:rsid w:val="7A413A99"/>
    <w:rsid w:val="7A4642A9"/>
    <w:rsid w:val="7A4B6B30"/>
    <w:rsid w:val="7A5D3D51"/>
    <w:rsid w:val="7A5F0CF7"/>
    <w:rsid w:val="7A675EA5"/>
    <w:rsid w:val="7A6B3865"/>
    <w:rsid w:val="7A7041ED"/>
    <w:rsid w:val="7A710597"/>
    <w:rsid w:val="7A832390"/>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8464A1"/>
    <w:rsid w:val="7C9D2D7B"/>
    <w:rsid w:val="7CA26867"/>
    <w:rsid w:val="7CB43A8E"/>
    <w:rsid w:val="7CC106AB"/>
    <w:rsid w:val="7CDF4250"/>
    <w:rsid w:val="7D09113D"/>
    <w:rsid w:val="7D157A0E"/>
    <w:rsid w:val="7D1658AD"/>
    <w:rsid w:val="7D1D4159"/>
    <w:rsid w:val="7D243099"/>
    <w:rsid w:val="7D4B3993"/>
    <w:rsid w:val="7D513E64"/>
    <w:rsid w:val="7D5732D7"/>
    <w:rsid w:val="7D5F5E30"/>
    <w:rsid w:val="7D6C208F"/>
    <w:rsid w:val="7D897D56"/>
    <w:rsid w:val="7D9B14E5"/>
    <w:rsid w:val="7DAA42B2"/>
    <w:rsid w:val="7DAA569A"/>
    <w:rsid w:val="7DB1501E"/>
    <w:rsid w:val="7DB676D9"/>
    <w:rsid w:val="7DBE16CF"/>
    <w:rsid w:val="7DC37DE3"/>
    <w:rsid w:val="7DD45912"/>
    <w:rsid w:val="7E0D4E8F"/>
    <w:rsid w:val="7E107D04"/>
    <w:rsid w:val="7E202441"/>
    <w:rsid w:val="7E3B7F49"/>
    <w:rsid w:val="7E4B691E"/>
    <w:rsid w:val="7E616C7B"/>
    <w:rsid w:val="7E733A70"/>
    <w:rsid w:val="7E89008F"/>
    <w:rsid w:val="7E8A0780"/>
    <w:rsid w:val="7E8A3487"/>
    <w:rsid w:val="7E913336"/>
    <w:rsid w:val="7EA574A2"/>
    <w:rsid w:val="7EBB0DC0"/>
    <w:rsid w:val="7EC42E15"/>
    <w:rsid w:val="7EC50C54"/>
    <w:rsid w:val="7ED11A3C"/>
    <w:rsid w:val="7ED91C72"/>
    <w:rsid w:val="7EEB5BB3"/>
    <w:rsid w:val="7F1568D7"/>
    <w:rsid w:val="7F2E0D24"/>
    <w:rsid w:val="7F312E91"/>
    <w:rsid w:val="7F33645C"/>
    <w:rsid w:val="7F4E4DC2"/>
    <w:rsid w:val="7F66205C"/>
    <w:rsid w:val="7F6754BA"/>
    <w:rsid w:val="7F736048"/>
    <w:rsid w:val="7FA8327A"/>
    <w:rsid w:val="7FB32EED"/>
    <w:rsid w:val="7FB6358D"/>
    <w:rsid w:val="7FE076F1"/>
    <w:rsid w:val="7FE6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1"/>
      <w:ind w:left="117"/>
    </w:pPr>
    <w:rPr>
      <w:szCs w:val="3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11814</Words>
  <Characters>12526</Characters>
  <Lines>0</Lines>
  <Paragraphs>0</Paragraphs>
  <TotalTime>1</TotalTime>
  <ScaleCrop>false</ScaleCrop>
  <LinksUpToDate>false</LinksUpToDate>
  <CharactersWithSpaces>12741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阿朵</cp:lastModifiedBy>
  <cp:lastPrinted>2023-05-26T08:11:00Z</cp:lastPrinted>
  <dcterms:modified xsi:type="dcterms:W3CDTF">2024-05-28T14:00:38Z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50306CC149C84F98BF850919EA3E5AFB_13</vt:lpwstr>
  </property>
</Properties>
</file>