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D63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0A83D036">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48AF0844">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42D6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2AFC7A9">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6C05D5B3">
            <w:pPr>
              <w:spacing w:before="103" w:line="219" w:lineRule="auto"/>
              <w:ind w:left="708"/>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岳阳楼区人力资源和社会保障网络信息服务中心</w:t>
            </w:r>
          </w:p>
        </w:tc>
      </w:tr>
      <w:tr w14:paraId="53EA1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7B00F93">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0A09A42A">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75D99184">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0BC21C7D">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46EA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4959253">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6DA8634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2325" w:type="dxa"/>
            <w:gridSpan w:val="2"/>
            <w:noWrap w:val="0"/>
            <w:vAlign w:val="top"/>
          </w:tcPr>
          <w:p w14:paraId="6C3C4BD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1679" w:type="dxa"/>
            <w:gridSpan w:val="2"/>
            <w:noWrap w:val="0"/>
            <w:vAlign w:val="top"/>
          </w:tcPr>
          <w:p w14:paraId="398A8163">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61204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9C6C9CF">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2212FED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03EB794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4C487DB9">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2416A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3850" w:type="dxa"/>
            <w:noWrap w:val="0"/>
            <w:vAlign w:val="top"/>
          </w:tcPr>
          <w:p w14:paraId="0B0E8629">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05992C8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0.75</w:t>
            </w:r>
          </w:p>
        </w:tc>
        <w:tc>
          <w:tcPr>
            <w:tcW w:w="2325" w:type="dxa"/>
            <w:gridSpan w:val="2"/>
            <w:noWrap w:val="0"/>
            <w:vAlign w:val="top"/>
          </w:tcPr>
          <w:p w14:paraId="7113A8A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0.8</w:t>
            </w:r>
          </w:p>
        </w:tc>
        <w:tc>
          <w:tcPr>
            <w:tcW w:w="1679" w:type="dxa"/>
            <w:gridSpan w:val="2"/>
            <w:noWrap w:val="0"/>
            <w:vAlign w:val="top"/>
          </w:tcPr>
          <w:p w14:paraId="32ED7EE8">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0.64</w:t>
            </w:r>
          </w:p>
        </w:tc>
      </w:tr>
      <w:tr w14:paraId="7C73F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F9103F7">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14B0DAC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25CD620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69EFA4B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131DE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23753BE">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5FB9A847">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001EA174">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56A5D92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1FBB2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D063DE1">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7E5B1BD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3D2D4DA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04D14F9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64DB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EB87E50">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2641947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38BA931A">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55E1AEF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75AC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D5E3AC5">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255CB76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0.75</w:t>
            </w:r>
          </w:p>
        </w:tc>
        <w:tc>
          <w:tcPr>
            <w:tcW w:w="2325" w:type="dxa"/>
            <w:gridSpan w:val="2"/>
            <w:noWrap w:val="0"/>
            <w:vAlign w:val="top"/>
          </w:tcPr>
          <w:p w14:paraId="652C582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0.8</w:t>
            </w:r>
          </w:p>
        </w:tc>
        <w:tc>
          <w:tcPr>
            <w:tcW w:w="1679" w:type="dxa"/>
            <w:gridSpan w:val="2"/>
            <w:noWrap w:val="0"/>
            <w:vAlign w:val="top"/>
          </w:tcPr>
          <w:p w14:paraId="09B272ED">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0.64</w:t>
            </w:r>
          </w:p>
        </w:tc>
      </w:tr>
      <w:tr w14:paraId="781C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D61EA4">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7691E66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26A65A6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62</w:t>
            </w:r>
          </w:p>
        </w:tc>
        <w:tc>
          <w:tcPr>
            <w:tcW w:w="1679" w:type="dxa"/>
            <w:gridSpan w:val="2"/>
            <w:noWrap w:val="0"/>
            <w:vAlign w:val="top"/>
          </w:tcPr>
          <w:p w14:paraId="2E35552A">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14:paraId="5C9A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8F67AE8">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7C97DD3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387CF74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w:t>
            </w:r>
          </w:p>
        </w:tc>
        <w:tc>
          <w:tcPr>
            <w:tcW w:w="1679" w:type="dxa"/>
            <w:gridSpan w:val="2"/>
            <w:noWrap w:val="0"/>
            <w:vAlign w:val="top"/>
          </w:tcPr>
          <w:p w14:paraId="733C723A">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14:paraId="00AF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2399C50">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4A72309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538123B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w:t>
            </w:r>
          </w:p>
        </w:tc>
        <w:tc>
          <w:tcPr>
            <w:tcW w:w="1679" w:type="dxa"/>
            <w:gridSpan w:val="2"/>
            <w:noWrap w:val="0"/>
            <w:vAlign w:val="top"/>
          </w:tcPr>
          <w:p w14:paraId="56CAC8F7">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14:paraId="09567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1FA34EB">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2A97BC0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5DF776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665B13B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9FD0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CF1640">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5F21734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196FADD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376E1DD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C410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D13FC34">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3C13120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19F97C4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3ACDDBE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DE1E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EBC9116">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52414E2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28ADA0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6CAA54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DA7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F83094C">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0603C58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180.082</w:t>
            </w:r>
          </w:p>
        </w:tc>
        <w:tc>
          <w:tcPr>
            <w:tcW w:w="2325" w:type="dxa"/>
            <w:gridSpan w:val="2"/>
            <w:noWrap w:val="0"/>
            <w:vAlign w:val="top"/>
          </w:tcPr>
          <w:p w14:paraId="229D16F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w:t>
            </w:r>
          </w:p>
        </w:tc>
        <w:tc>
          <w:tcPr>
            <w:tcW w:w="1679" w:type="dxa"/>
            <w:gridSpan w:val="2"/>
            <w:noWrap w:val="0"/>
            <w:vAlign w:val="top"/>
          </w:tcPr>
          <w:p w14:paraId="5400D426">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224.35</w:t>
            </w:r>
          </w:p>
        </w:tc>
      </w:tr>
      <w:tr w14:paraId="5B9E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1406BBF">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0589BC2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35.43</w:t>
            </w:r>
          </w:p>
        </w:tc>
        <w:tc>
          <w:tcPr>
            <w:tcW w:w="2325" w:type="dxa"/>
            <w:gridSpan w:val="2"/>
            <w:noWrap w:val="0"/>
            <w:vAlign w:val="top"/>
          </w:tcPr>
          <w:p w14:paraId="11B70D2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w:t>
            </w:r>
          </w:p>
        </w:tc>
        <w:tc>
          <w:tcPr>
            <w:tcW w:w="1679" w:type="dxa"/>
            <w:gridSpan w:val="2"/>
            <w:noWrap w:val="0"/>
            <w:vAlign w:val="top"/>
          </w:tcPr>
          <w:p w14:paraId="5B0F425C">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3.89</w:t>
            </w:r>
          </w:p>
        </w:tc>
      </w:tr>
      <w:tr w14:paraId="27B97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3FBE454">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67660E2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16.4</w:t>
            </w:r>
          </w:p>
        </w:tc>
        <w:tc>
          <w:tcPr>
            <w:tcW w:w="2325" w:type="dxa"/>
            <w:gridSpan w:val="2"/>
            <w:noWrap w:val="0"/>
            <w:vAlign w:val="top"/>
          </w:tcPr>
          <w:p w14:paraId="11D0735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w:t>
            </w:r>
          </w:p>
        </w:tc>
        <w:tc>
          <w:tcPr>
            <w:tcW w:w="1679" w:type="dxa"/>
            <w:gridSpan w:val="2"/>
            <w:noWrap w:val="0"/>
            <w:vAlign w:val="top"/>
          </w:tcPr>
          <w:p w14:paraId="54D74E66">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33.25</w:t>
            </w:r>
          </w:p>
        </w:tc>
      </w:tr>
      <w:tr w14:paraId="0EC8F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C300815">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0657D9D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0.55</w:t>
            </w:r>
          </w:p>
        </w:tc>
        <w:tc>
          <w:tcPr>
            <w:tcW w:w="2325" w:type="dxa"/>
            <w:gridSpan w:val="2"/>
            <w:noWrap w:val="0"/>
            <w:vAlign w:val="top"/>
          </w:tcPr>
          <w:p w14:paraId="12B1D61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48207734">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7.32</w:t>
            </w:r>
          </w:p>
        </w:tc>
      </w:tr>
      <w:tr w14:paraId="3B72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008FBA7">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6F3543B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163.2</w:t>
            </w:r>
          </w:p>
        </w:tc>
        <w:tc>
          <w:tcPr>
            <w:tcW w:w="2325" w:type="dxa"/>
            <w:gridSpan w:val="2"/>
            <w:noWrap w:val="0"/>
            <w:vAlign w:val="top"/>
          </w:tcPr>
          <w:p w14:paraId="2BF8711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179</w:t>
            </w:r>
          </w:p>
        </w:tc>
        <w:tc>
          <w:tcPr>
            <w:tcW w:w="1679" w:type="dxa"/>
            <w:gridSpan w:val="2"/>
            <w:noWrap w:val="0"/>
            <w:vAlign w:val="top"/>
          </w:tcPr>
          <w:p w14:paraId="73FBC08B">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153.52</w:t>
            </w:r>
          </w:p>
        </w:tc>
      </w:tr>
      <w:tr w14:paraId="16E4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0923D9B">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2591FCD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3069E68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C3F502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6C80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1CFF003">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692A2A5B">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032D88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7BC6FE5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1191F2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169643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7B6418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189CF2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32C68C0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50015BD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6C0EEFD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67CEA9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39C427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0E9EFA1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66D534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17EDE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BCC9E66">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0D83B68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07E6C24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3A61E48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57E4871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6D9B45B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33D7DD61">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143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A176B6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7920FE6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加强公务接待用餐管理</w:t>
            </w:r>
          </w:p>
        </w:tc>
      </w:tr>
    </w:tbl>
    <w:p w14:paraId="4FA3F9AC">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D3C56A0">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邱晓</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18216300872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67DCF4E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 xml:space="preserve"> </w:t>
      </w:r>
    </w:p>
    <w:p w14:paraId="155DD68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2760E48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1073A7C8">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6EC2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67DD928C">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2631B381">
            <w:pPr>
              <w:rPr>
                <w:rFonts w:ascii="Arial"/>
                <w:color w:val="000000" w:themeColor="text1"/>
                <w:sz w:val="21"/>
                <w14:textFill>
                  <w14:solidFill>
                    <w14:schemeClr w14:val="tx1"/>
                  </w14:solidFill>
                </w14:textFill>
              </w:rPr>
            </w:pPr>
          </w:p>
          <w:p w14:paraId="1D34F343">
            <w:pPr>
              <w:tabs>
                <w:tab w:val="left" w:pos="3200"/>
              </w:tabs>
              <w:bidi w:val="0"/>
              <w:jc w:val="center"/>
              <w:rPr>
                <w:rFonts w:asciiTheme="minorHAnsi" w:hAnsiTheme="minorHAnsi" w:eastAsiaTheme="minorEastAsia" w:cstheme="minorBidi"/>
                <w:kern w:val="2"/>
                <w:sz w:val="21"/>
                <w:szCs w:val="24"/>
                <w:lang w:val="en-US" w:eastAsia="zh-CN" w:bidi="ar-SA"/>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岳阳楼区人力资源和社会保障网络信息服务中心</w:t>
            </w:r>
          </w:p>
        </w:tc>
      </w:tr>
      <w:tr w14:paraId="51D0F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1B29FFB0">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69116569">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3ABE4EFC">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5DF4E5DB">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07313E1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3AB9A17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134764F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105BAF9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1A451B5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3DAA1AF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6A39DAF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42C3C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1084" w:type="dxa"/>
            <w:vMerge w:val="continue"/>
            <w:tcBorders>
              <w:top w:val="nil"/>
              <w:bottom w:val="nil"/>
            </w:tcBorders>
            <w:noWrap w:val="0"/>
            <w:vAlign w:val="top"/>
          </w:tcPr>
          <w:p w14:paraId="004FBE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516B10F0">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年度资金总额</w:t>
            </w:r>
          </w:p>
        </w:tc>
        <w:tc>
          <w:tcPr>
            <w:tcW w:w="1269" w:type="dxa"/>
            <w:noWrap w:val="0"/>
            <w:vAlign w:val="center"/>
          </w:tcPr>
          <w:p w14:paraId="36FE568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highlight w:val="none"/>
                <w:lang w:val="en-US" w:eastAsia="zh-CN"/>
                <w14:textFill>
                  <w14:solidFill>
                    <w14:schemeClr w14:val="tx1"/>
                  </w14:solidFill>
                </w14:textFill>
              </w:rPr>
            </w:pPr>
            <w:r>
              <w:rPr>
                <w:rFonts w:hint="eastAsia" w:ascii="Arial"/>
                <w:color w:val="000000" w:themeColor="text1"/>
                <w:spacing w:val="0"/>
                <w:sz w:val="20"/>
                <w:highlight w:val="none"/>
                <w:lang w:val="en-US" w:eastAsia="zh-CN"/>
                <w14:textFill>
                  <w14:solidFill>
                    <w14:schemeClr w14:val="tx1"/>
                  </w14:solidFill>
                </w14:textFill>
              </w:rPr>
              <w:t>76.2</w:t>
            </w:r>
          </w:p>
        </w:tc>
        <w:tc>
          <w:tcPr>
            <w:tcW w:w="1319" w:type="dxa"/>
            <w:noWrap w:val="0"/>
            <w:vAlign w:val="center"/>
          </w:tcPr>
          <w:p w14:paraId="6A74805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highlight w:val="none"/>
                <w:lang w:val="en-US" w:eastAsia="zh-CN"/>
                <w14:textFill>
                  <w14:solidFill>
                    <w14:schemeClr w14:val="tx1"/>
                  </w14:solidFill>
                </w14:textFill>
              </w:rPr>
            </w:pPr>
            <w:r>
              <w:rPr>
                <w:rFonts w:hint="eastAsia" w:ascii="Arial"/>
                <w:color w:val="000000" w:themeColor="text1"/>
                <w:spacing w:val="0"/>
                <w:sz w:val="20"/>
                <w:highlight w:val="none"/>
                <w:lang w:val="en-US" w:eastAsia="zh-CN"/>
                <w14:textFill>
                  <w14:solidFill>
                    <w14:schemeClr w14:val="tx1"/>
                  </w14:solidFill>
                </w14:textFill>
              </w:rPr>
              <w:t>276.04</w:t>
            </w:r>
          </w:p>
        </w:tc>
        <w:tc>
          <w:tcPr>
            <w:tcW w:w="1259" w:type="dxa"/>
            <w:noWrap w:val="0"/>
            <w:vAlign w:val="center"/>
          </w:tcPr>
          <w:p w14:paraId="643A696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highlight w:val="none"/>
                <w:lang w:val="en-US" w:eastAsia="zh-CN"/>
                <w14:textFill>
                  <w14:solidFill>
                    <w14:schemeClr w14:val="tx1"/>
                  </w14:solidFill>
                </w14:textFill>
              </w:rPr>
            </w:pPr>
            <w:r>
              <w:rPr>
                <w:rFonts w:hint="eastAsia" w:ascii="Arial"/>
                <w:color w:val="000000" w:themeColor="text1"/>
                <w:spacing w:val="0"/>
                <w:sz w:val="20"/>
                <w:highlight w:val="none"/>
                <w:lang w:val="en-US" w:eastAsia="zh-CN"/>
                <w14:textFill>
                  <w14:solidFill>
                    <w14:schemeClr w14:val="tx1"/>
                  </w14:solidFill>
                </w14:textFill>
              </w:rPr>
              <w:t>276.04</w:t>
            </w:r>
          </w:p>
        </w:tc>
        <w:tc>
          <w:tcPr>
            <w:tcW w:w="719" w:type="dxa"/>
            <w:noWrap w:val="0"/>
            <w:vAlign w:val="center"/>
          </w:tcPr>
          <w:p w14:paraId="5F0C0F80">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highlight w:val="none"/>
                <w14:textFill>
                  <w14:solidFill>
                    <w14:schemeClr w14:val="tx1"/>
                  </w14:solidFill>
                </w14:textFill>
              </w:rPr>
            </w:pPr>
            <w:r>
              <w:rPr>
                <w:rFonts w:ascii="宋体" w:hAnsi="宋体" w:eastAsia="宋体" w:cs="宋体"/>
                <w:color w:val="000000" w:themeColor="text1"/>
                <w:spacing w:val="0"/>
                <w:position w:val="-3"/>
                <w:sz w:val="20"/>
                <w:szCs w:val="20"/>
                <w:highlight w:val="none"/>
                <w14:textFill>
                  <w14:solidFill>
                    <w14:schemeClr w14:val="tx1"/>
                  </w14:solidFill>
                </w14:textFill>
              </w:rPr>
              <w:t>10</w:t>
            </w:r>
          </w:p>
        </w:tc>
        <w:tc>
          <w:tcPr>
            <w:tcW w:w="802" w:type="dxa"/>
            <w:noWrap w:val="0"/>
            <w:vAlign w:val="center"/>
          </w:tcPr>
          <w:p w14:paraId="507187C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highlight w:val="none"/>
                <w:lang w:val="en-US" w:eastAsia="zh-CN"/>
                <w14:textFill>
                  <w14:solidFill>
                    <w14:schemeClr w14:val="tx1"/>
                  </w14:solidFill>
                </w14:textFill>
              </w:rPr>
            </w:pPr>
            <w:r>
              <w:rPr>
                <w:rFonts w:hint="eastAsia" w:ascii="Arial"/>
                <w:color w:val="000000" w:themeColor="text1"/>
                <w:spacing w:val="0"/>
                <w:sz w:val="20"/>
                <w:highlight w:val="none"/>
                <w:lang w:val="en-US" w:eastAsia="zh-CN"/>
                <w14:textFill>
                  <w14:solidFill>
                    <w14:schemeClr w14:val="tx1"/>
                  </w14:solidFill>
                </w14:textFill>
              </w:rPr>
              <w:t>100%</w:t>
            </w:r>
          </w:p>
        </w:tc>
        <w:tc>
          <w:tcPr>
            <w:tcW w:w="1275" w:type="dxa"/>
            <w:noWrap w:val="0"/>
            <w:vAlign w:val="center"/>
          </w:tcPr>
          <w:p w14:paraId="37D0C16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highlight w:val="none"/>
                <w14:textFill>
                  <w14:solidFill>
                    <w14:schemeClr w14:val="tx1"/>
                  </w14:solidFill>
                </w14:textFill>
              </w:rPr>
            </w:pPr>
          </w:p>
        </w:tc>
      </w:tr>
      <w:tr w14:paraId="7ABF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8548B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FE77B40">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按收入性质分：</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276.04</w:t>
            </w:r>
          </w:p>
        </w:tc>
        <w:tc>
          <w:tcPr>
            <w:tcW w:w="4055" w:type="dxa"/>
            <w:gridSpan w:val="4"/>
            <w:noWrap w:val="0"/>
            <w:vAlign w:val="center"/>
          </w:tcPr>
          <w:p w14:paraId="0B7FDB18">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按支出性质分：</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276.04</w:t>
            </w:r>
          </w:p>
        </w:tc>
      </w:tr>
      <w:tr w14:paraId="74469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11F6C0E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6BEADAB1">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 xml:space="preserve">其中： </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0"/>
                <w:sz w:val="21"/>
                <w:szCs w:val="21"/>
                <w:highlight w:val="none"/>
                <w14:textFill>
                  <w14:solidFill>
                    <w14:schemeClr w14:val="tx1"/>
                  </w14:solidFill>
                </w14:textFill>
              </w:rPr>
              <w:t>一般公共预算：</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276.04</w:t>
            </w:r>
          </w:p>
        </w:tc>
        <w:tc>
          <w:tcPr>
            <w:tcW w:w="4055" w:type="dxa"/>
            <w:gridSpan w:val="4"/>
            <w:noWrap w:val="0"/>
            <w:vAlign w:val="center"/>
          </w:tcPr>
          <w:p w14:paraId="1E06B961">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其中：基本支出：</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276.04</w:t>
            </w:r>
          </w:p>
        </w:tc>
      </w:tr>
      <w:tr w14:paraId="65BB3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7381ED8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7F3863CF">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14:paraId="5F2343A0">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14:paraId="7B4A5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6A506BD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F4AFA6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14:paraId="0F2092C5">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2781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7E78F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53022FA">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14:paraId="49520B1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1034A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2C3B5347">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6753BFED">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5DE56D61">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2F29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35C9855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518C035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全年平台巡检四次，及时维修换件，保障全区公共网络服务平台正常运行；保障局信息化建设、内外网信息安全；顺利通过三级等保测评，宣传推广社保卡，电子社保卡人口覆盖率达到45%；每年最少培训一次协理员，人员定岗；及时办卡制卡；及时推出电子社保卡新功能应用</w:t>
            </w:r>
          </w:p>
        </w:tc>
        <w:tc>
          <w:tcPr>
            <w:tcW w:w="4055" w:type="dxa"/>
            <w:gridSpan w:val="4"/>
            <w:noWrap w:val="0"/>
            <w:vAlign w:val="center"/>
          </w:tcPr>
          <w:p w14:paraId="5F87662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全年平台巡检四次，及时维修换件，保障全区公共网络服务平台正常运行；保障局信息化建设、内外网信息安全；顺利通过三级等保测评，宣传推广社保卡，电子社保卡人口覆盖率达到45%；培训一次协理员；及时办卡制卡7天办理；及时推出电子社保卡新功能应用</w:t>
            </w:r>
          </w:p>
        </w:tc>
      </w:tr>
      <w:tr w14:paraId="49A6B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0238B9AE">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11F08F0F">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1101384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7870B31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26C8D5B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68C87FC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1249A2C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39C46C1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17E9852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668BD247">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175E58B8">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5A12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3A5A6689">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5CB37AFD">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7ED3C03B">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7F6FABE9">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3BE2287A">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48513BE1">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163AB59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tcBorders>
              <w:bottom w:val="nil"/>
            </w:tcBorders>
            <w:noWrap w:val="0"/>
            <w:vAlign w:val="center"/>
          </w:tcPr>
          <w:p w14:paraId="648A856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14:paraId="744A1A3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全年平台巡检4次</w:t>
            </w:r>
          </w:p>
        </w:tc>
        <w:tc>
          <w:tcPr>
            <w:tcW w:w="1319" w:type="dxa"/>
            <w:noWrap w:val="0"/>
            <w:vAlign w:val="center"/>
          </w:tcPr>
          <w:p w14:paraId="2246326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四次</w:t>
            </w:r>
          </w:p>
        </w:tc>
        <w:tc>
          <w:tcPr>
            <w:tcW w:w="1259" w:type="dxa"/>
            <w:noWrap w:val="0"/>
            <w:vAlign w:val="center"/>
          </w:tcPr>
          <w:p w14:paraId="3BA85F8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四次</w:t>
            </w:r>
          </w:p>
        </w:tc>
        <w:tc>
          <w:tcPr>
            <w:tcW w:w="719" w:type="dxa"/>
            <w:noWrap w:val="0"/>
            <w:vAlign w:val="center"/>
          </w:tcPr>
          <w:p w14:paraId="39F5C3E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71978B5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105311A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7344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084" w:type="dxa"/>
            <w:vMerge w:val="continue"/>
            <w:tcBorders>
              <w:top w:val="nil"/>
              <w:bottom w:val="nil"/>
            </w:tcBorders>
            <w:noWrap w:val="0"/>
            <w:textDirection w:val="tbRlV"/>
            <w:vAlign w:val="top"/>
          </w:tcPr>
          <w:p w14:paraId="2E3EDB1F">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3EE6CE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431335A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7A9CB85C">
            <w:pPr>
              <w:keepNext w:val="0"/>
              <w:keepLines w:val="0"/>
              <w:widowControl/>
              <w:suppressLineNumbers w:val="0"/>
              <w:jc w:val="center"/>
              <w:textAlignment w:val="center"/>
              <w:rPr>
                <w:rFonts w:ascii="仿宋_GB2312" w:hAnsi="宋体" w:eastAsia="仿宋_GB2312" w:cs="仿宋_GB2312"/>
                <w:i w:val="0"/>
                <w:iCs w:val="0"/>
                <w:color w:val="000000"/>
                <w:kern w:val="2"/>
                <w:sz w:val="22"/>
                <w:szCs w:val="22"/>
                <w:u w:val="none"/>
                <w:lang w:val="en-US" w:eastAsia="zh-CN" w:bidi="ar-SA"/>
              </w:rPr>
            </w:pPr>
            <w:r>
              <w:rPr>
                <w:rFonts w:hint="eastAsia" w:ascii="Arial"/>
                <w:color w:val="000000" w:themeColor="text1"/>
                <w:sz w:val="20"/>
                <w:lang w:val="en-US" w:eastAsia="zh-CN"/>
                <w14:textFill>
                  <w14:solidFill>
                    <w14:schemeClr w14:val="tx1"/>
                  </w14:solidFill>
                </w14:textFill>
              </w:rPr>
              <w:t>电子社保卡人口覆盖率达到45%</w:t>
            </w:r>
          </w:p>
        </w:tc>
        <w:tc>
          <w:tcPr>
            <w:tcW w:w="1319" w:type="dxa"/>
            <w:noWrap w:val="0"/>
            <w:vAlign w:val="center"/>
          </w:tcPr>
          <w:p w14:paraId="0F12371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45%</w:t>
            </w:r>
          </w:p>
        </w:tc>
        <w:tc>
          <w:tcPr>
            <w:tcW w:w="1259" w:type="dxa"/>
            <w:noWrap w:val="0"/>
            <w:vAlign w:val="center"/>
          </w:tcPr>
          <w:p w14:paraId="5B93A6F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45%</w:t>
            </w:r>
          </w:p>
        </w:tc>
        <w:tc>
          <w:tcPr>
            <w:tcW w:w="719" w:type="dxa"/>
            <w:noWrap w:val="0"/>
            <w:vAlign w:val="center"/>
          </w:tcPr>
          <w:p w14:paraId="2FE43B4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78120B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38C3E11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CDFA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301ECAD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5963F4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14:paraId="65C8FEB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14:paraId="15AD4486">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岳阳楼区公共网络服务平台 107个村、社区软硬件维保、线路租赁施工布线完成率达到100%</w:t>
            </w:r>
          </w:p>
        </w:tc>
        <w:tc>
          <w:tcPr>
            <w:tcW w:w="1319" w:type="dxa"/>
            <w:noWrap w:val="0"/>
            <w:vAlign w:val="center"/>
          </w:tcPr>
          <w:p w14:paraId="545846D9">
            <w:pPr>
              <w:keepNext w:val="0"/>
              <w:keepLines w:val="0"/>
              <w:pageBreakBefore w:val="0"/>
              <w:widowControl w:val="0"/>
              <w:tabs>
                <w:tab w:val="left" w:pos="273"/>
              </w:tabs>
              <w:kinsoku/>
              <w:wordWrap/>
              <w:overflowPunct/>
              <w:topLinePunct w:val="0"/>
              <w:autoSpaceDE/>
              <w:autoSpaceDN/>
              <w:bidi w:val="0"/>
              <w:adjustRightInd/>
              <w:snapToGrid/>
              <w:spacing w:line="240" w:lineRule="exact"/>
              <w:ind w:left="0" w:firstLine="400" w:firstLineChars="200"/>
              <w:jc w:val="left"/>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r>
              <w:rPr>
                <w:rFonts w:hint="eastAsia" w:ascii="Arial"/>
                <w:color w:val="000000" w:themeColor="text1"/>
                <w:sz w:val="20"/>
                <w:lang w:eastAsia="zh-CN"/>
                <w14:textFill>
                  <w14:solidFill>
                    <w14:schemeClr w14:val="tx1"/>
                  </w14:solidFill>
                </w14:textFill>
              </w:rPr>
              <w:t>%</w:t>
            </w:r>
          </w:p>
        </w:tc>
        <w:tc>
          <w:tcPr>
            <w:tcW w:w="1259" w:type="dxa"/>
            <w:noWrap w:val="0"/>
            <w:vAlign w:val="center"/>
          </w:tcPr>
          <w:p w14:paraId="0AF3058B">
            <w:pPr>
              <w:keepNext w:val="0"/>
              <w:keepLines w:val="0"/>
              <w:pageBreakBefore w:val="0"/>
              <w:widowControl w:val="0"/>
              <w:tabs>
                <w:tab w:val="left" w:pos="259"/>
              </w:tabs>
              <w:kinsoku/>
              <w:wordWrap/>
              <w:overflowPunct/>
              <w:topLinePunct w:val="0"/>
              <w:autoSpaceDE/>
              <w:autoSpaceDN/>
              <w:bidi w:val="0"/>
              <w:adjustRightInd/>
              <w:snapToGrid/>
              <w:spacing w:line="240" w:lineRule="exact"/>
              <w:ind w:firstLine="400" w:firstLineChars="20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91</w:t>
            </w:r>
            <w:r>
              <w:rPr>
                <w:rFonts w:hint="eastAsia" w:ascii="Arial"/>
                <w:color w:val="000000" w:themeColor="text1"/>
                <w:sz w:val="20"/>
                <w:lang w:eastAsia="zh-CN"/>
                <w14:textFill>
                  <w14:solidFill>
                    <w14:schemeClr w14:val="tx1"/>
                  </w14:solidFill>
                </w14:textFill>
              </w:rPr>
              <w:t>%</w:t>
            </w:r>
          </w:p>
        </w:tc>
        <w:tc>
          <w:tcPr>
            <w:tcW w:w="719" w:type="dxa"/>
            <w:noWrap w:val="0"/>
            <w:vAlign w:val="center"/>
          </w:tcPr>
          <w:p w14:paraId="4517134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3.3</w:t>
            </w:r>
          </w:p>
        </w:tc>
        <w:tc>
          <w:tcPr>
            <w:tcW w:w="802" w:type="dxa"/>
            <w:noWrap w:val="0"/>
            <w:vAlign w:val="center"/>
          </w:tcPr>
          <w:p w14:paraId="5FF1921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14:paraId="4F3252D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金保二期工程换平台，软硬件更换对接不及时，仅完成全年任务的91%。安排专人对接，完成任务。</w:t>
            </w:r>
          </w:p>
        </w:tc>
      </w:tr>
      <w:tr w14:paraId="554C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6" w:hRule="atLeast"/>
        </w:trPr>
        <w:tc>
          <w:tcPr>
            <w:tcW w:w="1084" w:type="dxa"/>
            <w:vMerge w:val="continue"/>
            <w:tcBorders>
              <w:top w:val="nil"/>
              <w:bottom w:val="nil"/>
            </w:tcBorders>
            <w:noWrap w:val="0"/>
            <w:textDirection w:val="tbRlV"/>
            <w:vAlign w:val="top"/>
          </w:tcPr>
          <w:p w14:paraId="73F7A27D">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8E7F7B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7628A1D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3A858BC8">
            <w:pPr>
              <w:keepNext w:val="0"/>
              <w:keepLines w:val="0"/>
              <w:pageBreakBefore w:val="0"/>
              <w:widowControl w:val="0"/>
              <w:tabs>
                <w:tab w:val="left" w:pos="282"/>
              </w:tabs>
              <w:kinsoku/>
              <w:wordWrap/>
              <w:overflowPunct/>
              <w:topLinePunct w:val="0"/>
              <w:autoSpaceDE/>
              <w:autoSpaceDN/>
              <w:bidi w:val="0"/>
              <w:adjustRightInd/>
              <w:snapToGrid/>
              <w:ind w:left="0"/>
              <w:jc w:val="left"/>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参加培训的108位平台协理员定岗，不随意更换</w:t>
            </w:r>
          </w:p>
        </w:tc>
        <w:tc>
          <w:tcPr>
            <w:tcW w:w="1319" w:type="dxa"/>
            <w:noWrap w:val="0"/>
            <w:vAlign w:val="center"/>
          </w:tcPr>
          <w:p w14:paraId="1719F01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108人</w:t>
            </w:r>
          </w:p>
        </w:tc>
        <w:tc>
          <w:tcPr>
            <w:tcW w:w="1259" w:type="dxa"/>
            <w:noWrap w:val="0"/>
            <w:vAlign w:val="center"/>
          </w:tcPr>
          <w:p w14:paraId="0B11942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95人</w:t>
            </w:r>
          </w:p>
        </w:tc>
        <w:tc>
          <w:tcPr>
            <w:tcW w:w="719" w:type="dxa"/>
            <w:noWrap w:val="0"/>
            <w:vAlign w:val="center"/>
          </w:tcPr>
          <w:p w14:paraId="5E8D6FD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3.3</w:t>
            </w:r>
          </w:p>
        </w:tc>
        <w:tc>
          <w:tcPr>
            <w:tcW w:w="802" w:type="dxa"/>
            <w:noWrap w:val="0"/>
            <w:vAlign w:val="center"/>
          </w:tcPr>
          <w:p w14:paraId="4CDBBF5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2.9</w:t>
            </w:r>
          </w:p>
        </w:tc>
        <w:tc>
          <w:tcPr>
            <w:tcW w:w="1275" w:type="dxa"/>
            <w:noWrap w:val="0"/>
            <w:vAlign w:val="center"/>
          </w:tcPr>
          <w:p w14:paraId="02356CF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平台业务人员更换导致业务不熟，已对平台业务人员实行专人专干制度，加强工作交接、培训，并制定考核中制度</w:t>
            </w:r>
          </w:p>
        </w:tc>
      </w:tr>
      <w:tr w14:paraId="46AC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1084" w:type="dxa"/>
            <w:vMerge w:val="continue"/>
            <w:tcBorders>
              <w:top w:val="nil"/>
              <w:bottom w:val="nil"/>
            </w:tcBorders>
            <w:noWrap w:val="0"/>
            <w:textDirection w:val="tbRlV"/>
            <w:vAlign w:val="top"/>
          </w:tcPr>
          <w:p w14:paraId="5BA00CB7">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B60EB2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1756F5B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10378A9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安全通过三级等保测评，保障网络信息安全</w:t>
            </w:r>
          </w:p>
        </w:tc>
        <w:tc>
          <w:tcPr>
            <w:tcW w:w="1319" w:type="dxa"/>
            <w:noWrap w:val="0"/>
            <w:vAlign w:val="center"/>
          </w:tcPr>
          <w:p w14:paraId="4178C8A3">
            <w:pPr>
              <w:keepNext w:val="0"/>
              <w:keepLines w:val="0"/>
              <w:pageBreakBefore w:val="0"/>
              <w:widowControl w:val="0"/>
              <w:tabs>
                <w:tab w:val="left" w:pos="468"/>
              </w:tabs>
              <w:kinsoku/>
              <w:wordWrap/>
              <w:overflowPunct/>
              <w:topLinePunct w:val="0"/>
              <w:autoSpaceDE/>
              <w:autoSpaceDN/>
              <w:bidi w:val="0"/>
              <w:adjustRightInd/>
              <w:snapToGrid/>
              <w:spacing w:line="239" w:lineRule="exact"/>
              <w:ind w:firstLine="400" w:firstLineChars="200"/>
              <w:jc w:val="left"/>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通过测评</w:t>
            </w:r>
          </w:p>
        </w:tc>
        <w:tc>
          <w:tcPr>
            <w:tcW w:w="1259" w:type="dxa"/>
            <w:noWrap w:val="0"/>
            <w:vAlign w:val="center"/>
          </w:tcPr>
          <w:p w14:paraId="17FB08FC">
            <w:pPr>
              <w:keepNext w:val="0"/>
              <w:keepLines w:val="0"/>
              <w:pageBreakBefore w:val="0"/>
              <w:widowControl w:val="0"/>
              <w:tabs>
                <w:tab w:val="left" w:pos="319"/>
              </w:tabs>
              <w:kinsoku/>
              <w:wordWrap/>
              <w:overflowPunct/>
              <w:topLinePunct w:val="0"/>
              <w:autoSpaceDE/>
              <w:autoSpaceDN/>
              <w:bidi w:val="0"/>
              <w:adjustRightInd/>
              <w:snapToGrid/>
              <w:spacing w:line="239" w:lineRule="exact"/>
              <w:ind w:firstLine="200" w:firstLineChars="100"/>
              <w:jc w:val="left"/>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通过测评</w:t>
            </w:r>
          </w:p>
        </w:tc>
        <w:tc>
          <w:tcPr>
            <w:tcW w:w="719" w:type="dxa"/>
            <w:noWrap w:val="0"/>
            <w:vAlign w:val="center"/>
          </w:tcPr>
          <w:p w14:paraId="2B88B99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3.4</w:t>
            </w:r>
          </w:p>
        </w:tc>
        <w:tc>
          <w:tcPr>
            <w:tcW w:w="802" w:type="dxa"/>
            <w:noWrap w:val="0"/>
            <w:vAlign w:val="center"/>
          </w:tcPr>
          <w:p w14:paraId="230B546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3.4</w:t>
            </w:r>
          </w:p>
        </w:tc>
        <w:tc>
          <w:tcPr>
            <w:tcW w:w="1275" w:type="dxa"/>
            <w:noWrap w:val="0"/>
            <w:vAlign w:val="center"/>
          </w:tcPr>
          <w:p w14:paraId="64C3C56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6D18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CCCCBCD">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D3A60E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14:paraId="6A66F23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14:paraId="5C2537E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及时维修换件，报修后一周内上门维修</w:t>
            </w:r>
          </w:p>
        </w:tc>
        <w:tc>
          <w:tcPr>
            <w:tcW w:w="1319" w:type="dxa"/>
            <w:noWrap w:val="0"/>
            <w:vAlign w:val="center"/>
          </w:tcPr>
          <w:p w14:paraId="3CD5B4D9">
            <w:pPr>
              <w:keepNext w:val="0"/>
              <w:keepLines w:val="0"/>
              <w:pageBreakBefore w:val="0"/>
              <w:widowControl w:val="0"/>
              <w:tabs>
                <w:tab w:val="left" w:pos="468"/>
              </w:tabs>
              <w:kinsoku/>
              <w:wordWrap/>
              <w:overflowPunct/>
              <w:topLinePunct w:val="0"/>
              <w:autoSpaceDE/>
              <w:autoSpaceDN/>
              <w:bidi w:val="0"/>
              <w:adjustRightInd/>
              <w:snapToGrid/>
              <w:spacing w:line="239" w:lineRule="exact"/>
              <w:ind w:left="0"/>
              <w:jc w:val="left"/>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ab/>
            </w:r>
            <w:r>
              <w:rPr>
                <w:rFonts w:hint="eastAsia" w:ascii="Arial"/>
                <w:color w:val="000000" w:themeColor="text1"/>
                <w:sz w:val="20"/>
                <w:lang w:val="en-US" w:eastAsia="zh-CN"/>
                <w14:textFill>
                  <w14:solidFill>
                    <w14:schemeClr w14:val="tx1"/>
                  </w14:solidFill>
                </w14:textFill>
              </w:rPr>
              <w:t>7天</w:t>
            </w:r>
          </w:p>
        </w:tc>
        <w:tc>
          <w:tcPr>
            <w:tcW w:w="1259" w:type="dxa"/>
            <w:noWrap w:val="0"/>
            <w:vAlign w:val="center"/>
          </w:tcPr>
          <w:p w14:paraId="6EBAECEE">
            <w:pPr>
              <w:keepNext w:val="0"/>
              <w:keepLines w:val="0"/>
              <w:pageBreakBefore w:val="0"/>
              <w:widowControl w:val="0"/>
              <w:tabs>
                <w:tab w:val="left" w:pos="319"/>
              </w:tabs>
              <w:kinsoku/>
              <w:wordWrap/>
              <w:overflowPunct/>
              <w:topLinePunct w:val="0"/>
              <w:autoSpaceDE/>
              <w:autoSpaceDN/>
              <w:bidi w:val="0"/>
              <w:adjustRightInd/>
              <w:snapToGrid/>
              <w:spacing w:line="239" w:lineRule="exact"/>
              <w:ind w:left="0"/>
              <w:jc w:val="left"/>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ab/>
            </w:r>
            <w:r>
              <w:rPr>
                <w:rFonts w:hint="eastAsia" w:ascii="Arial"/>
                <w:color w:val="000000" w:themeColor="text1"/>
                <w:sz w:val="20"/>
                <w:lang w:val="en-US" w:eastAsia="zh-CN"/>
                <w14:textFill>
                  <w14:solidFill>
                    <w14:schemeClr w14:val="tx1"/>
                  </w14:solidFill>
                </w14:textFill>
              </w:rPr>
              <w:t>7天</w:t>
            </w:r>
          </w:p>
        </w:tc>
        <w:tc>
          <w:tcPr>
            <w:tcW w:w="719" w:type="dxa"/>
            <w:noWrap w:val="0"/>
            <w:vAlign w:val="center"/>
          </w:tcPr>
          <w:p w14:paraId="30E6815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3.3</w:t>
            </w:r>
          </w:p>
        </w:tc>
        <w:tc>
          <w:tcPr>
            <w:tcW w:w="802" w:type="dxa"/>
            <w:noWrap w:val="0"/>
            <w:vAlign w:val="center"/>
          </w:tcPr>
          <w:p w14:paraId="1F6DA1A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3.3</w:t>
            </w:r>
          </w:p>
        </w:tc>
        <w:tc>
          <w:tcPr>
            <w:tcW w:w="1275" w:type="dxa"/>
            <w:noWrap w:val="0"/>
            <w:vAlign w:val="center"/>
          </w:tcPr>
          <w:p w14:paraId="5FCD8E6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1FD5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17E9613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A8C6D8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3C9097B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671A18B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及时办理社保卡，接到诉求后，一周内对接银行办卡制卡</w:t>
            </w:r>
          </w:p>
        </w:tc>
        <w:tc>
          <w:tcPr>
            <w:tcW w:w="1319" w:type="dxa"/>
            <w:noWrap w:val="0"/>
            <w:vAlign w:val="center"/>
          </w:tcPr>
          <w:p w14:paraId="3B316122">
            <w:pPr>
              <w:keepNext w:val="0"/>
              <w:keepLines w:val="0"/>
              <w:pageBreakBefore w:val="0"/>
              <w:widowControl w:val="0"/>
              <w:tabs>
                <w:tab w:val="left" w:pos="468"/>
              </w:tabs>
              <w:kinsoku/>
              <w:wordWrap/>
              <w:overflowPunct/>
              <w:topLinePunct w:val="0"/>
              <w:autoSpaceDE/>
              <w:autoSpaceDN/>
              <w:bidi w:val="0"/>
              <w:adjustRightInd/>
              <w:snapToGrid/>
              <w:spacing w:line="239" w:lineRule="exact"/>
              <w:ind w:firstLine="400" w:firstLineChars="200"/>
              <w:jc w:val="left"/>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7天</w:t>
            </w:r>
          </w:p>
        </w:tc>
        <w:tc>
          <w:tcPr>
            <w:tcW w:w="1259" w:type="dxa"/>
            <w:noWrap w:val="0"/>
            <w:vAlign w:val="center"/>
          </w:tcPr>
          <w:p w14:paraId="64C20F85">
            <w:pPr>
              <w:keepNext w:val="0"/>
              <w:keepLines w:val="0"/>
              <w:pageBreakBefore w:val="0"/>
              <w:widowControl w:val="0"/>
              <w:tabs>
                <w:tab w:val="left" w:pos="319"/>
              </w:tabs>
              <w:kinsoku/>
              <w:wordWrap/>
              <w:overflowPunct/>
              <w:topLinePunct w:val="0"/>
              <w:autoSpaceDE/>
              <w:autoSpaceDN/>
              <w:bidi w:val="0"/>
              <w:adjustRightInd/>
              <w:snapToGrid/>
              <w:spacing w:line="239" w:lineRule="exact"/>
              <w:ind w:firstLine="400" w:firstLineChars="200"/>
              <w:jc w:val="left"/>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7天</w:t>
            </w:r>
          </w:p>
        </w:tc>
        <w:tc>
          <w:tcPr>
            <w:tcW w:w="719" w:type="dxa"/>
            <w:noWrap w:val="0"/>
            <w:vAlign w:val="center"/>
          </w:tcPr>
          <w:p w14:paraId="48CFA11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3.3</w:t>
            </w:r>
          </w:p>
        </w:tc>
        <w:tc>
          <w:tcPr>
            <w:tcW w:w="802" w:type="dxa"/>
            <w:noWrap w:val="0"/>
            <w:vAlign w:val="center"/>
          </w:tcPr>
          <w:p w14:paraId="26B9E10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3.3</w:t>
            </w:r>
          </w:p>
        </w:tc>
        <w:tc>
          <w:tcPr>
            <w:tcW w:w="1275" w:type="dxa"/>
            <w:noWrap w:val="0"/>
            <w:vAlign w:val="center"/>
          </w:tcPr>
          <w:p w14:paraId="361CC7F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0866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AE8684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656F5C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14:paraId="554D274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3712BD9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12345办结期限</w:t>
            </w:r>
          </w:p>
        </w:tc>
        <w:tc>
          <w:tcPr>
            <w:tcW w:w="1319" w:type="dxa"/>
            <w:noWrap w:val="0"/>
            <w:vAlign w:val="center"/>
          </w:tcPr>
          <w:p w14:paraId="101ED967">
            <w:pPr>
              <w:keepNext w:val="0"/>
              <w:keepLines w:val="0"/>
              <w:pageBreakBefore w:val="0"/>
              <w:widowControl w:val="0"/>
              <w:tabs>
                <w:tab w:val="left" w:pos="468"/>
              </w:tabs>
              <w:kinsoku/>
              <w:wordWrap/>
              <w:overflowPunct/>
              <w:topLinePunct w:val="0"/>
              <w:autoSpaceDE/>
              <w:autoSpaceDN/>
              <w:bidi w:val="0"/>
              <w:adjustRightInd/>
              <w:snapToGrid/>
              <w:spacing w:line="239" w:lineRule="exact"/>
              <w:ind w:left="0" w:firstLine="200" w:firstLineChars="100"/>
              <w:jc w:val="left"/>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7个工作日</w:t>
            </w:r>
          </w:p>
        </w:tc>
        <w:tc>
          <w:tcPr>
            <w:tcW w:w="1259" w:type="dxa"/>
            <w:noWrap w:val="0"/>
            <w:vAlign w:val="center"/>
          </w:tcPr>
          <w:p w14:paraId="7B1949E4">
            <w:pPr>
              <w:keepNext w:val="0"/>
              <w:keepLines w:val="0"/>
              <w:pageBreakBefore w:val="0"/>
              <w:widowControl w:val="0"/>
              <w:tabs>
                <w:tab w:val="left" w:pos="319"/>
              </w:tabs>
              <w:kinsoku/>
              <w:wordWrap/>
              <w:overflowPunct/>
              <w:topLinePunct w:val="0"/>
              <w:autoSpaceDE/>
              <w:autoSpaceDN/>
              <w:bidi w:val="0"/>
              <w:adjustRightInd/>
              <w:snapToGrid/>
              <w:spacing w:line="239" w:lineRule="exact"/>
              <w:ind w:left="0" w:firstLine="200" w:firstLineChars="100"/>
              <w:jc w:val="left"/>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7个工作日</w:t>
            </w:r>
          </w:p>
        </w:tc>
        <w:tc>
          <w:tcPr>
            <w:tcW w:w="719" w:type="dxa"/>
            <w:noWrap w:val="0"/>
            <w:vAlign w:val="center"/>
          </w:tcPr>
          <w:p w14:paraId="5F8740E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3.4</w:t>
            </w:r>
          </w:p>
        </w:tc>
        <w:tc>
          <w:tcPr>
            <w:tcW w:w="802" w:type="dxa"/>
            <w:noWrap w:val="0"/>
            <w:vAlign w:val="center"/>
          </w:tcPr>
          <w:p w14:paraId="2B2B2FC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3.4</w:t>
            </w:r>
          </w:p>
        </w:tc>
        <w:tc>
          <w:tcPr>
            <w:tcW w:w="1275" w:type="dxa"/>
            <w:noWrap w:val="0"/>
            <w:vAlign w:val="center"/>
          </w:tcPr>
          <w:p w14:paraId="4129744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22886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1FDFEEB">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082F4C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4FB7396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14:paraId="160866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财政预算</w:t>
            </w:r>
          </w:p>
        </w:tc>
        <w:tc>
          <w:tcPr>
            <w:tcW w:w="1319" w:type="dxa"/>
            <w:noWrap w:val="0"/>
            <w:vAlign w:val="center"/>
          </w:tcPr>
          <w:p w14:paraId="5793C696">
            <w:pPr>
              <w:keepNext w:val="0"/>
              <w:keepLines w:val="0"/>
              <w:pageBreakBefore w:val="0"/>
              <w:widowControl w:val="0"/>
              <w:tabs>
                <w:tab w:val="left" w:pos="573"/>
              </w:tabs>
              <w:kinsoku/>
              <w:wordWrap/>
              <w:overflowPunct/>
              <w:topLinePunct w:val="0"/>
              <w:autoSpaceDE/>
              <w:autoSpaceDN/>
              <w:bidi w:val="0"/>
              <w:adjustRightInd/>
              <w:snapToGrid/>
              <w:spacing w:line="239" w:lineRule="exact"/>
              <w:ind w:left="0" w:firstLine="200" w:firstLineChars="100"/>
              <w:jc w:val="left"/>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≤62万元</w:t>
            </w:r>
          </w:p>
        </w:tc>
        <w:tc>
          <w:tcPr>
            <w:tcW w:w="1259" w:type="dxa"/>
            <w:noWrap w:val="0"/>
            <w:vAlign w:val="center"/>
          </w:tcPr>
          <w:p w14:paraId="677FA04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≤62万元</w:t>
            </w:r>
          </w:p>
        </w:tc>
        <w:tc>
          <w:tcPr>
            <w:tcW w:w="719" w:type="dxa"/>
            <w:noWrap w:val="0"/>
            <w:vAlign w:val="center"/>
          </w:tcPr>
          <w:p w14:paraId="1427D05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w:t>
            </w:r>
          </w:p>
        </w:tc>
        <w:tc>
          <w:tcPr>
            <w:tcW w:w="802" w:type="dxa"/>
            <w:noWrap w:val="0"/>
            <w:vAlign w:val="center"/>
          </w:tcPr>
          <w:p w14:paraId="10F498E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w:t>
            </w:r>
          </w:p>
        </w:tc>
        <w:tc>
          <w:tcPr>
            <w:tcW w:w="1275" w:type="dxa"/>
            <w:noWrap w:val="0"/>
            <w:vAlign w:val="center"/>
          </w:tcPr>
          <w:p w14:paraId="6F35E2D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770FF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D7DC9F8">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4342FB50">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4D264DF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0AB86EF">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418D430">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A8F0EBB">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2F95571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vMerge w:val="restart"/>
            <w:noWrap w:val="0"/>
            <w:vAlign w:val="center"/>
          </w:tcPr>
          <w:p w14:paraId="01848238">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5586765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r>
              <w:rPr>
                <w:rFonts w:hint="eastAsia" w:ascii="宋体" w:hAnsi="宋体" w:eastAsia="宋体" w:cs="宋体"/>
                <w:color w:val="000000" w:themeColor="text1"/>
                <w:spacing w:val="-3"/>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3"/>
                <w:sz w:val="21"/>
                <w:szCs w:val="21"/>
                <w:lang w:eastAsia="zh-CN"/>
                <w14:textFill>
                  <w14:solidFill>
                    <w14:schemeClr w14:val="tx1"/>
                  </w14:solidFill>
                </w14:textFill>
              </w:rPr>
              <w:t>（</w:t>
            </w:r>
            <w:r>
              <w:rPr>
                <w:rFonts w:hint="eastAsia" w:ascii="宋体" w:hAnsi="宋体" w:eastAsia="宋体" w:cs="宋体"/>
                <w:color w:val="000000" w:themeColor="text1"/>
                <w:spacing w:val="-3"/>
                <w:sz w:val="21"/>
                <w:szCs w:val="21"/>
                <w:lang w:val="en-US" w:eastAsia="zh-CN"/>
                <w14:textFill>
                  <w14:solidFill>
                    <w14:schemeClr w14:val="tx1"/>
                  </w14:solidFill>
                </w14:textFill>
              </w:rPr>
              <w:t>15分</w:t>
            </w:r>
            <w:r>
              <w:rPr>
                <w:rFonts w:hint="eastAsia" w:ascii="宋体" w:hAnsi="宋体" w:eastAsia="宋体" w:cs="宋体"/>
                <w:color w:val="000000" w:themeColor="text1"/>
                <w:spacing w:val="-3"/>
                <w:sz w:val="21"/>
                <w:szCs w:val="21"/>
                <w:lang w:eastAsia="zh-CN"/>
                <w14:textFill>
                  <w14:solidFill>
                    <w14:schemeClr w14:val="tx1"/>
                  </w14:solidFill>
                </w14:textFill>
              </w:rPr>
              <w:t>）</w:t>
            </w:r>
          </w:p>
        </w:tc>
        <w:tc>
          <w:tcPr>
            <w:tcW w:w="1269" w:type="dxa"/>
            <w:noWrap w:val="0"/>
            <w:vAlign w:val="center"/>
          </w:tcPr>
          <w:p w14:paraId="002897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提升便民基础设施建设</w:t>
            </w:r>
          </w:p>
        </w:tc>
        <w:tc>
          <w:tcPr>
            <w:tcW w:w="1319" w:type="dxa"/>
            <w:noWrap w:val="0"/>
            <w:vAlign w:val="center"/>
          </w:tcPr>
          <w:p w14:paraId="380E4C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有效提升</w:t>
            </w:r>
          </w:p>
        </w:tc>
        <w:tc>
          <w:tcPr>
            <w:tcW w:w="1259" w:type="dxa"/>
            <w:noWrap w:val="0"/>
            <w:vAlign w:val="center"/>
          </w:tcPr>
          <w:p w14:paraId="22FD1D2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有效提升</w:t>
            </w:r>
          </w:p>
        </w:tc>
        <w:tc>
          <w:tcPr>
            <w:tcW w:w="719" w:type="dxa"/>
            <w:noWrap w:val="0"/>
            <w:vAlign w:val="center"/>
          </w:tcPr>
          <w:p w14:paraId="66ABD46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7.5</w:t>
            </w:r>
          </w:p>
        </w:tc>
        <w:tc>
          <w:tcPr>
            <w:tcW w:w="802" w:type="dxa"/>
            <w:noWrap w:val="0"/>
            <w:vAlign w:val="center"/>
          </w:tcPr>
          <w:p w14:paraId="0B8BB83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7.5</w:t>
            </w:r>
          </w:p>
        </w:tc>
        <w:tc>
          <w:tcPr>
            <w:tcW w:w="1275" w:type="dxa"/>
            <w:noWrap w:val="0"/>
            <w:vAlign w:val="center"/>
          </w:tcPr>
          <w:p w14:paraId="4E1AD3D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12942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67705153">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F1CF62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7D9B2FA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p>
        </w:tc>
        <w:tc>
          <w:tcPr>
            <w:tcW w:w="1269" w:type="dxa"/>
            <w:noWrap w:val="0"/>
            <w:vAlign w:val="center"/>
          </w:tcPr>
          <w:p w14:paraId="147850D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落实一季度一巡检一维修工作机制，确保公网平台稳定运行，促进基层工作信息化建设</w:t>
            </w:r>
          </w:p>
        </w:tc>
        <w:tc>
          <w:tcPr>
            <w:tcW w:w="1319" w:type="dxa"/>
            <w:noWrap w:val="0"/>
            <w:vAlign w:val="center"/>
          </w:tcPr>
          <w:p w14:paraId="58E82D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259" w:type="dxa"/>
            <w:noWrap w:val="0"/>
            <w:vAlign w:val="center"/>
          </w:tcPr>
          <w:p w14:paraId="408587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719" w:type="dxa"/>
            <w:noWrap w:val="0"/>
            <w:vAlign w:val="center"/>
          </w:tcPr>
          <w:p w14:paraId="356F5D6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7.5</w:t>
            </w:r>
          </w:p>
        </w:tc>
        <w:tc>
          <w:tcPr>
            <w:tcW w:w="802" w:type="dxa"/>
            <w:noWrap w:val="0"/>
            <w:vAlign w:val="center"/>
          </w:tcPr>
          <w:p w14:paraId="0E72DF5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7.5</w:t>
            </w:r>
          </w:p>
        </w:tc>
        <w:tc>
          <w:tcPr>
            <w:tcW w:w="1275" w:type="dxa"/>
            <w:noWrap w:val="0"/>
            <w:vAlign w:val="center"/>
          </w:tcPr>
          <w:p w14:paraId="691D6C1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p>
        </w:tc>
      </w:tr>
      <w:tr w14:paraId="391D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621FC2B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80E5C7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293958DB">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2166C84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14:paraId="71B80A4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本年度内根据政策及时推广电子社保卡新功能应用</w:t>
            </w:r>
          </w:p>
        </w:tc>
        <w:tc>
          <w:tcPr>
            <w:tcW w:w="1319" w:type="dxa"/>
            <w:noWrap w:val="0"/>
            <w:vAlign w:val="center"/>
          </w:tcPr>
          <w:p w14:paraId="57084FB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本年度</w:t>
            </w:r>
          </w:p>
        </w:tc>
        <w:tc>
          <w:tcPr>
            <w:tcW w:w="1259" w:type="dxa"/>
            <w:noWrap w:val="0"/>
            <w:vAlign w:val="center"/>
          </w:tcPr>
          <w:p w14:paraId="2B34323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本年度</w:t>
            </w:r>
          </w:p>
        </w:tc>
        <w:tc>
          <w:tcPr>
            <w:tcW w:w="719" w:type="dxa"/>
            <w:noWrap w:val="0"/>
            <w:vAlign w:val="center"/>
          </w:tcPr>
          <w:p w14:paraId="4AB0C0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02" w:type="dxa"/>
            <w:noWrap w:val="0"/>
            <w:vAlign w:val="center"/>
          </w:tcPr>
          <w:p w14:paraId="1EF4A2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275" w:type="dxa"/>
            <w:noWrap w:val="0"/>
            <w:vAlign w:val="center"/>
          </w:tcPr>
          <w:p w14:paraId="4FC046E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2AE0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58E6F2A2">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4426915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235C3F1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340EC6A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14:paraId="4589A202">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138327A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09BE2A8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14:paraId="2576346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社会公众满意度</w:t>
            </w:r>
          </w:p>
        </w:tc>
        <w:tc>
          <w:tcPr>
            <w:tcW w:w="1319" w:type="dxa"/>
            <w:noWrap w:val="0"/>
            <w:vAlign w:val="center"/>
          </w:tcPr>
          <w:p w14:paraId="3808E56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≥95%</w:t>
            </w:r>
          </w:p>
        </w:tc>
        <w:tc>
          <w:tcPr>
            <w:tcW w:w="1259" w:type="dxa"/>
            <w:noWrap w:val="0"/>
            <w:vAlign w:val="center"/>
          </w:tcPr>
          <w:p w14:paraId="13FC372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≥95%</w:t>
            </w:r>
          </w:p>
        </w:tc>
        <w:tc>
          <w:tcPr>
            <w:tcW w:w="719" w:type="dxa"/>
            <w:noWrap w:val="0"/>
            <w:vAlign w:val="center"/>
          </w:tcPr>
          <w:p w14:paraId="3B3B9BB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6EC6ABC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14:paraId="12DF6FE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3CEA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0EA47AA8">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6E588521">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7F2675D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99.3</w:t>
            </w:r>
          </w:p>
        </w:tc>
        <w:tc>
          <w:tcPr>
            <w:tcW w:w="1275" w:type="dxa"/>
            <w:noWrap w:val="0"/>
            <w:vAlign w:val="center"/>
          </w:tcPr>
          <w:p w14:paraId="057CDAC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1C4AF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765FBE56">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p>
        </w:tc>
        <w:tc>
          <w:tcPr>
            <w:tcW w:w="719" w:type="dxa"/>
            <w:noWrap w:val="0"/>
            <w:vAlign w:val="center"/>
          </w:tcPr>
          <w:p w14:paraId="07620844">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p>
        </w:tc>
        <w:tc>
          <w:tcPr>
            <w:tcW w:w="802" w:type="dxa"/>
            <w:noWrap w:val="0"/>
            <w:vAlign w:val="center"/>
          </w:tcPr>
          <w:p w14:paraId="56E4EA5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color w:val="000000" w:themeColor="text1"/>
                <w:sz w:val="21"/>
                <w:lang w:val="en-US" w:eastAsia="zh-CN"/>
                <w14:textFill>
                  <w14:solidFill>
                    <w14:schemeClr w14:val="tx1"/>
                  </w14:solidFill>
                </w14:textFill>
              </w:rPr>
            </w:pPr>
          </w:p>
        </w:tc>
        <w:tc>
          <w:tcPr>
            <w:tcW w:w="1275" w:type="dxa"/>
            <w:noWrap w:val="0"/>
            <w:vAlign w:val="center"/>
          </w:tcPr>
          <w:p w14:paraId="563F700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1088232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hint="eastAsia" w:ascii="仿宋" w:hAnsi="仿宋" w:eastAsia="仿宋" w:cs="仿宋"/>
          <w:color w:val="000000" w:themeColor="text1"/>
          <w:spacing w:val="9"/>
          <w:sz w:val="22"/>
          <w:szCs w:val="22"/>
          <w:lang w:val="en-US" w:eastAsia="zh-CN"/>
          <w14:textFill>
            <w14:solidFill>
              <w14:schemeClr w14:val="tx1"/>
            </w14:solidFill>
          </w14:textFill>
        </w:rPr>
        <w:t>邱晓</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hint="eastAsia" w:ascii="仿宋" w:hAnsi="仿宋" w:eastAsia="仿宋" w:cs="仿宋"/>
          <w:color w:val="000000" w:themeColor="text1"/>
          <w:spacing w:val="2"/>
          <w:sz w:val="22"/>
          <w:szCs w:val="22"/>
          <w:lang w:val="en-US" w:eastAsia="zh-CN"/>
          <w14:textFill>
            <w14:solidFill>
              <w14:schemeClr w14:val="tx1"/>
            </w14:solidFill>
          </w14:textFill>
        </w:rPr>
        <w:t>18216300872</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7B9AE4E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14:paraId="249EAE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75FED90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0E40BEB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岳阳市岳阳楼区人力资源和社会保障网络信息服务中心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73362FC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5EDC886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DA711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B9F369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6AC166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92EB8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06CB1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2C0004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36E6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C7EC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47171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333B2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102EC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9010DD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D2CDB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4888B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E71215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3822CB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038C46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D40FD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1F17F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C398E0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AF9577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8483D4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4EBD09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BC671A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2634EF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63CB2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部门(单位)名称：岳阳市岳阳楼区人力资源和社会保障网络信息服务中心( 盖 章 )</w:t>
      </w:r>
    </w:p>
    <w:p w14:paraId="36B4070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2023年6月14日</w:t>
      </w:r>
    </w:p>
    <w:p w14:paraId="18ED7E3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C80B7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D76CF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AD6F6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37955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人力资源和社会保障网络信息服务中心</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14:paraId="6C3860F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C2A97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1893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30673EA">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25E7EF5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岳阳市岳阳楼区人力资源管理信息服务中心负责全区人力资源和社会保障公共服务网络平台信息管理和12345政府公共热线业务受理，并将其分流至各对应股室单位；负责全区人力资源和社会保障公共服务平台劳动保障业务操作人员、信息管理人员的培训工作；负责岳阳楼区社会保障卡工作；负责局内外网信息安全工作；负责局信息化建设工作；负责局政务公开信息发布工作。</w:t>
      </w:r>
    </w:p>
    <w:p w14:paraId="50C44D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_GB2312"/>
          <w:kern w:val="0"/>
          <w:sz w:val="32"/>
          <w:szCs w:val="32"/>
          <w:lang w:val="en-US" w:eastAsia="zh-CN" w:bidi="ar-SA"/>
        </w:rPr>
        <w:t>2022年职工人数8人，其中：在职编制5人；离退休0人；临聘人员3人。单位设置3个股室：1个办公室，有个业务股，一个财务室。</w:t>
      </w:r>
    </w:p>
    <w:p w14:paraId="1863035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14ACE0B5">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41752EE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2022年基本支出为276.04万元，其中：人员经费51.69万元，主要包括：基本工资12.50万元、津贴补贴2.03万元、奖金10.82万元、伙食补助费2.80万元、绩效工资6.02万元、机关事业单位基本养老保险缴费3.31万元、职工基本医疗保险缴费1.79万元、其他社会保障缴费0.12万元 、住房公积金2.44万元、其他工资福利支出9.82万元、其他对个人和家庭的补助0.04万元。商品和服务支出174.85万元，主要包括：办公费3.89万元、印刷费16.29万元、水费0.06万元、电费33.15万元、邮电费49.18万元、差旅费0.04万元、维修（护）费54.81万元、培训费7.32万元、公务接待费0.64万元、劳务费1.54万元、工会经费1.00万元、其他交通费用1.21万元、其他商品和服务支出5.72万元。</w:t>
      </w:r>
    </w:p>
    <w:p w14:paraId="5E6BE2FF">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14:paraId="12A3299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无项目支出。</w:t>
      </w:r>
    </w:p>
    <w:p w14:paraId="5239F66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13D5717D">
      <w:pPr>
        <w:widowControl/>
        <w:spacing w:line="600" w:lineRule="exact"/>
        <w:ind w:firstLine="660"/>
        <w:jc w:val="left"/>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无政府性基金预算支出。</w:t>
      </w:r>
    </w:p>
    <w:p w14:paraId="1CFEB33A">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620CB596">
      <w:pPr>
        <w:widowControl/>
        <w:spacing w:line="600" w:lineRule="exact"/>
        <w:ind w:firstLine="660"/>
        <w:jc w:val="left"/>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无国有资本经营预算支出。</w:t>
      </w:r>
    </w:p>
    <w:p w14:paraId="6FB261FB">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228B8159">
      <w:pPr>
        <w:widowControl/>
        <w:spacing w:line="600" w:lineRule="exact"/>
        <w:ind w:firstLine="660"/>
        <w:jc w:val="left"/>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无社保基金预算支出。</w:t>
      </w:r>
    </w:p>
    <w:p w14:paraId="23D34DE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6D8B424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平台107个工作站运行稳定，针对各窗口报修情况，工作人员及时响应。针对暂时无法解决的疑难杂症进行统计，后台报送相应供应商进行及时维护。未影响各平台业务办理。平台运行至今，共办理业务134</w:t>
      </w:r>
      <w:bookmarkStart w:id="0" w:name="_GoBack"/>
      <w:bookmarkEnd w:id="0"/>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万余笔，得到居民一致认可，已办结业务的满意率超过90%，居民足不出户就能办理政务业务，这也是我区发展新理念的目标之一。为构建我局关键信息基础设施安全保障体系，区人社局成立了网络信息安全领导小组，结合正在开展的信息安全等级保护工作，对全局网络进行安全整改，切实提高我局网格安全保障水平和能力。</w:t>
      </w:r>
    </w:p>
    <w:p w14:paraId="1955941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156E7BD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公共网络服务平台建成运行至今，仍有不少居民对平台的运用认识不够，平台业务人员更换导致业务不熟，继续选择原有业务办理方式，未能充分提升基层信息化建设效能。金保二期工程换平台，软硬件更换对接不及时，岳阳楼区公共网络服务平台107个村、社区软硬件维保、线路租赁施工布线完成率仅完成全年任务的91%。</w:t>
      </w:r>
    </w:p>
    <w:p w14:paraId="64698769">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1E1B1434">
      <w:pPr>
        <w:pStyle w:val="2"/>
        <w:numPr>
          <w:ilvl w:val="0"/>
          <w:numId w:val="0"/>
        </w:numPr>
        <w:ind w:firstLine="640" w:firstLineChars="200"/>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为真正实现居民零公里政务服务圈，</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充分提升基层信息化建设效能，将</w:t>
      </w: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对平台业务人员实行专人专干制度，加强工作交接、培训，并制定考核中制度，保障基层工作人员专人专岗，都能成为业务骨干，将平台应用传达到楼区每一位居民心里。真正实现居民零公里政务服务圈。</w:t>
      </w:r>
    </w:p>
    <w:p w14:paraId="6C5D67B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0869485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14:paraId="20C6F41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A60E60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14:paraId="0696A02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14:paraId="1B14C2A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54177EF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02AACBC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2A37A9E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6AA7777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6B86858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ACF8F0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B4696E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C64FCC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807F36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BACFAB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3BC9CAF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409F968">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14:paraId="7F9288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0BF67E6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5F37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0767EA41">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5219C563">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396EC3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580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16589E83">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38E676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146C38F">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05B4AB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69AA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77B36EC1">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693040CC">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3F7CFB4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502FCE0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5095D73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943D8C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19C7C8E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28743FC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6AB8342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46DEA39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138CC26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0CF1B95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3C7FE2C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0F21A43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57B4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1A18EF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4F8C6D9B">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418ABE4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5756D69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0A4295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74B0EE80">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6F3610B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7E09174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285B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9321CC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02B9AA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29617F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87FC8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A5EB8B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0C281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D899A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C74A7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2506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52921A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EFA841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04D7F3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CFFBF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08642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993B9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51692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FDC7C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C57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3661AD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30098E65">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677219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F44F7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DF643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37865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817C8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D870CE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F8F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52E90736">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3E062A97">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7DF154A5">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63AE6283">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5D8DA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36DE63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1E787E4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6376F0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F0BF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43866FAA">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7E619D1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2BAB036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05FFDB4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0AB9B1C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7663280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51FD686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23DCE77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3A3B212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409F310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6E128901">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1C3F3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263B249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5CD5CFF">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54AF10A0">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33F3DC0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E42DB0B">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78F0BDFB">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71CDF83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26972AC5">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7BD9329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9061BBD">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7F26C5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3C3AAEA">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E2611B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CA1E9B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A19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F2BF2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2C8C6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47D92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FEA0C8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2FF491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29F783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BD0B80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ACEE37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DC48AF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65C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51F36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8910BE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066E5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EA4B15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C66ADB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4B6B59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09698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EE87C3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579E50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CE8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1C7C0D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2E7DA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86083C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263CC0E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AB775E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917B02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7AFEEA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939ED3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339DD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5A2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6B28E8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3A419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5DB601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101F6D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1A9132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D77E9F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83D20D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F95072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172588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5CE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1A5C4B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DE99B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D95E3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39F9C6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E8C6DF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C8852D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D5453C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5212F8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0D2D98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0AE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5BF25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23B8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F018E8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231CB44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6E87C4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9BFA16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FAF86C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238FC9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86352B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8EE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32653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0DE76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81942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FBA799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96D044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581509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0CCAE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21708D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368588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6A4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52025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17100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897B40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E4EE14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27C10A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C7DFB3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D662B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64EB8C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58D338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082E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3457B1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BF3072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278B2FC">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4184B78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CD2DF8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838AC2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A0F34B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614E3D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8BD8AE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9E6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05743C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F6217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E3074A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457606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1A29FD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0EF141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1C698B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D084BA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3E8070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58F9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C762B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FA6DB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2A73F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AD3320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0A6F93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91C15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68197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4B4D18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3EFBEC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041F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AA05C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B3AF569">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41154707">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0D401113">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0E6D1C4B">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6E2E0F0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36AFA32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1FDF935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2DEA619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179C88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3084F4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BB705E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A9C15A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EBFC33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B7D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0E1603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F51A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37503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F13F52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B7907B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46C1E2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C7EBDF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627169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ECD688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82C7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5AC880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86EF6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C02325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2A39E9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52B03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FA76B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E57F3D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A0CEC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F4F429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EFDA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A2EF4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5A82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E10918F">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228308D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5BDEEE6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000C4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1FF13B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861BC6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17109B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05C8C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904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891CAF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4B0AE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A09AA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A779FE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AD2C52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8BCD6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6D06E2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DEE840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A2D4D7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8F8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710CA64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063A9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32005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007758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3504BC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EA15E5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6B9249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6298CE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F2B56E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1B1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6AA609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50066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4A8C58C">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3D7831F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019D6C7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C633A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FF3CB6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63C2CF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2A7676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51B3B0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B4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25F6D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3555C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7D466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9222A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D0063A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B5D131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399B1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C1A66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CE7EC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BBD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5D063E7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B94412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ABDED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514799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496896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58B994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A2F2F9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BB7C3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EAA5C6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B35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DF334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CDB71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1D88C1B">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1F3E74F9">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0079155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773B63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346C3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C61E48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45FBD3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81B3D3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E5B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68455A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886AEF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E1B95D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9AC1AA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31A954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83AF4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EF1311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947D19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1A3F8A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2818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333DAA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978F0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BC2AD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B505D2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B27CC0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74A1F7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52C564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6AD04E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A14F47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1A7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043D76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4C71C7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B4C723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143F1AE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7792FA15">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261A34E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465CFDA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08906D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7C7216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FF498A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BB0F0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71FE04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AA28BB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3857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26125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4EF242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F5278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EFEBE1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970080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146CC3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B2B58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90A169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2517A0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6A8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798B48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A1A0A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F42E8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C60D0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A15AE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37C01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CD2AE9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A1DC4E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C02016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A32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2360817D">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0536ED17">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0B27687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20F840A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4A817807">
      <w:pPr>
        <w:spacing w:line="252" w:lineRule="auto"/>
        <w:rPr>
          <w:rFonts w:ascii="Arial"/>
          <w:color w:val="000000" w:themeColor="text1"/>
          <w:sz w:val="21"/>
          <w14:textFill>
            <w14:solidFill>
              <w14:schemeClr w14:val="tx1"/>
            </w14:solidFill>
          </w14:textFill>
        </w:rPr>
      </w:pPr>
    </w:p>
    <w:p w14:paraId="4EFFC9A4">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55EB96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7EB1884E">
      <w:pPr>
        <w:ind w:firstLine="1440" w:firstLineChars="400"/>
        <w:jc w:val="both"/>
        <w:rPr>
          <w:rFonts w:hint="eastAsia" w:eastAsia="方正小标宋简体"/>
          <w:sz w:val="36"/>
          <w:szCs w:val="36"/>
          <w:lang w:eastAsia="zh-CN"/>
        </w:rPr>
      </w:pPr>
    </w:p>
    <w:p w14:paraId="16DF3164">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14:paraId="28883995">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14A7F773">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1F8B0907">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46FFB19E">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1DE38D7D">
            <w:pPr>
              <w:spacing w:line="240" w:lineRule="exact"/>
              <w:jc w:val="center"/>
              <w:rPr>
                <w:rFonts w:eastAsia="黑体"/>
                <w:szCs w:val="21"/>
              </w:rPr>
            </w:pPr>
            <w:r>
              <w:rPr>
                <w:rFonts w:eastAsia="黑体"/>
                <w:szCs w:val="21"/>
              </w:rPr>
              <w:t>评分</w:t>
            </w:r>
          </w:p>
        </w:tc>
      </w:tr>
      <w:tr w14:paraId="590BF52D">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760C77E3">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42240DC0">
            <w:pPr>
              <w:spacing w:line="320" w:lineRule="exact"/>
              <w:jc w:val="center"/>
              <w:rPr>
                <w:rFonts w:hint="eastAsia" w:asciiTheme="majorEastAsia" w:hAnsiTheme="majorEastAsia" w:eastAsiaTheme="majorEastAsia" w:cstheme="majorEastAsia"/>
                <w:szCs w:val="21"/>
              </w:rPr>
            </w:pPr>
          </w:p>
          <w:p w14:paraId="320015C2">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68B4471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45981F8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21916304">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789F415D">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14:paraId="0F21D66B">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1F34610">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014F33C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1BAE2EB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22DDE23E">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15561C93">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0E22BA2F">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39978202">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6903177F">
            <w:pPr>
              <w:spacing w:line="240" w:lineRule="exact"/>
              <w:jc w:val="center"/>
              <w:rPr>
                <w:rFonts w:hint="eastAsia" w:asciiTheme="majorEastAsia" w:hAnsiTheme="majorEastAsia" w:eastAsiaTheme="majorEastAsia" w:cstheme="majorEastAsia"/>
                <w:szCs w:val="21"/>
              </w:rPr>
            </w:pPr>
          </w:p>
          <w:p w14:paraId="07F78F7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6BC3337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049B12B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73FEA21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57CD900D">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65ED5563">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5A79126B">
            <w:pPr>
              <w:spacing w:line="240" w:lineRule="exact"/>
              <w:jc w:val="center"/>
              <w:rPr>
                <w:rFonts w:hint="default" w:asciiTheme="majorEastAsia" w:hAnsiTheme="majorEastAsia" w:eastAsiaTheme="majorEastAsia" w:cstheme="majorEastAsia"/>
                <w:szCs w:val="21"/>
                <w:lang w:val="en-US"/>
              </w:rPr>
            </w:pPr>
            <w:r>
              <w:rPr>
                <w:rFonts w:hint="eastAsia" w:asciiTheme="majorEastAsia" w:hAnsiTheme="majorEastAsia" w:eastAsiaTheme="majorEastAsia" w:cstheme="majorEastAsia"/>
                <w:szCs w:val="21"/>
                <w:lang w:val="en-US" w:eastAsia="zh-CN"/>
              </w:rPr>
              <w:t>15</w:t>
            </w:r>
          </w:p>
        </w:tc>
      </w:tr>
      <w:tr w14:paraId="18CF3AEC">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AD452EE">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2D66D55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590F69D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234A1D1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7002A26C">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1E33F819">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7B936B5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14:paraId="1C66C793">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BE9BDB3">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080EC75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378F5BF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56CF3AB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2AE286C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670C99CD">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34420B16">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14:paraId="04A682AC">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A94168F">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8FD872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64A7D11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09F2A8C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08582F16">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057D660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4A7F17F1">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133D65F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7579B0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32BD6F9">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2DAEEF4">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 xml:space="preserve">  98</w:t>
            </w:r>
          </w:p>
        </w:tc>
      </w:tr>
    </w:tbl>
    <w:p w14:paraId="39BDCEC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DEF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B2F29">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6B2F29">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78CD4"/>
    <w:multiLevelType w:val="singleLevel"/>
    <w:tmpl w:val="B4B78CD4"/>
    <w:lvl w:ilvl="0" w:tentative="0">
      <w:start w:val="8"/>
      <w:numFmt w:val="chineseCounting"/>
      <w:suff w:val="nothing"/>
      <w:lvlText w:val="%1、"/>
      <w:lvlJc w:val="left"/>
      <w:rPr>
        <w:rFonts w:hint="eastAsia"/>
      </w:rPr>
    </w:lvl>
  </w:abstractNum>
  <w:abstractNum w:abstractNumId="1">
    <w:nsid w:val="E93D03B0"/>
    <w:multiLevelType w:val="singleLevel"/>
    <w:tmpl w:val="E93D03B0"/>
    <w:lvl w:ilvl="0" w:tentative="0">
      <w:start w:val="1"/>
      <w:numFmt w:val="chineseCounting"/>
      <w:suff w:val="nothing"/>
      <w:lvlText w:val="%1、"/>
      <w:lvlJc w:val="left"/>
      <w:rPr>
        <w:rFonts w:hint="eastAsia"/>
      </w:rPr>
    </w:lvl>
  </w:abstractNum>
  <w:abstractNum w:abstractNumId="2">
    <w:nsid w:val="F9BCD918"/>
    <w:multiLevelType w:val="singleLevel"/>
    <w:tmpl w:val="F9BCD918"/>
    <w:lvl w:ilvl="0" w:tentative="0">
      <w:start w:val="4"/>
      <w:numFmt w:val="chineseCounting"/>
      <w:suff w:val="nothing"/>
      <w:lvlText w:val="%1、"/>
      <w:lvlJc w:val="left"/>
      <w:rPr>
        <w:rFonts w:hint="eastAsia"/>
      </w:rPr>
    </w:lvl>
  </w:abstractNum>
  <w:abstractNum w:abstractNumId="3">
    <w:nsid w:val="1A4950AD"/>
    <w:multiLevelType w:val="singleLevel"/>
    <w:tmpl w:val="1A4950AD"/>
    <w:lvl w:ilvl="0" w:tentative="0">
      <w:start w:val="2"/>
      <w:numFmt w:val="chineseCounting"/>
      <w:lvlText w:val="(%1)"/>
      <w:lvlJc w:val="left"/>
      <w:pPr>
        <w:tabs>
          <w:tab w:val="left" w:pos="312"/>
        </w:tabs>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ZjJlNWU2Y2I2YmQzNTNhYWMzY2I0ZWJjZGE1YTU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263C7"/>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4264A"/>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74B8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6179A4"/>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B8642C"/>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3FC3FAF"/>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CF32DF"/>
    <w:rsid w:val="27D071BC"/>
    <w:rsid w:val="27D4538F"/>
    <w:rsid w:val="27DE15AE"/>
    <w:rsid w:val="27E03A2F"/>
    <w:rsid w:val="280D297A"/>
    <w:rsid w:val="28276A98"/>
    <w:rsid w:val="285710C8"/>
    <w:rsid w:val="285C4BAF"/>
    <w:rsid w:val="285D0F42"/>
    <w:rsid w:val="28703320"/>
    <w:rsid w:val="288030C4"/>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7746A6"/>
    <w:rsid w:val="2DE44256"/>
    <w:rsid w:val="2DE557EB"/>
    <w:rsid w:val="2E0E6D42"/>
    <w:rsid w:val="2E0F4249"/>
    <w:rsid w:val="2E2F0A58"/>
    <w:rsid w:val="2E3C5FA4"/>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54336"/>
    <w:rsid w:val="33262CBA"/>
    <w:rsid w:val="332B323C"/>
    <w:rsid w:val="332E3189"/>
    <w:rsid w:val="335B62EC"/>
    <w:rsid w:val="335E79BA"/>
    <w:rsid w:val="3360061D"/>
    <w:rsid w:val="336549AB"/>
    <w:rsid w:val="33782709"/>
    <w:rsid w:val="338813BB"/>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B225E"/>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8D2E30"/>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71D47"/>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B12DB4"/>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E2CC4"/>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4C7EA6"/>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B847DE"/>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880272"/>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221A3"/>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56D65"/>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174C3"/>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930AC2"/>
    <w:rsid w:val="6DB664EE"/>
    <w:rsid w:val="6DBC6250"/>
    <w:rsid w:val="6DC64BAC"/>
    <w:rsid w:val="6E037AD7"/>
    <w:rsid w:val="6E056523"/>
    <w:rsid w:val="6E074EC9"/>
    <w:rsid w:val="6E0E1EE1"/>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C3551C"/>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5FC0AF8"/>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5E7E88"/>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D13BC2"/>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3844</Words>
  <Characters>4272</Characters>
  <Lines>0</Lines>
  <Paragraphs>0</Paragraphs>
  <TotalTime>138</TotalTime>
  <ScaleCrop>false</ScaleCrop>
  <LinksUpToDate>false</LinksUpToDate>
  <CharactersWithSpaces>4414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西鼓隆咚呛</cp:lastModifiedBy>
  <cp:lastPrinted>2023-06-16T06:11:00Z</cp:lastPrinted>
  <dcterms:modified xsi:type="dcterms:W3CDTF">2024-10-14T05:43:07Z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EEFC5AF14C904882AAC1E88D9E507B30_13</vt:lpwstr>
  </property>
</Properties>
</file>