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7F" w:rsidRPr="00D7077F" w:rsidRDefault="00D7077F" w:rsidP="00D7077F">
      <w:pPr>
        <w:widowControl w:val="0"/>
        <w:adjustRightInd/>
        <w:snapToGrid/>
        <w:spacing w:after="0" w:line="520" w:lineRule="exact"/>
        <w:jc w:val="center"/>
        <w:rPr>
          <w:rFonts w:ascii="黑体" w:eastAsia="黑体" w:hAnsi="黑体" w:cs="方正小标宋简体"/>
          <w:color w:val="000000"/>
          <w:kern w:val="2"/>
          <w:sz w:val="44"/>
          <w:szCs w:val="44"/>
        </w:rPr>
      </w:pPr>
      <w:r w:rsidRPr="00D7077F">
        <w:rPr>
          <w:rFonts w:ascii="黑体" w:eastAsia="黑体" w:hAnsi="黑体" w:cs="方正小标宋简体" w:hint="eastAsia"/>
          <w:color w:val="000000"/>
          <w:kern w:val="2"/>
          <w:sz w:val="44"/>
          <w:szCs w:val="44"/>
        </w:rPr>
        <w:t>202</w:t>
      </w:r>
      <w:r w:rsidR="00166269">
        <w:rPr>
          <w:rFonts w:ascii="黑体" w:eastAsia="黑体" w:hAnsi="黑体" w:cs="方正小标宋简体" w:hint="eastAsia"/>
          <w:color w:val="000000"/>
          <w:kern w:val="2"/>
          <w:sz w:val="44"/>
          <w:szCs w:val="44"/>
        </w:rPr>
        <w:t>3</w:t>
      </w:r>
      <w:r w:rsidRPr="00D7077F">
        <w:rPr>
          <w:rFonts w:ascii="黑体" w:eastAsia="黑体" w:hAnsi="黑体" w:cs="方正小标宋简体" w:hint="eastAsia"/>
          <w:color w:val="000000"/>
          <w:kern w:val="2"/>
          <w:sz w:val="44"/>
          <w:szCs w:val="44"/>
        </w:rPr>
        <w:t>年度岳阳楼区厂地协作服务中心</w:t>
      </w:r>
    </w:p>
    <w:p w:rsidR="00D7077F" w:rsidRPr="00D7077F" w:rsidRDefault="00D7077F" w:rsidP="00D7077F">
      <w:pPr>
        <w:widowControl w:val="0"/>
        <w:adjustRightInd/>
        <w:snapToGrid/>
        <w:spacing w:after="0" w:line="520" w:lineRule="exact"/>
        <w:jc w:val="center"/>
        <w:rPr>
          <w:rFonts w:ascii="黑体" w:eastAsia="黑体" w:hAnsi="黑体" w:cs="方正小标宋简体"/>
          <w:color w:val="000000"/>
          <w:kern w:val="2"/>
          <w:sz w:val="44"/>
          <w:szCs w:val="44"/>
        </w:rPr>
      </w:pPr>
      <w:r w:rsidRPr="00D7077F">
        <w:rPr>
          <w:rFonts w:ascii="黑体" w:eastAsia="黑体" w:hAnsi="黑体" w:cs="方正小标宋简体" w:hint="eastAsia"/>
          <w:color w:val="000000"/>
          <w:kern w:val="2"/>
          <w:sz w:val="44"/>
          <w:szCs w:val="44"/>
        </w:rPr>
        <w:t>单位整体支出绩效自评报告</w:t>
      </w:r>
    </w:p>
    <w:p w:rsidR="00D7077F" w:rsidRPr="00D7077F" w:rsidRDefault="00D7077F" w:rsidP="00D7077F">
      <w:pPr>
        <w:widowControl w:val="0"/>
        <w:adjustRightInd/>
        <w:snapToGrid/>
        <w:spacing w:after="0" w:line="520" w:lineRule="exact"/>
        <w:rPr>
          <w:rFonts w:ascii="仿宋" w:eastAsia="仿宋" w:hAnsi="仿宋" w:cs="仿宋"/>
          <w:color w:val="000000"/>
          <w:kern w:val="2"/>
        </w:rPr>
      </w:pPr>
    </w:p>
    <w:p w:rsidR="00D7077F" w:rsidRPr="00D7077F" w:rsidRDefault="00D7077F" w:rsidP="00D7077F">
      <w:pPr>
        <w:widowControl w:val="0"/>
        <w:adjustRightInd/>
        <w:snapToGrid/>
        <w:spacing w:after="0" w:line="520" w:lineRule="exact"/>
        <w:rPr>
          <w:rFonts w:ascii="仿宋" w:eastAsia="仿宋" w:hAnsi="仿宋" w:cs="仿宋"/>
          <w:color w:val="000000"/>
          <w:kern w:val="2"/>
        </w:rPr>
      </w:pPr>
    </w:p>
    <w:p w:rsidR="00D7077F" w:rsidRPr="00D7077F" w:rsidRDefault="00D7077F" w:rsidP="00D7077F">
      <w:pPr>
        <w:widowControl w:val="0"/>
        <w:adjustRightInd/>
        <w:snapToGrid/>
        <w:spacing w:after="0" w:line="520" w:lineRule="exact"/>
        <w:rPr>
          <w:rFonts w:ascii="仿宋" w:eastAsia="仿宋" w:hAnsi="仿宋" w:cs="仿宋"/>
          <w:color w:val="000000"/>
          <w:kern w:val="2"/>
        </w:rPr>
      </w:pPr>
    </w:p>
    <w:p w:rsidR="00D7077F" w:rsidRPr="00C24062" w:rsidRDefault="00D7077F" w:rsidP="00D7077F">
      <w:pPr>
        <w:widowControl w:val="0"/>
        <w:adjustRightInd/>
        <w:snapToGrid/>
        <w:spacing w:after="0" w:line="520" w:lineRule="exact"/>
        <w:ind w:firstLine="640"/>
        <w:rPr>
          <w:rFonts w:ascii="仿宋" w:eastAsia="仿宋" w:hAnsi="仿宋" w:cs="黑体"/>
          <w:b/>
          <w:color w:val="000000"/>
          <w:kern w:val="2"/>
          <w:sz w:val="28"/>
          <w:szCs w:val="28"/>
        </w:rPr>
      </w:pPr>
      <w:r w:rsidRPr="00C24062">
        <w:rPr>
          <w:rFonts w:ascii="仿宋" w:eastAsia="仿宋" w:hAnsi="仿宋" w:cs="黑体" w:hint="eastAsia"/>
          <w:b/>
          <w:color w:val="000000"/>
          <w:kern w:val="2"/>
          <w:sz w:val="28"/>
          <w:szCs w:val="28"/>
        </w:rPr>
        <w:t>一、单位基本情况</w:t>
      </w:r>
    </w:p>
    <w:p w:rsidR="00D7077F" w:rsidRPr="00C24062" w:rsidRDefault="00D7077F" w:rsidP="00D7077F">
      <w:pPr>
        <w:widowControl w:val="0"/>
        <w:autoSpaceDN w:val="0"/>
        <w:adjustRightInd/>
        <w:snapToGrid/>
        <w:spacing w:after="0" w:line="520" w:lineRule="exact"/>
        <w:ind w:firstLineChars="200" w:firstLine="560"/>
        <w:textAlignment w:val="center"/>
        <w:rPr>
          <w:rFonts w:ascii="仿宋" w:eastAsia="仿宋" w:hAnsi="仿宋" w:cs="仿宋_GB2312"/>
          <w:bCs/>
          <w:kern w:val="2"/>
          <w:sz w:val="28"/>
          <w:szCs w:val="28"/>
        </w:rPr>
      </w:pPr>
      <w:r w:rsidRPr="00D7077F">
        <w:rPr>
          <w:rFonts w:ascii="仿宋" w:eastAsia="仿宋" w:hAnsi="仿宋" w:cs="仿宋_GB2312" w:hint="eastAsia"/>
          <w:bCs/>
          <w:kern w:val="2"/>
          <w:sz w:val="28"/>
          <w:szCs w:val="28"/>
        </w:rPr>
        <w:t>岳阳市岳阳楼区厂地协作服务中心202</w:t>
      </w:r>
      <w:r w:rsidRPr="00C24062">
        <w:rPr>
          <w:rFonts w:ascii="仿宋" w:eastAsia="仿宋" w:hAnsi="仿宋" w:cs="仿宋_GB2312" w:hint="eastAsia"/>
          <w:bCs/>
          <w:kern w:val="2"/>
          <w:sz w:val="28"/>
          <w:szCs w:val="28"/>
        </w:rPr>
        <w:t>3</w:t>
      </w:r>
      <w:r w:rsidRPr="00D7077F">
        <w:rPr>
          <w:rFonts w:ascii="仿宋" w:eastAsia="仿宋" w:hAnsi="仿宋" w:cs="仿宋_GB2312" w:hint="eastAsia"/>
          <w:bCs/>
          <w:kern w:val="2"/>
          <w:sz w:val="28"/>
          <w:szCs w:val="28"/>
        </w:rPr>
        <w:t>年度主要任务和目标是</w:t>
      </w:r>
      <w:r w:rsidRPr="00C24062">
        <w:rPr>
          <w:rFonts w:ascii="仿宋" w:eastAsia="仿宋" w:hAnsi="仿宋" w:cs="仿宋_GB2312" w:hint="eastAsia"/>
          <w:bCs/>
          <w:kern w:val="2"/>
          <w:sz w:val="28"/>
          <w:szCs w:val="28"/>
        </w:rPr>
        <w:t>持续推进</w:t>
      </w:r>
      <w:r w:rsidRPr="00D7077F">
        <w:rPr>
          <w:rFonts w:ascii="仿宋" w:eastAsia="仿宋" w:hAnsi="仿宋" w:cs="仿宋_GB2312" w:hint="eastAsia"/>
          <w:bCs/>
          <w:kern w:val="2"/>
          <w:sz w:val="28"/>
          <w:szCs w:val="28"/>
        </w:rPr>
        <w:t>国有企业退休人员社会移交；处理好12345市、区政府信</w:t>
      </w:r>
    </w:p>
    <w:p w:rsidR="00D7077F" w:rsidRPr="00D7077F" w:rsidRDefault="00D7077F" w:rsidP="00D7077F">
      <w:pPr>
        <w:widowControl w:val="0"/>
        <w:autoSpaceDN w:val="0"/>
        <w:adjustRightInd/>
        <w:snapToGrid/>
        <w:spacing w:after="0" w:line="520" w:lineRule="exact"/>
        <w:textAlignment w:val="center"/>
        <w:rPr>
          <w:rFonts w:ascii="仿宋" w:eastAsia="仿宋" w:hAnsi="仿宋" w:cs="仿宋_GB2312"/>
          <w:bCs/>
          <w:kern w:val="2"/>
          <w:sz w:val="28"/>
          <w:szCs w:val="28"/>
        </w:rPr>
      </w:pPr>
      <w:r w:rsidRPr="00D7077F">
        <w:rPr>
          <w:rFonts w:ascii="仿宋" w:eastAsia="仿宋" w:hAnsi="仿宋" w:cs="仿宋_GB2312" w:hint="eastAsia"/>
          <w:bCs/>
          <w:kern w:val="2"/>
          <w:sz w:val="28"/>
          <w:szCs w:val="28"/>
        </w:rPr>
        <w:t>访督办件、协调厂地与群众关系</w:t>
      </w:r>
      <w:r w:rsidRPr="00C24062">
        <w:rPr>
          <w:rFonts w:ascii="仿宋" w:eastAsia="仿宋" w:hAnsi="仿宋" w:cs="仿宋_GB2312" w:hint="eastAsia"/>
          <w:bCs/>
          <w:kern w:val="2"/>
          <w:sz w:val="28"/>
          <w:szCs w:val="28"/>
        </w:rPr>
        <w:t>、完成</w:t>
      </w:r>
      <w:r w:rsidRPr="00D7077F">
        <w:rPr>
          <w:rFonts w:ascii="仿宋" w:eastAsia="仿宋" w:hAnsi="仿宋" w:cs="仿宋_GB2312" w:hint="eastAsia"/>
          <w:bCs/>
          <w:kern w:val="2"/>
          <w:sz w:val="28"/>
          <w:szCs w:val="28"/>
        </w:rPr>
        <w:t>疫情防控转运工作</w:t>
      </w:r>
      <w:r w:rsidRPr="00C24062">
        <w:rPr>
          <w:rFonts w:ascii="仿宋" w:eastAsia="仿宋" w:hAnsi="仿宋" w:cs="仿宋_GB2312" w:hint="eastAsia"/>
          <w:bCs/>
          <w:kern w:val="2"/>
          <w:sz w:val="28"/>
          <w:szCs w:val="28"/>
        </w:rPr>
        <w:t>的经费结算以及完成科创园的筹建和初步规划。</w:t>
      </w:r>
      <w:r w:rsidRPr="00D7077F">
        <w:rPr>
          <w:rFonts w:ascii="仿宋" w:eastAsia="仿宋" w:hAnsi="仿宋" w:cs="仿宋_GB2312" w:hint="eastAsia"/>
          <w:bCs/>
          <w:kern w:val="2"/>
          <w:sz w:val="28"/>
          <w:szCs w:val="28"/>
        </w:rPr>
        <w:t>现在职人员</w:t>
      </w:r>
      <w:r w:rsidRPr="00C24062">
        <w:rPr>
          <w:rFonts w:ascii="仿宋" w:eastAsia="仿宋" w:hAnsi="仿宋" w:cs="仿宋_GB2312" w:hint="eastAsia"/>
          <w:bCs/>
          <w:kern w:val="2"/>
          <w:sz w:val="28"/>
          <w:szCs w:val="28"/>
        </w:rPr>
        <w:t>12</w:t>
      </w:r>
      <w:r w:rsidRPr="00D7077F">
        <w:rPr>
          <w:rFonts w:ascii="仿宋" w:eastAsia="仿宋" w:hAnsi="仿宋" w:cs="仿宋_GB2312" w:hint="eastAsia"/>
          <w:bCs/>
          <w:kern w:val="2"/>
          <w:sz w:val="28"/>
          <w:szCs w:val="28"/>
        </w:rPr>
        <w:t>人。</w:t>
      </w:r>
    </w:p>
    <w:p w:rsidR="00D7077F" w:rsidRPr="00D7077F" w:rsidRDefault="00D7077F" w:rsidP="00C24062">
      <w:pPr>
        <w:widowControl w:val="0"/>
        <w:adjustRightInd/>
        <w:snapToGrid/>
        <w:spacing w:after="0" w:line="520" w:lineRule="exact"/>
        <w:ind w:firstLineChars="200" w:firstLine="562"/>
        <w:rPr>
          <w:rFonts w:ascii="仿宋" w:eastAsia="仿宋" w:hAnsi="仿宋" w:cs="黑体"/>
          <w:b/>
          <w:color w:val="000000"/>
          <w:kern w:val="2"/>
          <w:sz w:val="28"/>
          <w:szCs w:val="28"/>
        </w:rPr>
      </w:pPr>
      <w:r w:rsidRPr="00D7077F">
        <w:rPr>
          <w:rFonts w:ascii="仿宋" w:eastAsia="仿宋" w:hAnsi="仿宋" w:cs="黑体" w:hint="eastAsia"/>
          <w:b/>
          <w:color w:val="000000"/>
          <w:kern w:val="2"/>
          <w:sz w:val="28"/>
          <w:szCs w:val="28"/>
        </w:rPr>
        <w:t>二、一般公共预算支出情况</w:t>
      </w:r>
    </w:p>
    <w:p w:rsidR="00D7077F" w:rsidRPr="00D7077F" w:rsidRDefault="00D7077F" w:rsidP="00D7077F">
      <w:pPr>
        <w:widowControl w:val="0"/>
        <w:adjustRightInd/>
        <w:snapToGrid/>
        <w:spacing w:after="0" w:line="520" w:lineRule="exact"/>
        <w:ind w:firstLineChars="200" w:firstLine="560"/>
        <w:jc w:val="both"/>
        <w:rPr>
          <w:rFonts w:ascii="仿宋" w:eastAsia="仿宋" w:hAnsi="仿宋" w:cs="仿宋_GB2312"/>
          <w:bCs/>
          <w:kern w:val="2"/>
          <w:sz w:val="28"/>
          <w:szCs w:val="28"/>
        </w:rPr>
      </w:pPr>
      <w:r w:rsidRPr="00D7077F">
        <w:rPr>
          <w:rFonts w:ascii="仿宋" w:eastAsia="仿宋" w:hAnsi="仿宋" w:cs="仿宋_GB2312" w:hint="eastAsia"/>
          <w:bCs/>
          <w:kern w:val="2"/>
          <w:sz w:val="28"/>
          <w:szCs w:val="28"/>
        </w:rPr>
        <w:t>全年支出</w:t>
      </w:r>
      <w:r w:rsidRPr="00C24062">
        <w:rPr>
          <w:rFonts w:ascii="仿宋" w:eastAsia="仿宋" w:hAnsi="仿宋" w:cs="仿宋_GB2312" w:hint="eastAsia"/>
          <w:bCs/>
          <w:kern w:val="2"/>
          <w:sz w:val="28"/>
          <w:szCs w:val="28"/>
        </w:rPr>
        <w:t>383.08</w:t>
      </w:r>
      <w:r w:rsidRPr="00D7077F">
        <w:rPr>
          <w:rFonts w:ascii="仿宋" w:eastAsia="仿宋" w:hAnsi="仿宋" w:cs="仿宋_GB2312" w:hint="eastAsia"/>
          <w:bCs/>
          <w:kern w:val="2"/>
          <w:sz w:val="28"/>
          <w:szCs w:val="28"/>
        </w:rPr>
        <w:t>万元，基本支出</w:t>
      </w:r>
      <w:r w:rsidRPr="00C24062">
        <w:rPr>
          <w:rFonts w:ascii="仿宋" w:eastAsia="仿宋" w:hAnsi="仿宋" w:cs="仿宋_GB2312" w:hint="eastAsia"/>
          <w:bCs/>
          <w:kern w:val="2"/>
          <w:sz w:val="28"/>
          <w:szCs w:val="28"/>
        </w:rPr>
        <w:t>179.67</w:t>
      </w:r>
      <w:r w:rsidRPr="00D7077F">
        <w:rPr>
          <w:rFonts w:ascii="仿宋" w:eastAsia="仿宋" w:hAnsi="仿宋" w:cs="仿宋_GB2312" w:hint="eastAsia"/>
          <w:bCs/>
          <w:kern w:val="2"/>
          <w:sz w:val="28"/>
          <w:szCs w:val="28"/>
        </w:rPr>
        <w:t>万元，其中人员经费</w:t>
      </w:r>
      <w:r w:rsidRPr="00C24062">
        <w:rPr>
          <w:rFonts w:ascii="仿宋" w:eastAsia="仿宋" w:hAnsi="仿宋" w:cs="仿宋_GB2312" w:hint="eastAsia"/>
          <w:bCs/>
          <w:kern w:val="2"/>
          <w:sz w:val="28"/>
          <w:szCs w:val="28"/>
        </w:rPr>
        <w:t>158.46</w:t>
      </w:r>
      <w:r w:rsidRPr="00D7077F">
        <w:rPr>
          <w:rFonts w:ascii="仿宋" w:eastAsia="仿宋" w:hAnsi="仿宋" w:cs="仿宋_GB2312" w:hint="eastAsia"/>
          <w:bCs/>
          <w:kern w:val="2"/>
          <w:sz w:val="28"/>
          <w:szCs w:val="28"/>
        </w:rPr>
        <w:t>万元，主要用于人员工资及社会保障缴费等；公用支出</w:t>
      </w:r>
      <w:r w:rsidRPr="00C24062">
        <w:rPr>
          <w:rFonts w:ascii="仿宋" w:eastAsia="仿宋" w:hAnsi="仿宋" w:cs="仿宋_GB2312" w:hint="eastAsia"/>
          <w:bCs/>
          <w:kern w:val="2"/>
          <w:sz w:val="28"/>
          <w:szCs w:val="28"/>
        </w:rPr>
        <w:t>21.37</w:t>
      </w:r>
      <w:r w:rsidRPr="00D7077F">
        <w:rPr>
          <w:rFonts w:ascii="仿宋" w:eastAsia="仿宋" w:hAnsi="仿宋" w:cs="仿宋_GB2312" w:hint="eastAsia"/>
          <w:bCs/>
          <w:kern w:val="2"/>
          <w:sz w:val="28"/>
          <w:szCs w:val="28"/>
        </w:rPr>
        <w:t>万元，主要用于日常办公开支。项目支出</w:t>
      </w:r>
      <w:r w:rsidRPr="00C24062">
        <w:rPr>
          <w:rFonts w:ascii="仿宋" w:eastAsia="仿宋" w:hAnsi="仿宋" w:cs="仿宋_GB2312" w:hint="eastAsia"/>
          <w:bCs/>
          <w:kern w:val="2"/>
          <w:sz w:val="28"/>
          <w:szCs w:val="28"/>
        </w:rPr>
        <w:t>203.25</w:t>
      </w:r>
      <w:r w:rsidRPr="00D7077F">
        <w:rPr>
          <w:rFonts w:ascii="仿宋" w:eastAsia="仿宋" w:hAnsi="仿宋" w:cs="仿宋_GB2312" w:hint="eastAsia"/>
          <w:bCs/>
          <w:kern w:val="2"/>
          <w:sz w:val="28"/>
          <w:szCs w:val="28"/>
        </w:rPr>
        <w:t>万元，主要用于周边问题的协调</w:t>
      </w:r>
      <w:r w:rsidRPr="00C24062">
        <w:rPr>
          <w:rFonts w:ascii="仿宋" w:eastAsia="仿宋" w:hAnsi="仿宋" w:cs="仿宋_GB2312" w:hint="eastAsia"/>
          <w:bCs/>
          <w:kern w:val="2"/>
          <w:sz w:val="28"/>
          <w:szCs w:val="28"/>
        </w:rPr>
        <w:t>、协议的补偿款</w:t>
      </w:r>
      <w:r w:rsidRPr="00D7077F">
        <w:rPr>
          <w:rFonts w:ascii="仿宋" w:eastAsia="仿宋" w:hAnsi="仿宋" w:cs="仿宋_GB2312" w:hint="eastAsia"/>
          <w:bCs/>
          <w:kern w:val="2"/>
          <w:sz w:val="28"/>
          <w:szCs w:val="28"/>
        </w:rPr>
        <w:t>，疫情防控转运、“三供一业”工作对企业的补助以及</w:t>
      </w:r>
      <w:r w:rsidRPr="00C24062">
        <w:rPr>
          <w:rFonts w:ascii="仿宋" w:eastAsia="仿宋" w:hAnsi="仿宋" w:cs="仿宋_GB2312" w:hint="eastAsia"/>
          <w:bCs/>
          <w:kern w:val="2"/>
          <w:sz w:val="28"/>
          <w:szCs w:val="28"/>
        </w:rPr>
        <w:t>科创园的初步建设与规划</w:t>
      </w:r>
      <w:r w:rsidRPr="00D7077F">
        <w:rPr>
          <w:rFonts w:ascii="仿宋" w:eastAsia="仿宋" w:hAnsi="仿宋" w:cs="仿宋_GB2312" w:hint="eastAsia"/>
          <w:bCs/>
          <w:kern w:val="2"/>
          <w:sz w:val="28"/>
          <w:szCs w:val="28"/>
        </w:rPr>
        <w:t>等工作。</w:t>
      </w:r>
    </w:p>
    <w:p w:rsidR="00D7077F" w:rsidRPr="00D7077F" w:rsidRDefault="00D7077F" w:rsidP="00D7077F">
      <w:pPr>
        <w:widowControl w:val="0"/>
        <w:adjustRightInd/>
        <w:snapToGrid/>
        <w:spacing w:after="0" w:line="520" w:lineRule="exact"/>
        <w:ind w:firstLine="640"/>
        <w:rPr>
          <w:rFonts w:ascii="仿宋" w:eastAsia="仿宋" w:hAnsi="仿宋" w:cs="楷体_GB2312"/>
          <w:b/>
          <w:bCs/>
          <w:color w:val="000000"/>
          <w:kern w:val="2"/>
          <w:sz w:val="28"/>
          <w:szCs w:val="28"/>
        </w:rPr>
      </w:pPr>
      <w:r w:rsidRPr="00D7077F">
        <w:rPr>
          <w:rFonts w:ascii="仿宋" w:eastAsia="仿宋" w:hAnsi="仿宋" w:cs="楷体_GB2312" w:hint="eastAsia"/>
          <w:b/>
          <w:bCs/>
          <w:color w:val="000000"/>
          <w:kern w:val="2"/>
          <w:sz w:val="28"/>
          <w:szCs w:val="28"/>
        </w:rPr>
        <w:t>(一)基本支出情况</w:t>
      </w:r>
    </w:p>
    <w:p w:rsidR="00D7077F" w:rsidRPr="00D7077F" w:rsidRDefault="00D7077F" w:rsidP="00D7077F">
      <w:pPr>
        <w:widowControl w:val="0"/>
        <w:adjustRightInd/>
        <w:snapToGrid/>
        <w:spacing w:after="0" w:line="520" w:lineRule="exact"/>
        <w:ind w:firstLineChars="200" w:firstLine="560"/>
        <w:rPr>
          <w:rFonts w:ascii="仿宋" w:eastAsia="仿宋" w:hAnsi="仿宋" w:cs="仿宋_GB2312"/>
          <w:color w:val="000000"/>
          <w:kern w:val="2"/>
          <w:sz w:val="28"/>
          <w:szCs w:val="28"/>
        </w:rPr>
      </w:pPr>
      <w:r w:rsidRPr="00D7077F">
        <w:rPr>
          <w:rFonts w:ascii="仿宋" w:eastAsia="仿宋" w:hAnsi="仿宋" w:cs="仿宋_GB2312" w:hint="eastAsia"/>
          <w:color w:val="000000"/>
          <w:kern w:val="2"/>
          <w:sz w:val="28"/>
          <w:szCs w:val="28"/>
        </w:rPr>
        <w:t>基本支出</w:t>
      </w:r>
      <w:r w:rsidRPr="00C24062">
        <w:rPr>
          <w:rFonts w:ascii="仿宋" w:eastAsia="仿宋" w:hAnsi="仿宋" w:cs="仿宋_GB2312" w:hint="eastAsia"/>
          <w:color w:val="000000"/>
          <w:kern w:val="2"/>
          <w:sz w:val="28"/>
          <w:szCs w:val="28"/>
        </w:rPr>
        <w:t>179.67</w:t>
      </w:r>
      <w:r w:rsidRPr="00D7077F">
        <w:rPr>
          <w:rFonts w:ascii="仿宋" w:eastAsia="仿宋" w:hAnsi="仿宋" w:cs="仿宋_GB2312" w:hint="eastAsia"/>
          <w:color w:val="000000"/>
          <w:kern w:val="2"/>
          <w:sz w:val="28"/>
          <w:szCs w:val="28"/>
        </w:rPr>
        <w:t>万元，其中人员经费</w:t>
      </w:r>
      <w:r w:rsidRPr="00C24062">
        <w:rPr>
          <w:rFonts w:ascii="仿宋" w:eastAsia="仿宋" w:hAnsi="仿宋" w:cs="仿宋_GB2312" w:hint="eastAsia"/>
          <w:color w:val="000000"/>
          <w:kern w:val="2"/>
          <w:sz w:val="28"/>
          <w:szCs w:val="28"/>
        </w:rPr>
        <w:t>158.46</w:t>
      </w:r>
      <w:r w:rsidRPr="00D7077F">
        <w:rPr>
          <w:rFonts w:ascii="仿宋" w:eastAsia="仿宋" w:hAnsi="仿宋" w:cs="仿宋_GB2312" w:hint="eastAsia"/>
          <w:color w:val="000000"/>
          <w:kern w:val="2"/>
          <w:sz w:val="28"/>
          <w:szCs w:val="28"/>
        </w:rPr>
        <w:t>万元，主要用于人员工资及社会保障缴费等；公用支出</w:t>
      </w:r>
      <w:r w:rsidRPr="00C24062">
        <w:rPr>
          <w:rFonts w:ascii="仿宋" w:eastAsia="仿宋" w:hAnsi="仿宋" w:cs="仿宋_GB2312" w:hint="eastAsia"/>
          <w:color w:val="000000"/>
          <w:kern w:val="2"/>
          <w:sz w:val="28"/>
          <w:szCs w:val="28"/>
        </w:rPr>
        <w:t>21.37</w:t>
      </w:r>
      <w:r w:rsidRPr="00D7077F">
        <w:rPr>
          <w:rFonts w:ascii="仿宋" w:eastAsia="仿宋" w:hAnsi="仿宋" w:cs="仿宋_GB2312" w:hint="eastAsia"/>
          <w:color w:val="000000"/>
          <w:kern w:val="2"/>
          <w:sz w:val="28"/>
          <w:szCs w:val="28"/>
        </w:rPr>
        <w:t>万元，主要用于日常办公开支。</w:t>
      </w:r>
    </w:p>
    <w:p w:rsidR="00D7077F" w:rsidRPr="00D7077F" w:rsidRDefault="00D7077F" w:rsidP="00C24062">
      <w:pPr>
        <w:widowControl w:val="0"/>
        <w:adjustRightInd/>
        <w:snapToGrid/>
        <w:spacing w:after="0" w:line="520" w:lineRule="exact"/>
        <w:ind w:firstLineChars="200" w:firstLine="562"/>
        <w:rPr>
          <w:rFonts w:ascii="仿宋" w:eastAsia="仿宋" w:hAnsi="仿宋" w:cs="楷体_GB2312"/>
          <w:b/>
          <w:bCs/>
          <w:color w:val="000000"/>
          <w:kern w:val="2"/>
          <w:sz w:val="28"/>
          <w:szCs w:val="28"/>
        </w:rPr>
      </w:pPr>
      <w:r w:rsidRPr="00D7077F">
        <w:rPr>
          <w:rFonts w:ascii="仿宋" w:eastAsia="仿宋" w:hAnsi="仿宋" w:cs="楷体_GB2312" w:hint="eastAsia"/>
          <w:b/>
          <w:bCs/>
          <w:color w:val="000000"/>
          <w:kern w:val="2"/>
          <w:sz w:val="28"/>
          <w:szCs w:val="28"/>
        </w:rPr>
        <w:t>(二)项目支出情况</w:t>
      </w:r>
    </w:p>
    <w:p w:rsidR="00D7077F" w:rsidRPr="00D7077F" w:rsidRDefault="00D7077F" w:rsidP="00D7077F">
      <w:pPr>
        <w:widowControl w:val="0"/>
        <w:adjustRightInd/>
        <w:snapToGrid/>
        <w:spacing w:after="0" w:line="520" w:lineRule="exact"/>
        <w:ind w:firstLineChars="200" w:firstLine="560"/>
        <w:jc w:val="both"/>
        <w:rPr>
          <w:rFonts w:ascii="仿宋" w:eastAsia="仿宋" w:hAnsi="仿宋" w:cs="仿宋_GB2312"/>
          <w:bCs/>
          <w:kern w:val="2"/>
          <w:sz w:val="28"/>
          <w:szCs w:val="28"/>
        </w:rPr>
      </w:pPr>
      <w:r w:rsidRPr="00D7077F">
        <w:rPr>
          <w:rFonts w:ascii="仿宋" w:eastAsia="仿宋" w:hAnsi="仿宋" w:cs="仿宋_GB2312" w:hint="eastAsia"/>
          <w:bCs/>
          <w:kern w:val="2"/>
          <w:sz w:val="28"/>
          <w:szCs w:val="28"/>
        </w:rPr>
        <w:t>全年预算内项目经费</w:t>
      </w:r>
      <w:r w:rsidRPr="00C24062">
        <w:rPr>
          <w:rFonts w:ascii="仿宋" w:eastAsia="仿宋" w:hAnsi="仿宋" w:cs="仿宋_GB2312" w:hint="eastAsia"/>
          <w:bCs/>
          <w:kern w:val="2"/>
          <w:sz w:val="28"/>
          <w:szCs w:val="28"/>
        </w:rPr>
        <w:t>125</w:t>
      </w:r>
      <w:r w:rsidRPr="00D7077F">
        <w:rPr>
          <w:rFonts w:ascii="仿宋" w:eastAsia="仿宋" w:hAnsi="仿宋" w:cs="仿宋_GB2312" w:hint="eastAsia"/>
          <w:bCs/>
          <w:kern w:val="2"/>
          <w:sz w:val="28"/>
          <w:szCs w:val="28"/>
        </w:rPr>
        <w:t>万元，本年追加项目经费用于防疫转运以及</w:t>
      </w:r>
      <w:r w:rsidRPr="00C24062">
        <w:rPr>
          <w:rFonts w:ascii="仿宋" w:eastAsia="仿宋" w:hAnsi="仿宋" w:cs="仿宋_GB2312" w:hint="eastAsia"/>
          <w:bCs/>
          <w:kern w:val="2"/>
          <w:sz w:val="28"/>
          <w:szCs w:val="28"/>
        </w:rPr>
        <w:t>科创园工作</w:t>
      </w:r>
      <w:r w:rsidRPr="00D7077F">
        <w:rPr>
          <w:rFonts w:ascii="仿宋" w:eastAsia="仿宋" w:hAnsi="仿宋" w:cs="仿宋_GB2312" w:hint="eastAsia"/>
          <w:bCs/>
          <w:kern w:val="2"/>
          <w:sz w:val="28"/>
          <w:szCs w:val="28"/>
        </w:rPr>
        <w:t>经费</w:t>
      </w:r>
      <w:r w:rsidR="004777FE" w:rsidRPr="00C24062">
        <w:rPr>
          <w:rFonts w:ascii="仿宋" w:eastAsia="仿宋" w:hAnsi="仿宋" w:cs="仿宋_GB2312" w:hint="eastAsia"/>
          <w:bCs/>
          <w:kern w:val="2"/>
          <w:sz w:val="28"/>
          <w:szCs w:val="28"/>
        </w:rPr>
        <w:t>124.11</w:t>
      </w:r>
      <w:r w:rsidRPr="00C24062">
        <w:rPr>
          <w:rFonts w:ascii="仿宋" w:eastAsia="仿宋" w:hAnsi="仿宋" w:cs="仿宋_GB2312" w:hint="eastAsia"/>
          <w:bCs/>
          <w:kern w:val="2"/>
          <w:sz w:val="28"/>
          <w:szCs w:val="28"/>
        </w:rPr>
        <w:t>万元</w:t>
      </w:r>
      <w:r w:rsidRPr="00D7077F">
        <w:rPr>
          <w:rFonts w:ascii="仿宋" w:eastAsia="仿宋" w:hAnsi="仿宋" w:cs="仿宋_GB2312" w:hint="eastAsia"/>
          <w:bCs/>
          <w:kern w:val="2"/>
          <w:sz w:val="28"/>
          <w:szCs w:val="28"/>
        </w:rPr>
        <w:t>，项目资金共</w:t>
      </w:r>
      <w:r w:rsidR="004777FE" w:rsidRPr="00C24062">
        <w:rPr>
          <w:rFonts w:ascii="仿宋" w:eastAsia="仿宋" w:hAnsi="仿宋" w:cs="仿宋_GB2312" w:hint="eastAsia"/>
          <w:bCs/>
          <w:kern w:val="2"/>
          <w:sz w:val="28"/>
          <w:szCs w:val="28"/>
        </w:rPr>
        <w:t>249.11</w:t>
      </w:r>
      <w:r w:rsidRPr="00D7077F">
        <w:rPr>
          <w:rFonts w:ascii="仿宋" w:eastAsia="仿宋" w:hAnsi="仿宋" w:cs="仿宋_GB2312" w:hint="eastAsia"/>
          <w:bCs/>
          <w:kern w:val="2"/>
          <w:sz w:val="28"/>
          <w:szCs w:val="28"/>
        </w:rPr>
        <w:t>万元</w:t>
      </w:r>
      <w:r w:rsidRPr="00C24062">
        <w:rPr>
          <w:rFonts w:ascii="仿宋" w:eastAsia="仿宋" w:hAnsi="仿宋" w:cs="仿宋_GB2312" w:hint="eastAsia"/>
          <w:bCs/>
          <w:kern w:val="2"/>
          <w:sz w:val="28"/>
          <w:szCs w:val="28"/>
        </w:rPr>
        <w:t>。</w:t>
      </w:r>
    </w:p>
    <w:p w:rsidR="00D7077F" w:rsidRPr="00D7077F" w:rsidRDefault="00D7077F" w:rsidP="00C24062">
      <w:pPr>
        <w:widowControl w:val="0"/>
        <w:adjustRightInd/>
        <w:snapToGrid/>
        <w:spacing w:after="0" w:line="520" w:lineRule="exact"/>
        <w:ind w:firstLineChars="200" w:firstLine="562"/>
        <w:rPr>
          <w:rFonts w:ascii="仿宋" w:eastAsia="仿宋" w:hAnsi="仿宋" w:cs="黑体"/>
          <w:b/>
          <w:color w:val="000000"/>
          <w:kern w:val="2"/>
          <w:sz w:val="28"/>
          <w:szCs w:val="28"/>
        </w:rPr>
      </w:pPr>
      <w:r w:rsidRPr="00D7077F">
        <w:rPr>
          <w:rFonts w:ascii="仿宋" w:eastAsia="仿宋" w:hAnsi="仿宋" w:cs="黑体" w:hint="eastAsia"/>
          <w:b/>
          <w:color w:val="000000"/>
          <w:kern w:val="2"/>
          <w:sz w:val="28"/>
          <w:szCs w:val="28"/>
        </w:rPr>
        <w:t>三、政府性基金预算支出情况</w:t>
      </w:r>
    </w:p>
    <w:p w:rsidR="00D7077F" w:rsidRPr="00D7077F" w:rsidRDefault="00D7077F" w:rsidP="00C24062">
      <w:pPr>
        <w:widowControl w:val="0"/>
        <w:adjustRightInd/>
        <w:snapToGrid/>
        <w:spacing w:after="0" w:line="520" w:lineRule="exact"/>
        <w:ind w:firstLineChars="200" w:firstLine="560"/>
        <w:rPr>
          <w:rFonts w:ascii="仿宋" w:eastAsia="仿宋" w:hAnsi="仿宋" w:cs="黑体"/>
          <w:color w:val="000000"/>
          <w:kern w:val="2"/>
          <w:sz w:val="28"/>
          <w:szCs w:val="28"/>
        </w:rPr>
      </w:pPr>
      <w:r w:rsidRPr="00D7077F">
        <w:rPr>
          <w:rFonts w:ascii="仿宋" w:eastAsia="仿宋" w:hAnsi="仿宋" w:cs="黑体" w:hint="eastAsia"/>
          <w:color w:val="000000"/>
          <w:kern w:val="2"/>
          <w:sz w:val="28"/>
          <w:szCs w:val="28"/>
        </w:rPr>
        <w:t>本单位无政府性基金预算支出</w:t>
      </w:r>
    </w:p>
    <w:p w:rsidR="00D7077F" w:rsidRPr="00D7077F" w:rsidRDefault="00D7077F" w:rsidP="00C24062">
      <w:pPr>
        <w:widowControl w:val="0"/>
        <w:adjustRightInd/>
        <w:snapToGrid/>
        <w:spacing w:after="0" w:line="520" w:lineRule="exact"/>
        <w:ind w:firstLineChars="200" w:firstLine="562"/>
        <w:rPr>
          <w:rFonts w:ascii="仿宋" w:eastAsia="仿宋" w:hAnsi="仿宋" w:cs="黑体"/>
          <w:b/>
          <w:color w:val="000000"/>
          <w:kern w:val="2"/>
          <w:sz w:val="28"/>
          <w:szCs w:val="28"/>
        </w:rPr>
      </w:pPr>
      <w:r w:rsidRPr="00D7077F">
        <w:rPr>
          <w:rFonts w:ascii="仿宋" w:eastAsia="仿宋" w:hAnsi="仿宋" w:cs="黑体" w:hint="eastAsia"/>
          <w:b/>
          <w:color w:val="000000"/>
          <w:kern w:val="2"/>
          <w:sz w:val="28"/>
          <w:szCs w:val="28"/>
        </w:rPr>
        <w:t>四、国有资本经营预算支出情况</w:t>
      </w:r>
    </w:p>
    <w:p w:rsidR="004777FE" w:rsidRPr="00C24062" w:rsidRDefault="004777FE" w:rsidP="00C24062">
      <w:pPr>
        <w:widowControl w:val="0"/>
        <w:adjustRightInd/>
        <w:snapToGrid/>
        <w:spacing w:after="0" w:line="520" w:lineRule="exact"/>
        <w:ind w:firstLineChars="200" w:firstLine="560"/>
        <w:rPr>
          <w:rFonts w:ascii="仿宋" w:eastAsia="仿宋" w:hAnsi="仿宋" w:cs="黑体"/>
          <w:color w:val="000000"/>
          <w:kern w:val="2"/>
          <w:sz w:val="28"/>
          <w:szCs w:val="28"/>
        </w:rPr>
      </w:pPr>
      <w:r w:rsidRPr="00D7077F">
        <w:rPr>
          <w:rFonts w:ascii="仿宋" w:eastAsia="仿宋" w:hAnsi="仿宋" w:cs="黑体" w:hint="eastAsia"/>
          <w:color w:val="000000"/>
          <w:kern w:val="2"/>
          <w:sz w:val="28"/>
          <w:szCs w:val="28"/>
        </w:rPr>
        <w:lastRenderedPageBreak/>
        <w:t>本单位无</w:t>
      </w:r>
      <w:r w:rsidRPr="00C24062">
        <w:rPr>
          <w:rFonts w:ascii="仿宋" w:eastAsia="仿宋" w:hAnsi="仿宋" w:cs="黑体" w:hint="eastAsia"/>
          <w:color w:val="000000"/>
          <w:kern w:val="2"/>
          <w:sz w:val="28"/>
          <w:szCs w:val="28"/>
        </w:rPr>
        <w:t>国有资本经营</w:t>
      </w:r>
      <w:r w:rsidRPr="00D7077F">
        <w:rPr>
          <w:rFonts w:ascii="仿宋" w:eastAsia="仿宋" w:hAnsi="仿宋" w:cs="黑体" w:hint="eastAsia"/>
          <w:color w:val="000000"/>
          <w:kern w:val="2"/>
          <w:sz w:val="28"/>
          <w:szCs w:val="28"/>
        </w:rPr>
        <w:t>预算支出</w:t>
      </w:r>
    </w:p>
    <w:p w:rsidR="00D7077F" w:rsidRPr="00D7077F" w:rsidRDefault="00D7077F" w:rsidP="00C24062">
      <w:pPr>
        <w:widowControl w:val="0"/>
        <w:adjustRightInd/>
        <w:snapToGrid/>
        <w:spacing w:after="0" w:line="520" w:lineRule="exact"/>
        <w:ind w:firstLineChars="200" w:firstLine="562"/>
        <w:rPr>
          <w:rFonts w:ascii="仿宋" w:eastAsia="仿宋" w:hAnsi="仿宋" w:cs="黑体"/>
          <w:b/>
          <w:color w:val="000000"/>
          <w:kern w:val="2"/>
          <w:sz w:val="28"/>
          <w:szCs w:val="28"/>
        </w:rPr>
      </w:pPr>
      <w:r w:rsidRPr="00D7077F">
        <w:rPr>
          <w:rFonts w:ascii="仿宋" w:eastAsia="仿宋" w:hAnsi="仿宋" w:cs="黑体" w:hint="eastAsia"/>
          <w:b/>
          <w:color w:val="000000"/>
          <w:kern w:val="2"/>
          <w:sz w:val="28"/>
          <w:szCs w:val="28"/>
        </w:rPr>
        <w:t>五、社会保险基金预算支出情况</w:t>
      </w:r>
    </w:p>
    <w:p w:rsidR="00D7077F" w:rsidRPr="00D7077F" w:rsidRDefault="00D7077F" w:rsidP="00D7077F">
      <w:pPr>
        <w:widowControl w:val="0"/>
        <w:adjustRightInd/>
        <w:snapToGrid/>
        <w:spacing w:after="0" w:line="520" w:lineRule="exact"/>
        <w:ind w:firstLineChars="200" w:firstLine="560"/>
        <w:rPr>
          <w:rFonts w:ascii="仿宋" w:eastAsia="仿宋" w:hAnsi="仿宋" w:cs="仿宋_GB2312"/>
          <w:bCs/>
          <w:kern w:val="2"/>
          <w:sz w:val="28"/>
          <w:szCs w:val="28"/>
        </w:rPr>
      </w:pPr>
      <w:r w:rsidRPr="00D7077F">
        <w:rPr>
          <w:rFonts w:ascii="仿宋" w:eastAsia="仿宋" w:hAnsi="仿宋" w:cs="仿宋_GB2312" w:hint="eastAsia"/>
          <w:bCs/>
          <w:kern w:val="2"/>
          <w:sz w:val="28"/>
          <w:szCs w:val="28"/>
        </w:rPr>
        <w:t>本单位无社会保险基金预算支出</w:t>
      </w:r>
    </w:p>
    <w:p w:rsidR="00D7077F" w:rsidRPr="00D7077F" w:rsidRDefault="00D7077F" w:rsidP="00C24062">
      <w:pPr>
        <w:widowControl w:val="0"/>
        <w:adjustRightInd/>
        <w:snapToGrid/>
        <w:spacing w:after="0" w:line="520" w:lineRule="exact"/>
        <w:ind w:firstLineChars="200" w:firstLine="562"/>
        <w:rPr>
          <w:rFonts w:ascii="仿宋" w:eastAsia="仿宋" w:hAnsi="仿宋" w:cs="黑体"/>
          <w:b/>
          <w:color w:val="000000"/>
          <w:kern w:val="2"/>
          <w:sz w:val="28"/>
          <w:szCs w:val="28"/>
        </w:rPr>
      </w:pPr>
      <w:r w:rsidRPr="00D7077F">
        <w:rPr>
          <w:rFonts w:ascii="仿宋" w:eastAsia="仿宋" w:hAnsi="仿宋" w:cs="黑体" w:hint="eastAsia"/>
          <w:b/>
          <w:color w:val="000000"/>
          <w:kern w:val="2"/>
          <w:sz w:val="28"/>
          <w:szCs w:val="28"/>
        </w:rPr>
        <w:t>六、部门整体支出绩效情况</w:t>
      </w:r>
    </w:p>
    <w:p w:rsidR="00D7077F" w:rsidRPr="00D7077F" w:rsidRDefault="00D7077F" w:rsidP="00C24062">
      <w:pPr>
        <w:widowControl w:val="0"/>
        <w:adjustRightInd/>
        <w:snapToGrid/>
        <w:spacing w:after="0" w:line="520" w:lineRule="exact"/>
        <w:ind w:firstLineChars="200" w:firstLine="560"/>
        <w:jc w:val="both"/>
        <w:rPr>
          <w:rFonts w:ascii="仿宋" w:eastAsia="仿宋" w:hAnsi="仿宋" w:cs="仿宋_GB2312"/>
          <w:bCs/>
          <w:kern w:val="2"/>
          <w:sz w:val="28"/>
          <w:szCs w:val="28"/>
        </w:rPr>
      </w:pPr>
      <w:r w:rsidRPr="00D7077F">
        <w:rPr>
          <w:rFonts w:ascii="仿宋" w:eastAsia="仿宋" w:hAnsi="仿宋" w:cs="仿宋_GB2312" w:hint="eastAsia"/>
          <w:color w:val="333333"/>
          <w:sz w:val="28"/>
          <w:szCs w:val="28"/>
        </w:rPr>
        <w:t>202</w:t>
      </w:r>
      <w:r w:rsidR="004777FE" w:rsidRPr="00C24062">
        <w:rPr>
          <w:rFonts w:ascii="仿宋" w:eastAsia="仿宋" w:hAnsi="仿宋" w:cs="仿宋_GB2312" w:hint="eastAsia"/>
          <w:color w:val="333333"/>
          <w:sz w:val="28"/>
          <w:szCs w:val="28"/>
        </w:rPr>
        <w:t>3</w:t>
      </w:r>
      <w:r w:rsidRPr="00D7077F">
        <w:rPr>
          <w:rFonts w:ascii="仿宋" w:eastAsia="仿宋" w:hAnsi="仿宋" w:cs="仿宋_GB2312" w:hint="eastAsia"/>
          <w:color w:val="333333"/>
          <w:sz w:val="28"/>
          <w:szCs w:val="28"/>
        </w:rPr>
        <w:t>年我中心</w:t>
      </w:r>
      <w:r w:rsidRPr="00D7077F">
        <w:rPr>
          <w:rFonts w:ascii="仿宋" w:eastAsia="仿宋" w:hAnsi="仿宋" w:cs="仿宋_GB2312" w:hint="eastAsia"/>
          <w:bCs/>
          <w:kern w:val="2"/>
          <w:sz w:val="28"/>
          <w:szCs w:val="28"/>
        </w:rPr>
        <w:t>不断优化资金支出结构，提高资金的使用效益，以达到了保运转，保民生，保安全，促均衡的效果，科学调配保运转。</w:t>
      </w:r>
    </w:p>
    <w:p w:rsidR="00D7077F" w:rsidRPr="00D7077F" w:rsidRDefault="00D7077F" w:rsidP="00D7077F">
      <w:pPr>
        <w:widowControl w:val="0"/>
        <w:adjustRightInd/>
        <w:snapToGrid/>
        <w:spacing w:after="0" w:line="520" w:lineRule="exact"/>
        <w:ind w:firstLineChars="200" w:firstLine="560"/>
        <w:jc w:val="both"/>
        <w:rPr>
          <w:rFonts w:ascii="仿宋" w:eastAsia="仿宋" w:hAnsi="仿宋" w:cs="仿宋_GB2312"/>
          <w:bCs/>
          <w:kern w:val="2"/>
          <w:sz w:val="28"/>
          <w:szCs w:val="28"/>
        </w:rPr>
      </w:pPr>
      <w:r w:rsidRPr="00D7077F">
        <w:rPr>
          <w:rFonts w:ascii="仿宋" w:eastAsia="仿宋" w:hAnsi="仿宋" w:cs="仿宋_GB2312" w:hint="eastAsia"/>
          <w:bCs/>
          <w:kern w:val="2"/>
          <w:sz w:val="28"/>
          <w:szCs w:val="28"/>
        </w:rPr>
        <w:t>1、经济性方面评价</w:t>
      </w:r>
    </w:p>
    <w:p w:rsidR="00D7077F" w:rsidRPr="00D7077F" w:rsidRDefault="00D7077F" w:rsidP="00D7077F">
      <w:pPr>
        <w:widowControl w:val="0"/>
        <w:adjustRightInd/>
        <w:snapToGrid/>
        <w:spacing w:after="0" w:line="520" w:lineRule="exact"/>
        <w:ind w:firstLineChars="200" w:firstLine="560"/>
        <w:jc w:val="both"/>
        <w:rPr>
          <w:rFonts w:ascii="仿宋" w:eastAsia="仿宋" w:hAnsi="仿宋" w:cs="仿宋_GB2312"/>
          <w:bCs/>
          <w:kern w:val="2"/>
          <w:sz w:val="28"/>
          <w:szCs w:val="28"/>
        </w:rPr>
      </w:pPr>
      <w:r w:rsidRPr="00D7077F">
        <w:rPr>
          <w:rFonts w:ascii="仿宋" w:eastAsia="仿宋" w:hAnsi="仿宋" w:cs="仿宋_GB2312" w:hint="eastAsia"/>
          <w:bCs/>
          <w:kern w:val="2"/>
          <w:sz w:val="28"/>
          <w:szCs w:val="28"/>
        </w:rPr>
        <w:t>预算执行方面，支出总额基本控制在预算总额以内，除专项预算追加和政策性工资绩效预算的追加外，本年部门预算未进行预算相关事项的调整。预算内专项资金在取得财政局的年度预算批复时，随批复一同进行了下达；追加的项目专项资金在取得上级或同级财政批复后随批复及时进行了下达；补偿资金在收到非税返还时基本上做到及时拨付。</w:t>
      </w:r>
    </w:p>
    <w:p w:rsidR="00D7077F" w:rsidRPr="00D7077F" w:rsidRDefault="00D7077F" w:rsidP="00D7077F">
      <w:pPr>
        <w:widowControl w:val="0"/>
        <w:adjustRightInd/>
        <w:snapToGrid/>
        <w:spacing w:after="0" w:line="520" w:lineRule="exact"/>
        <w:ind w:firstLineChars="200" w:firstLine="560"/>
        <w:jc w:val="both"/>
        <w:rPr>
          <w:rFonts w:ascii="仿宋" w:eastAsia="仿宋" w:hAnsi="仿宋" w:cs="仿宋_GB2312"/>
          <w:bCs/>
          <w:kern w:val="2"/>
          <w:sz w:val="28"/>
          <w:szCs w:val="28"/>
        </w:rPr>
      </w:pPr>
      <w:r w:rsidRPr="00D7077F">
        <w:rPr>
          <w:rFonts w:ascii="仿宋" w:eastAsia="仿宋" w:hAnsi="仿宋" w:cs="仿宋_GB2312" w:hint="eastAsia"/>
          <w:bCs/>
          <w:kern w:val="2"/>
          <w:sz w:val="28"/>
          <w:szCs w:val="28"/>
        </w:rPr>
        <w:t>2、效率性评价和有效性评价</w:t>
      </w:r>
    </w:p>
    <w:p w:rsidR="00D7077F" w:rsidRPr="00D7077F" w:rsidRDefault="004777FE" w:rsidP="00C24062">
      <w:pPr>
        <w:widowControl w:val="0"/>
        <w:adjustRightInd/>
        <w:snapToGrid/>
        <w:spacing w:after="0" w:line="600" w:lineRule="exact"/>
        <w:ind w:firstLineChars="200" w:firstLine="560"/>
        <w:jc w:val="both"/>
        <w:rPr>
          <w:rFonts w:ascii="仿宋" w:eastAsia="仿宋" w:hAnsi="仿宋" w:cs="仿宋"/>
          <w:kern w:val="2"/>
          <w:sz w:val="28"/>
          <w:szCs w:val="28"/>
        </w:rPr>
      </w:pPr>
      <w:r w:rsidRPr="00D7077F">
        <w:rPr>
          <w:rFonts w:ascii="仿宋" w:eastAsia="仿宋" w:hAnsi="仿宋" w:cs="仿宋_GB2312" w:hint="eastAsia"/>
          <w:color w:val="333333"/>
          <w:sz w:val="28"/>
          <w:szCs w:val="28"/>
        </w:rPr>
        <w:t>在厂地矛盾协调方面，</w:t>
      </w:r>
      <w:r w:rsidRPr="00D7077F">
        <w:rPr>
          <w:rFonts w:ascii="仿宋" w:eastAsia="仿宋" w:hAnsi="仿宋" w:cs="仿宋_GB2312" w:hint="eastAsia"/>
          <w:sz w:val="28"/>
          <w:szCs w:val="28"/>
        </w:rPr>
        <w:t>厂地台账数据实施动态管理、及时更新，建立健全了厂地企业单位、属地乡（街）矛盾纠纷联合巡查制度，形成了齐抓共管的良好局面。</w:t>
      </w:r>
      <w:r w:rsidRPr="00C24062">
        <w:rPr>
          <w:rFonts w:ascii="仿宋" w:eastAsia="仿宋" w:hAnsi="仿宋" w:cs="仿宋_GB2312" w:hint="eastAsia"/>
          <w:sz w:val="28"/>
          <w:szCs w:val="28"/>
        </w:rPr>
        <w:t>2023年，</w:t>
      </w:r>
      <w:r w:rsidRPr="004777FE">
        <w:rPr>
          <w:rFonts w:ascii="仿宋" w:eastAsia="仿宋" w:hAnsi="仿宋" w:cs="仿宋" w:hint="eastAsia"/>
          <w:kern w:val="2"/>
          <w:sz w:val="28"/>
          <w:szCs w:val="28"/>
        </w:rPr>
        <w:t>我中心先后开展走访调研活动17次，涉及街道7个，圆满解决各类矛盾共9起，其中涉及厂地纠纷类问题7起，包括湖南石化</w:t>
      </w:r>
      <w:r w:rsidRPr="004777FE">
        <w:rPr>
          <w:rFonts w:ascii="仿宋" w:eastAsia="仿宋" w:hAnsi="仿宋" w:cs="Times New Roman" w:hint="eastAsia"/>
          <w:bCs/>
          <w:color w:val="000000"/>
          <w:kern w:val="2"/>
          <w:sz w:val="28"/>
          <w:szCs w:val="28"/>
        </w:rPr>
        <w:t>储运部城区</w:t>
      </w:r>
      <w:r w:rsidRPr="004777FE">
        <w:rPr>
          <w:rFonts w:ascii="仿宋" w:eastAsia="仿宋" w:hAnsi="仿宋" w:cs="Times New Roman"/>
          <w:bCs/>
          <w:color w:val="000000"/>
          <w:kern w:val="2"/>
          <w:sz w:val="28"/>
          <w:szCs w:val="28"/>
        </w:rPr>
        <w:t>铁运车间</w:t>
      </w:r>
      <w:r w:rsidRPr="004777FE">
        <w:rPr>
          <w:rFonts w:ascii="仿宋" w:eastAsia="仿宋" w:hAnsi="仿宋" w:cs="Times New Roman" w:hint="eastAsia"/>
          <w:bCs/>
          <w:color w:val="000000"/>
          <w:kern w:val="2"/>
          <w:sz w:val="28"/>
          <w:szCs w:val="28"/>
        </w:rPr>
        <w:t>原工</w:t>
      </w:r>
      <w:r w:rsidRPr="004777FE">
        <w:rPr>
          <w:rFonts w:ascii="仿宋" w:eastAsia="仿宋" w:hAnsi="仿宋" w:cs="Times New Roman"/>
          <w:bCs/>
          <w:color w:val="000000"/>
          <w:kern w:val="2"/>
          <w:sz w:val="28"/>
          <w:szCs w:val="28"/>
        </w:rPr>
        <w:t>务家属楼</w:t>
      </w:r>
      <w:r w:rsidRPr="004777FE">
        <w:rPr>
          <w:rFonts w:ascii="仿宋" w:eastAsia="仿宋" w:hAnsi="仿宋" w:cs="Times New Roman" w:hint="eastAsia"/>
          <w:bCs/>
          <w:color w:val="000000"/>
          <w:kern w:val="2"/>
          <w:sz w:val="28"/>
          <w:szCs w:val="28"/>
        </w:rPr>
        <w:t>危楼拆迁、</w:t>
      </w:r>
      <w:r w:rsidRPr="004777FE">
        <w:rPr>
          <w:rFonts w:ascii="仿宋" w:eastAsia="仿宋" w:hAnsi="仿宋" w:cs="仿宋" w:hint="eastAsia"/>
          <w:kern w:val="2"/>
          <w:sz w:val="28"/>
          <w:szCs w:val="28"/>
        </w:rPr>
        <w:t>滨湖村陈家组存在刺鼻性化工原料气味、湖南石化水务部排水引发吉家湖死鱼、湖南石化热电部排水不畅导致延寿寺村部分区域严重渍水等问题；协调解决长鑫社区大食堂用房和广铁集团资产移交涉及的“三供一业”问题2个</w:t>
      </w:r>
      <w:r w:rsidR="00FC6FC6" w:rsidRPr="00C24062">
        <w:rPr>
          <w:rFonts w:ascii="仿宋" w:eastAsia="仿宋" w:hAnsi="仿宋" w:cs="仿宋" w:hint="eastAsia"/>
          <w:kern w:val="2"/>
          <w:sz w:val="28"/>
          <w:szCs w:val="28"/>
        </w:rPr>
        <w:t>。</w:t>
      </w:r>
      <w:r w:rsidR="00D7077F" w:rsidRPr="00D7077F">
        <w:rPr>
          <w:rFonts w:ascii="仿宋" w:eastAsia="仿宋" w:hAnsi="仿宋" w:cs="仿宋_GB2312" w:hint="eastAsia"/>
          <w:sz w:val="28"/>
          <w:szCs w:val="28"/>
        </w:rPr>
        <w:t>落实发放全年各类补偿资金</w:t>
      </w:r>
      <w:r w:rsidRPr="00C24062">
        <w:rPr>
          <w:rFonts w:ascii="仿宋" w:eastAsia="仿宋" w:hAnsi="仿宋" w:cs="仿宋_GB2312" w:hint="eastAsia"/>
          <w:sz w:val="28"/>
          <w:szCs w:val="28"/>
        </w:rPr>
        <w:t>85</w:t>
      </w:r>
      <w:r w:rsidR="00D7077F" w:rsidRPr="00D7077F">
        <w:rPr>
          <w:rFonts w:ascii="仿宋" w:eastAsia="仿宋" w:hAnsi="仿宋" w:cs="仿宋_GB2312" w:hint="eastAsia"/>
          <w:sz w:val="28"/>
          <w:szCs w:val="28"/>
        </w:rPr>
        <w:t>万元，与上年补偿呈现递</w:t>
      </w:r>
      <w:r w:rsidRPr="00C24062">
        <w:rPr>
          <w:rFonts w:ascii="仿宋" w:eastAsia="仿宋" w:hAnsi="仿宋" w:cs="仿宋_GB2312" w:hint="eastAsia"/>
          <w:sz w:val="28"/>
          <w:szCs w:val="28"/>
        </w:rPr>
        <w:t>增</w:t>
      </w:r>
      <w:r w:rsidR="00D7077F" w:rsidRPr="00D7077F">
        <w:rPr>
          <w:rFonts w:ascii="仿宋" w:eastAsia="仿宋" w:hAnsi="仿宋" w:cs="仿宋_GB2312" w:hint="eastAsia"/>
          <w:sz w:val="28"/>
          <w:szCs w:val="28"/>
        </w:rPr>
        <w:t>趋势。</w:t>
      </w:r>
    </w:p>
    <w:p w:rsidR="00D7077F" w:rsidRPr="00D7077F" w:rsidRDefault="00D7077F" w:rsidP="00C24062">
      <w:pPr>
        <w:widowControl w:val="0"/>
        <w:adjustRightInd/>
        <w:snapToGrid/>
        <w:spacing w:after="0" w:line="520" w:lineRule="exact"/>
        <w:ind w:firstLineChars="200" w:firstLine="560"/>
        <w:rPr>
          <w:rFonts w:ascii="仿宋" w:eastAsia="仿宋" w:hAnsi="仿宋" w:cs="仿宋_GB2312"/>
          <w:color w:val="333333"/>
          <w:sz w:val="28"/>
          <w:szCs w:val="28"/>
        </w:rPr>
      </w:pPr>
      <w:r w:rsidRPr="00D7077F">
        <w:rPr>
          <w:rFonts w:ascii="仿宋" w:eastAsia="仿宋" w:hAnsi="仿宋" w:cs="仿宋_GB2312" w:hint="eastAsia"/>
          <w:color w:val="333333"/>
          <w:sz w:val="28"/>
          <w:szCs w:val="28"/>
        </w:rPr>
        <w:lastRenderedPageBreak/>
        <w:t>在防疫转运工作方面，</w:t>
      </w:r>
      <w:r w:rsidR="00FC6FC6" w:rsidRPr="00C24062">
        <w:rPr>
          <w:rFonts w:ascii="仿宋" w:eastAsia="仿宋" w:hAnsi="仿宋" w:cs="仿宋_GB2312" w:hint="eastAsia"/>
          <w:color w:val="333333"/>
          <w:sz w:val="28"/>
          <w:szCs w:val="28"/>
        </w:rPr>
        <w:t>主要详细核算了2022年9月至12月转运人员的数量明细，临时隔离点装修明细等，完成了转运后期工作的核算及拨付。</w:t>
      </w:r>
    </w:p>
    <w:p w:rsidR="00D7077F" w:rsidRPr="00D7077F" w:rsidRDefault="00D7077F" w:rsidP="00D7077F">
      <w:pPr>
        <w:widowControl w:val="0"/>
        <w:adjustRightInd/>
        <w:snapToGrid/>
        <w:spacing w:after="0" w:line="520" w:lineRule="exact"/>
        <w:ind w:firstLineChars="200" w:firstLine="560"/>
        <w:jc w:val="both"/>
        <w:rPr>
          <w:rFonts w:ascii="仿宋" w:eastAsia="仿宋" w:hAnsi="仿宋" w:cs="仿宋_GB2312"/>
          <w:bCs/>
          <w:kern w:val="2"/>
          <w:sz w:val="28"/>
          <w:szCs w:val="28"/>
        </w:rPr>
      </w:pPr>
      <w:r w:rsidRPr="00D7077F">
        <w:rPr>
          <w:rFonts w:ascii="仿宋" w:eastAsia="仿宋" w:hAnsi="仿宋" w:cs="仿宋_GB2312" w:hint="eastAsia"/>
          <w:bCs/>
          <w:kern w:val="2"/>
          <w:sz w:val="28"/>
          <w:szCs w:val="28"/>
        </w:rPr>
        <w:t>各项资金本着专款专用的原则，严格执行项目资金批准的使用计划和项目批复内容，不擅自调项、扩项、缩项。资金拨付动向按不同专项资金的要求执行。同时对每笔专项资金的支付，严格执行财务制度，落实专项资金审核程序。</w:t>
      </w:r>
    </w:p>
    <w:p w:rsidR="00D7077F" w:rsidRPr="00D7077F" w:rsidRDefault="00D7077F" w:rsidP="00C24062">
      <w:pPr>
        <w:widowControl w:val="0"/>
        <w:adjustRightInd/>
        <w:snapToGrid/>
        <w:spacing w:after="0" w:line="520" w:lineRule="exact"/>
        <w:ind w:firstLineChars="200" w:firstLine="562"/>
        <w:jc w:val="both"/>
        <w:rPr>
          <w:rFonts w:ascii="仿宋" w:eastAsia="仿宋" w:hAnsi="仿宋" w:cs="仿宋_GB2312"/>
          <w:b/>
          <w:bCs/>
          <w:kern w:val="2"/>
          <w:sz w:val="28"/>
          <w:szCs w:val="28"/>
        </w:rPr>
      </w:pPr>
      <w:r w:rsidRPr="00D7077F">
        <w:rPr>
          <w:rFonts w:ascii="仿宋" w:eastAsia="仿宋" w:hAnsi="仿宋" w:cs="仿宋_GB2312" w:hint="eastAsia"/>
          <w:b/>
          <w:bCs/>
          <w:kern w:val="2"/>
          <w:sz w:val="28"/>
          <w:szCs w:val="28"/>
        </w:rPr>
        <w:t>3、社会性评价</w:t>
      </w:r>
    </w:p>
    <w:p w:rsidR="00D7077F" w:rsidRPr="00D7077F" w:rsidRDefault="00D7077F" w:rsidP="00D7077F">
      <w:pPr>
        <w:widowControl w:val="0"/>
        <w:adjustRightInd/>
        <w:snapToGrid/>
        <w:spacing w:after="0" w:line="520" w:lineRule="exact"/>
        <w:ind w:firstLineChars="200" w:firstLine="560"/>
        <w:jc w:val="both"/>
        <w:rPr>
          <w:rFonts w:ascii="仿宋" w:eastAsia="仿宋" w:hAnsi="仿宋" w:cs="仿宋_GB2312"/>
          <w:bCs/>
          <w:kern w:val="2"/>
          <w:sz w:val="28"/>
          <w:szCs w:val="28"/>
        </w:rPr>
      </w:pPr>
      <w:r w:rsidRPr="00D7077F">
        <w:rPr>
          <w:rFonts w:ascii="仿宋" w:eastAsia="仿宋" w:hAnsi="仿宋" w:cs="仿宋_GB2312" w:hint="eastAsia"/>
          <w:bCs/>
          <w:kern w:val="2"/>
          <w:sz w:val="28"/>
          <w:szCs w:val="28"/>
        </w:rPr>
        <w:t>顺利完成了企业退休人员的移交工作，提高企业营商环境的满意度；厂地矛盾相关制度的建立落实，有效的促进了矛盾纠纷的快速解决，得到了群众和服务企业的一致好评。</w:t>
      </w:r>
    </w:p>
    <w:p w:rsidR="00D7077F" w:rsidRPr="00D7077F" w:rsidRDefault="00D7077F" w:rsidP="00C24062">
      <w:pPr>
        <w:widowControl w:val="0"/>
        <w:adjustRightInd/>
        <w:snapToGrid/>
        <w:spacing w:after="0" w:line="520" w:lineRule="exact"/>
        <w:ind w:firstLineChars="200" w:firstLine="562"/>
        <w:rPr>
          <w:rFonts w:ascii="仿宋" w:eastAsia="仿宋" w:hAnsi="仿宋" w:cs="黑体"/>
          <w:b/>
          <w:color w:val="000000"/>
          <w:kern w:val="2"/>
          <w:sz w:val="28"/>
          <w:szCs w:val="28"/>
        </w:rPr>
      </w:pPr>
      <w:r w:rsidRPr="00D7077F">
        <w:rPr>
          <w:rFonts w:ascii="仿宋" w:eastAsia="仿宋" w:hAnsi="仿宋" w:cs="黑体" w:hint="eastAsia"/>
          <w:b/>
          <w:color w:val="000000"/>
          <w:kern w:val="2"/>
          <w:sz w:val="28"/>
          <w:szCs w:val="28"/>
        </w:rPr>
        <w:t>七、存在的问题及原因分析</w:t>
      </w:r>
    </w:p>
    <w:p w:rsidR="00C24062" w:rsidRPr="00C24062" w:rsidRDefault="00C24062" w:rsidP="00C24062">
      <w:pPr>
        <w:widowControl w:val="0"/>
        <w:adjustRightInd/>
        <w:snapToGrid/>
        <w:spacing w:after="0" w:line="600" w:lineRule="exact"/>
        <w:ind w:firstLineChars="200" w:firstLine="560"/>
        <w:jc w:val="both"/>
        <w:rPr>
          <w:rFonts w:ascii="仿宋" w:eastAsia="仿宋" w:hAnsi="仿宋" w:cs="仿宋_GB2312"/>
          <w:kern w:val="2"/>
          <w:sz w:val="28"/>
          <w:szCs w:val="28"/>
        </w:rPr>
      </w:pPr>
      <w:r w:rsidRPr="00C24062">
        <w:rPr>
          <w:rFonts w:ascii="仿宋" w:eastAsia="仿宋" w:hAnsi="仿宋" w:cs="仿宋_GB2312" w:hint="eastAsia"/>
          <w:color w:val="000000"/>
          <w:kern w:val="2"/>
          <w:sz w:val="28"/>
          <w:szCs w:val="28"/>
        </w:rPr>
        <w:t>一年来，我中心各项工作虽然取得了一定的成绩，但还存在一些不足：一是</w:t>
      </w:r>
      <w:r w:rsidRPr="00C24062">
        <w:rPr>
          <w:rFonts w:ascii="仿宋" w:eastAsia="仿宋" w:hAnsi="仿宋" w:cs="仿宋_GB2312" w:hint="eastAsia"/>
          <w:kern w:val="2"/>
          <w:sz w:val="28"/>
          <w:szCs w:val="28"/>
        </w:rPr>
        <w:t>学用结合不够紧密，运用新思想破解发展难题、指导实践的能力不强，在高质量发展等方面还存在短板弱项，仍然存在浅尝辄止多、深刻领会少的现象。</w:t>
      </w:r>
      <w:r w:rsidRPr="00C24062">
        <w:rPr>
          <w:rFonts w:ascii="仿宋" w:eastAsia="仿宋" w:hAnsi="仿宋" w:cs="仿宋_GB2312" w:hint="eastAsia"/>
          <w:color w:val="000000"/>
          <w:kern w:val="2"/>
          <w:sz w:val="28"/>
          <w:szCs w:val="28"/>
        </w:rPr>
        <w:t>二是</w:t>
      </w:r>
      <w:r w:rsidRPr="00C24062">
        <w:rPr>
          <w:rFonts w:ascii="仿宋" w:eastAsia="仿宋" w:hAnsi="仿宋" w:cs="仿宋_GB2312" w:hint="eastAsia"/>
          <w:kern w:val="2"/>
          <w:sz w:val="28"/>
          <w:szCs w:val="28"/>
        </w:rPr>
        <w:t>干部的整体综合素质与新时代新要求有差距。一些干部能力不强，存在本领恐慌，工作力不从心；一些干部先进性意识淡化，满足于“不出事、能交差”，不能够变被动为主动、化压力为动力。</w:t>
      </w:r>
    </w:p>
    <w:p w:rsidR="00C24062" w:rsidRPr="00C24062" w:rsidRDefault="00C24062" w:rsidP="00C24062">
      <w:pPr>
        <w:widowControl w:val="0"/>
        <w:adjustRightInd/>
        <w:snapToGrid/>
        <w:spacing w:after="0" w:line="600" w:lineRule="exact"/>
        <w:ind w:firstLineChars="200" w:firstLine="562"/>
        <w:jc w:val="both"/>
        <w:rPr>
          <w:rFonts w:ascii="仿宋" w:eastAsia="仿宋" w:hAnsi="仿宋" w:cs="仿宋_GB2312"/>
          <w:b/>
          <w:kern w:val="2"/>
          <w:sz w:val="28"/>
          <w:szCs w:val="28"/>
        </w:rPr>
      </w:pPr>
      <w:r w:rsidRPr="00C24062">
        <w:rPr>
          <w:rFonts w:ascii="仿宋" w:eastAsia="仿宋" w:hAnsi="仿宋" w:cs="仿宋_GB2312" w:hint="eastAsia"/>
          <w:b/>
          <w:kern w:val="2"/>
          <w:sz w:val="28"/>
          <w:szCs w:val="28"/>
        </w:rPr>
        <w:t>八、下一步改进工作的举措</w:t>
      </w:r>
    </w:p>
    <w:p w:rsidR="00C24062" w:rsidRPr="00C24062" w:rsidRDefault="00C24062" w:rsidP="00C24062">
      <w:pPr>
        <w:widowControl w:val="0"/>
        <w:adjustRightInd/>
        <w:snapToGrid/>
        <w:spacing w:after="0" w:line="600" w:lineRule="exact"/>
        <w:ind w:firstLineChars="200" w:firstLine="560"/>
        <w:jc w:val="both"/>
        <w:rPr>
          <w:rFonts w:ascii="仿宋" w:eastAsia="仿宋" w:hAnsi="仿宋" w:cs="仿宋"/>
          <w:kern w:val="2"/>
          <w:sz w:val="28"/>
          <w:szCs w:val="28"/>
        </w:rPr>
      </w:pPr>
      <w:r w:rsidRPr="00C24062">
        <w:rPr>
          <w:rFonts w:ascii="仿宋" w:eastAsia="仿宋" w:hAnsi="仿宋" w:cs="仿宋" w:hint="eastAsia"/>
          <w:kern w:val="2"/>
          <w:sz w:val="28"/>
          <w:szCs w:val="28"/>
        </w:rPr>
        <w:t>1.紧密关注湖南石化城区事业部搬迁工程。组织相关街道、社区提前做好湖南石化己内酰胺事业部、热电部、化肥事业部周边矛盾纠纷隐患摸底排查，并协助做好腾地拆迁相关工作。</w:t>
      </w:r>
    </w:p>
    <w:p w:rsidR="00C24062" w:rsidRPr="00C24062" w:rsidRDefault="00C24062" w:rsidP="00C24062">
      <w:pPr>
        <w:widowControl w:val="0"/>
        <w:adjustRightInd/>
        <w:snapToGrid/>
        <w:spacing w:after="0" w:line="600" w:lineRule="exact"/>
        <w:ind w:firstLineChars="200" w:firstLine="560"/>
        <w:jc w:val="both"/>
        <w:rPr>
          <w:rFonts w:ascii="仿宋" w:eastAsia="仿宋" w:hAnsi="仿宋" w:cs="仿宋"/>
          <w:kern w:val="2"/>
          <w:sz w:val="28"/>
          <w:szCs w:val="28"/>
        </w:rPr>
      </w:pPr>
      <w:r w:rsidRPr="00C24062">
        <w:rPr>
          <w:rFonts w:ascii="仿宋" w:eastAsia="仿宋" w:hAnsi="仿宋" w:cs="仿宋" w:hint="eastAsia"/>
          <w:kern w:val="2"/>
          <w:sz w:val="28"/>
          <w:szCs w:val="28"/>
        </w:rPr>
        <w:t>2.继续做好楼区国有企业社会化管理职能移交工作。重点做好</w:t>
      </w:r>
      <w:r w:rsidRPr="00C24062">
        <w:rPr>
          <w:rFonts w:ascii="仿宋" w:eastAsia="仿宋" w:hAnsi="仿宋" w:cs="仿宋" w:hint="eastAsia"/>
          <w:kern w:val="2"/>
          <w:sz w:val="28"/>
          <w:szCs w:val="28"/>
        </w:rPr>
        <w:lastRenderedPageBreak/>
        <w:t>泰格林纸（华泰小区）、湖南天润化工发展股份有限公司（职工小区）社会化管理职能移交工作；协助好区商务局做好市商务粮食局原食品公司家属楼社会化管理职能移交。</w:t>
      </w:r>
    </w:p>
    <w:p w:rsidR="00C24062" w:rsidRPr="00C24062" w:rsidRDefault="00C24062" w:rsidP="00C24062">
      <w:pPr>
        <w:widowControl w:val="0"/>
        <w:adjustRightInd/>
        <w:snapToGrid/>
        <w:spacing w:after="0" w:line="600" w:lineRule="exact"/>
        <w:ind w:firstLineChars="200" w:firstLine="560"/>
        <w:jc w:val="both"/>
        <w:rPr>
          <w:rFonts w:ascii="仿宋" w:eastAsia="仿宋" w:hAnsi="仿宋" w:cs="仿宋"/>
          <w:kern w:val="2"/>
          <w:sz w:val="28"/>
          <w:szCs w:val="28"/>
        </w:rPr>
      </w:pPr>
      <w:r w:rsidRPr="00C24062">
        <w:rPr>
          <w:rFonts w:ascii="仿宋" w:eastAsia="仿宋" w:hAnsi="仿宋" w:cs="仿宋" w:hint="eastAsia"/>
          <w:kern w:val="2"/>
          <w:sz w:val="28"/>
          <w:szCs w:val="28"/>
        </w:rPr>
        <w:t>3.坚持问题导向。深入开展国企“三供一业”社会化职能分离移交、退休人员移交、党员移交工作“回头看”，制定阶段性调研工作计划，以解决问题化解矛盾为年度工作首要任务。主要针对已移交的原岳纺家属区、长动家属区等小区进行回访调研，尤其将困难和改制企业移交管理人员作为走访重点，努力确保国企移交人员社会化管理工作“接得住、管得好、融得进”，享受各级政策与社区服务落实到位。</w:t>
      </w:r>
    </w:p>
    <w:p w:rsidR="00D7077F" w:rsidRPr="00D7077F" w:rsidRDefault="00D7077F" w:rsidP="00C24062">
      <w:pPr>
        <w:widowControl w:val="0"/>
        <w:adjustRightInd/>
        <w:snapToGrid/>
        <w:spacing w:after="0" w:line="520" w:lineRule="exact"/>
        <w:ind w:firstLineChars="200" w:firstLine="562"/>
        <w:rPr>
          <w:rFonts w:ascii="仿宋" w:eastAsia="仿宋" w:hAnsi="仿宋" w:cs="黑体"/>
          <w:b/>
          <w:color w:val="000000"/>
          <w:kern w:val="2"/>
          <w:sz w:val="28"/>
          <w:szCs w:val="28"/>
        </w:rPr>
      </w:pPr>
      <w:r w:rsidRPr="00D7077F">
        <w:rPr>
          <w:rFonts w:ascii="仿宋" w:eastAsia="仿宋" w:hAnsi="仿宋" w:cs="黑体" w:hint="eastAsia"/>
          <w:b/>
          <w:color w:val="000000"/>
          <w:kern w:val="2"/>
          <w:sz w:val="28"/>
          <w:szCs w:val="28"/>
        </w:rPr>
        <w:t>九、部门整体支出绩效自评结果拟应用和公开情况</w:t>
      </w:r>
    </w:p>
    <w:p w:rsidR="00D7077F" w:rsidRPr="00D7077F" w:rsidRDefault="00D7077F" w:rsidP="00C24062">
      <w:pPr>
        <w:widowControl w:val="0"/>
        <w:adjustRightInd/>
        <w:snapToGrid/>
        <w:spacing w:after="0" w:line="520" w:lineRule="exact"/>
        <w:ind w:firstLineChars="200" w:firstLine="560"/>
        <w:rPr>
          <w:rFonts w:ascii="仿宋" w:eastAsia="仿宋" w:hAnsi="仿宋" w:cs="仿宋_GB2312"/>
          <w:color w:val="000000"/>
          <w:kern w:val="2"/>
          <w:sz w:val="28"/>
          <w:szCs w:val="28"/>
        </w:rPr>
      </w:pPr>
      <w:r w:rsidRPr="00D7077F">
        <w:rPr>
          <w:rFonts w:ascii="仿宋" w:eastAsia="仿宋" w:hAnsi="仿宋" w:cs="仿宋_GB2312" w:hint="eastAsia"/>
          <w:color w:val="000000"/>
          <w:kern w:val="2"/>
          <w:sz w:val="28"/>
          <w:szCs w:val="28"/>
        </w:rPr>
        <w:t>无其他需要说明的情况</w:t>
      </w:r>
    </w:p>
    <w:p w:rsidR="004358AB" w:rsidRPr="00C24062" w:rsidRDefault="004358AB" w:rsidP="00D31D50">
      <w:pPr>
        <w:spacing w:line="220" w:lineRule="atLeast"/>
        <w:rPr>
          <w:rFonts w:ascii="仿宋" w:eastAsia="仿宋" w:hAnsi="仿宋"/>
          <w:sz w:val="28"/>
          <w:szCs w:val="28"/>
        </w:rPr>
      </w:pPr>
    </w:p>
    <w:sectPr w:rsidR="004358AB" w:rsidRPr="00C2406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AD4" w:rsidRDefault="005B3AD4" w:rsidP="00D7077F">
      <w:pPr>
        <w:spacing w:after="0"/>
      </w:pPr>
      <w:r>
        <w:separator/>
      </w:r>
    </w:p>
  </w:endnote>
  <w:endnote w:type="continuationSeparator" w:id="0">
    <w:p w:rsidR="005B3AD4" w:rsidRDefault="005B3AD4" w:rsidP="00D7077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charset w:val="86"/>
    <w:family w:val="auto"/>
    <w:pitch w:val="default"/>
    <w:sig w:usb0="00000000" w:usb1="184F6CF8" w:usb2="00000012" w:usb3="00000000" w:csb0="00160001" w:csb1="1203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AD4" w:rsidRDefault="005B3AD4" w:rsidP="00D7077F">
      <w:pPr>
        <w:spacing w:after="0"/>
      </w:pPr>
      <w:r>
        <w:separator/>
      </w:r>
    </w:p>
  </w:footnote>
  <w:footnote w:type="continuationSeparator" w:id="0">
    <w:p w:rsidR="005B3AD4" w:rsidRDefault="005B3AD4" w:rsidP="00D7077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BE223B"/>
    <w:multiLevelType w:val="hybridMultilevel"/>
    <w:tmpl w:val="53F434AE"/>
    <w:lvl w:ilvl="0" w:tplc="74DA311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24E29"/>
    <w:rsid w:val="000C6851"/>
    <w:rsid w:val="00166269"/>
    <w:rsid w:val="00323B43"/>
    <w:rsid w:val="003D37D8"/>
    <w:rsid w:val="00426133"/>
    <w:rsid w:val="004358AB"/>
    <w:rsid w:val="004777FE"/>
    <w:rsid w:val="005B3AD4"/>
    <w:rsid w:val="008B7726"/>
    <w:rsid w:val="00C24062"/>
    <w:rsid w:val="00D31D50"/>
    <w:rsid w:val="00D7077F"/>
    <w:rsid w:val="00F50E66"/>
    <w:rsid w:val="00FC6F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077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7077F"/>
    <w:rPr>
      <w:rFonts w:ascii="Tahoma" w:hAnsi="Tahoma"/>
      <w:sz w:val="18"/>
      <w:szCs w:val="18"/>
    </w:rPr>
  </w:style>
  <w:style w:type="paragraph" w:styleId="a4">
    <w:name w:val="footer"/>
    <w:basedOn w:val="a"/>
    <w:link w:val="Char0"/>
    <w:uiPriority w:val="99"/>
    <w:semiHidden/>
    <w:unhideWhenUsed/>
    <w:rsid w:val="00D7077F"/>
    <w:pPr>
      <w:tabs>
        <w:tab w:val="center" w:pos="4153"/>
        <w:tab w:val="right" w:pos="8306"/>
      </w:tabs>
    </w:pPr>
    <w:rPr>
      <w:sz w:val="18"/>
      <w:szCs w:val="18"/>
    </w:rPr>
  </w:style>
  <w:style w:type="character" w:customStyle="1" w:styleId="Char0">
    <w:name w:val="页脚 Char"/>
    <w:basedOn w:val="a0"/>
    <w:link w:val="a4"/>
    <w:uiPriority w:val="99"/>
    <w:semiHidden/>
    <w:rsid w:val="00D7077F"/>
    <w:rPr>
      <w:rFonts w:ascii="Tahoma" w:hAnsi="Tahoma"/>
      <w:sz w:val="18"/>
      <w:szCs w:val="18"/>
    </w:rPr>
  </w:style>
  <w:style w:type="paragraph" w:styleId="a5">
    <w:name w:val="List Paragraph"/>
    <w:basedOn w:val="a"/>
    <w:uiPriority w:val="34"/>
    <w:qFormat/>
    <w:rsid w:val="00D7077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2024-06-17T01:53:00Z</dcterms:modified>
</cp:coreProperties>
</file>