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FAC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3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212529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212529"/>
          <w:kern w:val="0"/>
          <w:sz w:val="44"/>
          <w:szCs w:val="44"/>
          <w:lang w:val="en-US" w:eastAsia="zh-CN" w:bidi="ar"/>
        </w:rPr>
        <w:t>2023 年度区委网信单位整体支出</w:t>
      </w:r>
    </w:p>
    <w:p w14:paraId="6AAB9F6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3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212529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212529"/>
          <w:kern w:val="0"/>
          <w:sz w:val="44"/>
          <w:szCs w:val="44"/>
          <w:lang w:val="en-US" w:eastAsia="zh-CN" w:bidi="ar"/>
        </w:rPr>
        <w:t>绩效自评报告</w:t>
      </w:r>
    </w:p>
    <w:p w14:paraId="5319FBB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23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212529"/>
          <w:kern w:val="0"/>
          <w:sz w:val="44"/>
          <w:szCs w:val="44"/>
          <w:lang w:val="en-US" w:eastAsia="zh-CN" w:bidi="ar"/>
        </w:rPr>
      </w:pPr>
    </w:p>
    <w:p w14:paraId="6EBE0A4F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  <w:rPr>
          <w:rFonts w:hint="eastAsia"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color w:val="212529"/>
          <w:sz w:val="31"/>
          <w:szCs w:val="31"/>
        </w:rPr>
        <w:t>一、单位基本情况</w:t>
      </w:r>
    </w:p>
    <w:p w14:paraId="021B1B4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center"/>
      </w:pPr>
      <w:r>
        <w:rPr>
          <w:rFonts w:hint="eastAsia" w:ascii="微软雅黑" w:hAnsi="微软雅黑" w:eastAsia="微软雅黑" w:cs="微软雅黑"/>
          <w:color w:val="212529"/>
        </w:rPr>
        <w:t>贯彻落实中央关于网络安全和信息化工作的方针政策和决策部署，全面落实省委、市委和区委、区政府关于网信工作的部署要求。编制数11人，实际人数10人，其中机关4人、二级机构网络文化建设服务中心6人。</w:t>
      </w:r>
    </w:p>
    <w:p w14:paraId="637AC488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  <w:rPr>
          <w:rFonts w:hint="eastAsia" w:ascii="黑体" w:hAnsi="黑体" w:eastAsia="黑体" w:cs="黑体"/>
          <w:color w:val="212529"/>
          <w:sz w:val="31"/>
          <w:szCs w:val="31"/>
        </w:rPr>
      </w:pPr>
      <w:r>
        <w:rPr>
          <w:rFonts w:hint="eastAsia" w:ascii="黑体" w:hAnsi="黑体" w:eastAsia="黑体" w:cs="黑体"/>
          <w:color w:val="212529"/>
          <w:sz w:val="31"/>
          <w:szCs w:val="31"/>
        </w:rPr>
        <w:t>二、一般公共预算支出情况</w:t>
      </w:r>
    </w:p>
    <w:p w14:paraId="5CF67B87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212529"/>
        </w:rPr>
        <w:t>（一）基本支出情况</w:t>
      </w:r>
    </w:p>
    <w:p w14:paraId="2B3866E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center"/>
        <w:rPr>
          <w:rFonts w:hint="eastAsia" w:ascii="微软雅黑" w:hAnsi="微软雅黑" w:eastAsia="微软雅黑" w:cs="微软雅黑"/>
          <w:color w:val="212529"/>
        </w:rPr>
      </w:pPr>
      <w:r>
        <w:rPr>
          <w:rFonts w:hint="eastAsia" w:ascii="微软雅黑" w:hAnsi="微软雅黑" w:eastAsia="微软雅黑" w:cs="微软雅黑"/>
          <w:color w:val="212529"/>
        </w:rPr>
        <w:t>2023年基本支出年初预算数为136.09万元，其中：人员经费119.89万元，主要包括：基本工资、津贴补贴、资金、绩效工资、机关事业单位基本养老保险费、职业年金缴费、职工基本医疗保险缴费、公务员医疗补助缴费、其也社会保险缴费、住房公积金、其他对个人和家庭的补助；商品和服务支出16.20万元，主要包括：办公费、印刷费、水费、电费、差旅费、公务接待费、工会经费、其他商品和服务支出。</w:t>
      </w:r>
    </w:p>
    <w:p w14:paraId="4480F618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color w:val="212529"/>
        </w:rPr>
        <w:t>（二）项目支出情况</w:t>
      </w:r>
    </w:p>
    <w:p w14:paraId="6BDD0CE0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center"/>
        <w:rPr>
          <w:rFonts w:hint="eastAsia" w:ascii="微软雅黑" w:hAnsi="微软雅黑" w:eastAsia="微软雅黑" w:cs="微软雅黑"/>
          <w:color w:val="212529"/>
        </w:rPr>
      </w:pPr>
      <w:r>
        <w:rPr>
          <w:rFonts w:hint="eastAsia" w:ascii="微软雅黑" w:hAnsi="微软雅黑" w:eastAsia="微软雅黑" w:cs="微软雅黑"/>
          <w:color w:val="212529"/>
        </w:rPr>
        <w:t>2023年项目支出年初预算数为125万元，其中：业务工作经费支出102万元，主要用于网络安全宣传周活动、关键基础信息设施网络安全检测、网络攻防演练、网络舆情监测、协调、处置等方面；运行维护经费23万元、主要用于技术硬件、装备保障、设备升级、运行、维护、公众号、微博运营等方面。</w:t>
      </w:r>
    </w:p>
    <w:p w14:paraId="37A2835F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  <w:rPr>
          <w:rFonts w:hint="eastAsia" w:ascii="黑体" w:hAnsi="黑体" w:eastAsia="黑体" w:cs="黑体"/>
          <w:color w:val="212529"/>
          <w:sz w:val="31"/>
          <w:szCs w:val="31"/>
        </w:rPr>
      </w:pPr>
      <w:r>
        <w:rPr>
          <w:rFonts w:hint="eastAsia" w:ascii="黑体" w:hAnsi="黑体" w:eastAsia="黑体" w:cs="黑体"/>
          <w:color w:val="212529"/>
          <w:sz w:val="31"/>
          <w:szCs w:val="31"/>
        </w:rPr>
        <w:t>三、政府性基金预算支出情况</w:t>
      </w:r>
    </w:p>
    <w:p w14:paraId="743B136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center"/>
        <w:rPr>
          <w:rFonts w:hint="eastAsia" w:ascii="微软雅黑" w:hAnsi="微软雅黑" w:eastAsia="微软雅黑" w:cs="微软雅黑"/>
          <w:color w:val="212529"/>
        </w:rPr>
      </w:pPr>
      <w:r>
        <w:rPr>
          <w:rFonts w:hint="eastAsia" w:ascii="微软雅黑" w:hAnsi="微软雅黑" w:eastAsia="微软雅黑" w:cs="微软雅黑"/>
          <w:color w:val="212529"/>
        </w:rPr>
        <w:t>2023年度本单位无政府性基金预算支出。</w:t>
      </w:r>
    </w:p>
    <w:p w14:paraId="7230DAAD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  <w:rPr>
          <w:rFonts w:hint="eastAsia" w:ascii="黑体" w:hAnsi="黑体" w:eastAsia="黑体" w:cs="黑体"/>
          <w:color w:val="212529"/>
          <w:sz w:val="31"/>
          <w:szCs w:val="31"/>
        </w:rPr>
      </w:pPr>
      <w:r>
        <w:rPr>
          <w:rFonts w:hint="eastAsia" w:ascii="黑体" w:hAnsi="黑体" w:eastAsia="黑体" w:cs="黑体"/>
          <w:color w:val="212529"/>
          <w:sz w:val="31"/>
          <w:szCs w:val="31"/>
        </w:rPr>
        <w:t>四、  国有资本经营预算支出情况</w:t>
      </w:r>
    </w:p>
    <w:p w14:paraId="036BB26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center"/>
        <w:rPr>
          <w:rFonts w:hint="eastAsia" w:ascii="微软雅黑" w:hAnsi="微软雅黑" w:eastAsia="微软雅黑" w:cs="微软雅黑"/>
          <w:color w:val="212529"/>
        </w:rPr>
      </w:pPr>
      <w:r>
        <w:rPr>
          <w:rFonts w:hint="eastAsia" w:ascii="微软雅黑" w:hAnsi="微软雅黑" w:eastAsia="微软雅黑" w:cs="微软雅黑"/>
          <w:color w:val="212529"/>
        </w:rPr>
        <w:t>2023年度本单位无国有资本经营预算支出。</w:t>
      </w:r>
    </w:p>
    <w:p w14:paraId="590A9E7D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  <w:rPr>
          <w:rFonts w:hint="eastAsia" w:ascii="黑体" w:hAnsi="黑体" w:eastAsia="黑体" w:cs="黑体"/>
          <w:color w:val="212529"/>
          <w:sz w:val="31"/>
          <w:szCs w:val="31"/>
        </w:rPr>
      </w:pPr>
      <w:r>
        <w:rPr>
          <w:rFonts w:hint="eastAsia" w:ascii="黑体" w:hAnsi="黑体" w:eastAsia="黑体" w:cs="黑体"/>
          <w:color w:val="212529"/>
          <w:sz w:val="31"/>
          <w:szCs w:val="31"/>
        </w:rPr>
        <w:t>五、社会保险基金预算支出情况</w:t>
      </w:r>
    </w:p>
    <w:p w14:paraId="7428664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center"/>
        <w:rPr>
          <w:rFonts w:hint="eastAsia" w:ascii="微软雅黑" w:hAnsi="微软雅黑" w:eastAsia="微软雅黑" w:cs="微软雅黑"/>
          <w:color w:val="212529"/>
        </w:rPr>
      </w:pPr>
      <w:r>
        <w:rPr>
          <w:rFonts w:hint="eastAsia" w:ascii="微软雅黑" w:hAnsi="微软雅黑" w:eastAsia="微软雅黑" w:cs="微软雅黑"/>
          <w:color w:val="212529"/>
        </w:rPr>
        <w:t>2023年社会保障和就业支出18.59万元；卫生健康支出4.61万元；住房保障支出8.88万元。</w:t>
      </w:r>
    </w:p>
    <w:p w14:paraId="49BF8D95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  <w:rPr>
          <w:rFonts w:hint="eastAsia" w:ascii="黑体" w:hAnsi="黑体" w:eastAsia="黑体" w:cs="黑体"/>
          <w:color w:val="212529"/>
          <w:sz w:val="31"/>
          <w:szCs w:val="31"/>
        </w:rPr>
      </w:pPr>
      <w:r>
        <w:rPr>
          <w:rFonts w:hint="eastAsia" w:ascii="黑体" w:hAnsi="黑体" w:eastAsia="黑体" w:cs="黑体"/>
          <w:color w:val="212529"/>
          <w:sz w:val="31"/>
          <w:szCs w:val="31"/>
        </w:rPr>
        <w:t>六、单位整体支出绩效情况</w:t>
      </w:r>
    </w:p>
    <w:p w14:paraId="4756578C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center"/>
        <w:rPr>
          <w:rFonts w:hint="eastAsia" w:ascii="微软雅黑" w:hAnsi="微软雅黑" w:eastAsia="微软雅黑" w:cs="微软雅黑"/>
          <w:color w:val="212529"/>
        </w:rPr>
      </w:pPr>
      <w:r>
        <w:rPr>
          <w:rFonts w:hint="eastAsia" w:ascii="微软雅黑" w:hAnsi="微软雅黑" w:eastAsia="微软雅黑" w:cs="微软雅黑"/>
          <w:color w:val="212529"/>
        </w:rPr>
        <w:t>本部门所有支出实际绩效目标管理。纳入2023年度单位整体支出绩效目标的金额为261.09万元，其中，基本支出119.89万元，项目支出125万元，从预算配置情况看，预算资金覆盖所有工作的各个需求方面，“三公”经费预算没有超过上年预算安排，预算资金能保障单位正常运转需要，能基本保证人员经费支出和单位全年工作任务的完成。在人员经费支出、公共支出严格执行区委区政府的各项制度；在项目经费的使用上，在保证各项任务顺利完成的同时，严格落实厉行节约的原则；支出的绩效目标基本完成情况。</w:t>
      </w:r>
    </w:p>
    <w:p w14:paraId="494F3E0A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  <w:rPr>
          <w:rFonts w:hint="eastAsia" w:ascii="黑体" w:hAnsi="黑体" w:eastAsia="黑体" w:cs="黑体"/>
          <w:color w:val="212529"/>
          <w:sz w:val="31"/>
          <w:szCs w:val="31"/>
        </w:rPr>
      </w:pPr>
      <w:r>
        <w:rPr>
          <w:rFonts w:hint="eastAsia" w:ascii="黑体" w:hAnsi="黑体" w:eastAsia="黑体" w:cs="黑体"/>
          <w:color w:val="212529"/>
          <w:sz w:val="31"/>
          <w:szCs w:val="31"/>
        </w:rPr>
        <w:t>七、存在的问题及原因分析</w:t>
      </w:r>
    </w:p>
    <w:p w14:paraId="51DD57D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center"/>
        <w:rPr>
          <w:rFonts w:hint="eastAsia" w:ascii="微软雅黑" w:hAnsi="微软雅黑" w:eastAsia="微软雅黑" w:cs="微软雅黑"/>
          <w:color w:val="212529"/>
        </w:rPr>
      </w:pPr>
      <w:r>
        <w:rPr>
          <w:rFonts w:hint="eastAsia" w:ascii="微软雅黑" w:hAnsi="微软雅黑" w:eastAsia="微软雅黑" w:cs="微软雅黑"/>
          <w:color w:val="212529"/>
        </w:rPr>
        <w:t>本年度运行维护经费超预算，因临时性增加了监测平台。</w:t>
      </w:r>
    </w:p>
    <w:p w14:paraId="72E28E0B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  <w:rPr>
          <w:rFonts w:hint="eastAsia" w:ascii="黑体" w:hAnsi="黑体" w:eastAsia="黑体" w:cs="黑体"/>
          <w:color w:val="212529"/>
          <w:sz w:val="31"/>
          <w:szCs w:val="31"/>
        </w:rPr>
      </w:pPr>
      <w:r>
        <w:rPr>
          <w:rFonts w:hint="eastAsia" w:ascii="黑体" w:hAnsi="黑体" w:eastAsia="黑体" w:cs="黑体"/>
          <w:color w:val="212529"/>
          <w:sz w:val="31"/>
          <w:szCs w:val="31"/>
        </w:rPr>
        <w:t>八、下一步改进措施</w:t>
      </w:r>
    </w:p>
    <w:p w14:paraId="17799A3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80" w:firstLineChars="200"/>
        <w:jc w:val="both"/>
        <w:textAlignment w:val="center"/>
        <w:rPr>
          <w:rFonts w:hint="eastAsia" w:ascii="微软雅黑" w:hAnsi="微软雅黑" w:eastAsia="微软雅黑" w:cs="微软雅黑"/>
          <w:color w:val="212529"/>
        </w:rPr>
      </w:pPr>
      <w:r>
        <w:rPr>
          <w:rFonts w:hint="eastAsia" w:ascii="微软雅黑" w:hAnsi="微软雅黑" w:eastAsia="微软雅黑" w:cs="微软雅黑"/>
          <w:color w:val="212529"/>
        </w:rPr>
        <w:t>对年初预算持高标准、严要求态度，合理预算全年经费。</w:t>
      </w:r>
    </w:p>
    <w:p w14:paraId="6E3A9188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  <w:rPr>
          <w:rFonts w:hint="eastAsia" w:ascii="黑体" w:hAnsi="黑体" w:eastAsia="黑体" w:cs="黑体"/>
          <w:color w:val="212529"/>
          <w:sz w:val="31"/>
          <w:szCs w:val="31"/>
        </w:rPr>
      </w:pPr>
      <w:r>
        <w:rPr>
          <w:rFonts w:hint="eastAsia" w:ascii="黑体" w:hAnsi="黑体" w:eastAsia="黑体" w:cs="黑体"/>
          <w:color w:val="212529"/>
          <w:sz w:val="31"/>
          <w:szCs w:val="31"/>
        </w:rPr>
        <w:t>九、单位整体支出绩效自评结果拟应用和公开情况</w:t>
      </w:r>
    </w:p>
    <w:p w14:paraId="04DCED18"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3" w:lineRule="atLeast"/>
        <w:ind w:left="0" w:right="0"/>
        <w:jc w:val="both"/>
        <w:rPr>
          <w:rFonts w:hint="eastAsia" w:ascii="黑体" w:hAnsi="黑体" w:eastAsia="黑体" w:cs="黑体"/>
          <w:color w:val="212529"/>
          <w:sz w:val="31"/>
          <w:szCs w:val="31"/>
        </w:rPr>
      </w:pPr>
      <w:r>
        <w:rPr>
          <w:rFonts w:hint="eastAsia" w:ascii="黑体" w:hAnsi="黑体" w:eastAsia="黑体" w:cs="黑体"/>
          <w:color w:val="212529"/>
          <w:sz w:val="31"/>
          <w:szCs w:val="31"/>
        </w:rPr>
        <w:t>十、其他需要说明的情况</w:t>
      </w:r>
    </w:p>
    <w:p w14:paraId="67F429B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/>
        <w:jc w:val="left"/>
        <w:textAlignment w:val="auto"/>
      </w:pPr>
      <w:r>
        <w:rPr>
          <w:spacing w:val="6"/>
        </w:rPr>
        <w:t>附件：</w:t>
      </w:r>
      <w:r>
        <w:rPr>
          <w:rFonts w:ascii="Times New Roman" w:hAnsi="Times New Roman" w:eastAsia="Times New Roman" w:cs="Times New Roman"/>
          <w:spacing w:val="6"/>
        </w:rPr>
        <w:t>1</w:t>
      </w:r>
      <w:r>
        <w:rPr>
          <w:spacing w:val="6"/>
        </w:rPr>
        <w:t>、</w:t>
      </w:r>
      <w:r>
        <w:rPr>
          <w:rFonts w:hint="eastAsia"/>
          <w:spacing w:val="6"/>
          <w:lang w:eastAsia="zh-CN"/>
        </w:rPr>
        <w:t>单位</w:t>
      </w:r>
      <w:r>
        <w:rPr>
          <w:spacing w:val="6"/>
        </w:rPr>
        <w:t>整体支出绩效评价基础数据表</w:t>
      </w:r>
    </w:p>
    <w:p w14:paraId="0FEA45A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1098" w:firstLineChars="300"/>
        <w:jc w:val="left"/>
        <w:textAlignment w:val="auto"/>
        <w:rPr>
          <w:rFonts w:hint="eastAsia" w:ascii="微软雅黑" w:hAnsi="微软雅黑" w:eastAsia="微软雅黑" w:cs="微软雅黑"/>
          <w:vanish/>
          <w:color w:val="212529"/>
        </w:rPr>
      </w:pPr>
      <w:r>
        <w:rPr>
          <w:rFonts w:ascii="Times New Roman" w:hAnsi="Times New Roman" w:eastAsia="Times New Roman" w:cs="Times New Roman"/>
          <w:spacing w:val="8"/>
        </w:rPr>
        <w:t>2</w:t>
      </w:r>
      <w:r>
        <w:rPr>
          <w:spacing w:val="8"/>
        </w:rPr>
        <w:t>、</w:t>
      </w:r>
      <w:r>
        <w:rPr>
          <w:rFonts w:hint="eastAsia"/>
          <w:spacing w:val="8"/>
          <w:lang w:eastAsia="zh-CN"/>
        </w:rPr>
        <w:t>单位</w:t>
      </w:r>
      <w:r>
        <w:rPr>
          <w:spacing w:val="8"/>
        </w:rPr>
        <w:t>整体支出绩效自评表</w:t>
      </w:r>
      <w:bookmarkStart w:id="0" w:name="_GoBack"/>
      <w:bookmarkEnd w:id="0"/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"javascript:;" \o "开启辅助线" \t "http://www.yylq.gov.cn/21487/21498/21516/42803/70968/70969/70992/70994/71013/_self"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"javascript:;" \o "开启显示屏" \t "http://www.yylq.gov.cn/21487/21498/21516/42803/70968/70969/70992/70994/71013/_self"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"javascript:;" \o "高对比度" \t "http://www.yylq.gov.cn/21487/21498/21516/42803/70968/70969/70992/70994/71013/_self"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"javascript:;" \o "文字增大" \t "http://www.yylq.gov.cn/21487/21498/21516/42803/70968/70969/70992/70994/71013/_self"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"javascript:;" \o "文字减小" \t "http://www.yylq.gov.cn/21487/21498/21516/42803/70968/70969/70992/70994/71013/_self"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"javascript:;" \o "页面放大" \t "http://www.yylq.gov.cn/21487/21498/21516/42803/70968/70969/70992/70994/71013/_self"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"javascript:;" \o "页面缩小" \t "http://www.yylq.gov.cn/21487/21498/21516/42803/70968/70969/70992/70994/71013/_self"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"javascript:;" \o "开启指读" \t "http://www.yylq.gov.cn/21487/21498/21516/42803/70968/70969/70992/70994/71013/_self"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"javascript:;" \o "开启连读" \t "http://www.yylq.gov.cn/21487/21498/21516/42803/70968/70969/70992/70994/71013/_self"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"javascript:;" \o "工具按钮折叠" \t "http://www.yylq.gov.cn/21487/21498/21516/42803/70968/70969/70992/70994/71013/_self"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"http://www.yylq.gov.cn/21693/content_1223148.html" \o "无障碍操作说明" \t "http://www.yylq.gov.cn/21487/21498/21516/42803/70968/70969/70992/70994/71013/_blank"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"javascript:;" \o "关闭无障碍浏览" \t "http://www.yylq.gov.cn/21487/21498/21516/42803/70968/70969/70992/70994/71013/_self"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</w:p>
    <w:p w14:paraId="7631BF0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333333"/>
        <w:spacing w:before="0" w:beforeAutospacing="0" w:after="0" w:afterAutospacing="0" w:line="23" w:lineRule="atLeast"/>
        <w:ind w:left="0" w:right="0"/>
        <w:jc w:val="left"/>
        <w:rPr>
          <w:rFonts w:hint="eastAsia" w:ascii="微软雅黑" w:hAnsi="微软雅黑" w:eastAsia="微软雅黑" w:cs="微软雅黑"/>
          <w:vanish/>
          <w:color w:val="FFFFFF"/>
        </w:rPr>
      </w:pPr>
      <w:r>
        <w:rPr>
          <w:rFonts w:hint="eastAsia" w:ascii="微软雅黑" w:hAnsi="微软雅黑" w:eastAsia="微软雅黑" w:cs="微软雅黑"/>
          <w:vanish/>
          <w:color w:val="FFFFFF"/>
          <w:kern w:val="0"/>
          <w:sz w:val="24"/>
          <w:szCs w:val="24"/>
          <w:shd w:val="clear" w:fill="333333"/>
          <w:lang w:val="en-US" w:eastAsia="zh-CN" w:bidi="ar"/>
        </w:rPr>
        <w:t>X</w:t>
      </w:r>
    </w:p>
    <w:p w14:paraId="04A82E5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hM2RiODNhYzYwODk5ZTg2MTVmODIyMGIzNjA1OGYifQ=="/>
  </w:docVars>
  <w:rsids>
    <w:rsidRoot w:val="00000000"/>
    <w:rsid w:val="22695402"/>
    <w:rsid w:val="3A5F2EE7"/>
    <w:rsid w:val="45884B6A"/>
    <w:rsid w:val="46837CE0"/>
    <w:rsid w:val="50041363"/>
    <w:rsid w:val="57CC368F"/>
    <w:rsid w:val="61A8587F"/>
    <w:rsid w:val="6EF2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semiHidden/>
    <w:qFormat/>
    <w:uiPriority w:val="0"/>
    <w:pPr>
      <w:widowControl w:val="0"/>
      <w:jc w:val="both"/>
    </w:pPr>
    <w:rPr>
      <w:rFonts w:ascii="仿宋" w:hAnsi="仿宋" w:eastAsia="仿宋" w:cs="仿宋"/>
      <w:kern w:val="2"/>
      <w:sz w:val="35"/>
      <w:szCs w:val="35"/>
      <w:lang w:val="en-US" w:eastAsia="en-US" w:bidi="ar-SA"/>
    </w:r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  <w:textAlignment w:val="center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  <w:bCs/>
    </w:rPr>
  </w:style>
  <w:style w:type="character" w:styleId="7">
    <w:name w:val="FollowedHyperlink"/>
    <w:basedOn w:val="5"/>
    <w:qFormat/>
    <w:uiPriority w:val="0"/>
    <w:rPr>
      <w:color w:val="333333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qFormat/>
    <w:uiPriority w:val="0"/>
    <w:rPr>
      <w:color w:val="333333"/>
      <w:u w:val="none"/>
    </w:rPr>
  </w:style>
  <w:style w:type="character" w:styleId="10">
    <w:name w:val="HTML Code"/>
    <w:basedOn w:val="5"/>
    <w:qFormat/>
    <w:uiPriority w:val="0"/>
    <w:rPr>
      <w:rFonts w:ascii="Consolas" w:hAnsi="Consolas" w:eastAsia="Consolas" w:cs="Consolas"/>
      <w:color w:val="E83E8C"/>
      <w:sz w:val="21"/>
      <w:szCs w:val="21"/>
    </w:rPr>
  </w:style>
  <w:style w:type="character" w:styleId="11">
    <w:name w:val="HTML Keyboard"/>
    <w:basedOn w:val="5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212529"/>
    </w:rPr>
  </w:style>
  <w:style w:type="character" w:styleId="12">
    <w:name w:val="HTML Sample"/>
    <w:basedOn w:val="5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3">
    <w:name w:val="wx-space"/>
    <w:basedOn w:val="5"/>
    <w:qFormat/>
    <w:uiPriority w:val="0"/>
  </w:style>
  <w:style w:type="character" w:customStyle="1" w:styleId="14">
    <w:name w:val="wx-space1"/>
    <w:basedOn w:val="5"/>
    <w:qFormat/>
    <w:uiPriority w:val="0"/>
  </w:style>
  <w:style w:type="character" w:customStyle="1" w:styleId="15">
    <w:name w:val="hover9"/>
    <w:basedOn w:val="5"/>
    <w:qFormat/>
    <w:uiPriority w:val="0"/>
    <w:rPr>
      <w:color w:val="000000"/>
      <w:shd w:val="clear" w:fill="FFFFFF"/>
    </w:rPr>
  </w:style>
  <w:style w:type="character" w:customStyle="1" w:styleId="16">
    <w:name w:val="d-inline-block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1173</Words>
  <Characters>1320</Characters>
  <Lines>0</Lines>
  <Paragraphs>0</Paragraphs>
  <TotalTime>1</TotalTime>
  <ScaleCrop>false</ScaleCrop>
  <LinksUpToDate>false</LinksUpToDate>
  <CharactersWithSpaces>1417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2024-09-04T07:38:00Z</dcterms:created>
  <dc:creator>Administrator</dc:creator>
  <cp:lastModifiedBy>朱碧珺（找货员-1）</cp:lastModifiedBy>
  <dcterms:modified xsi:type="dcterms:W3CDTF">2024-09-10T02:04:55Z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51859FD848734B7DBA630C41A6B88F03_12</vt:lpwstr>
  </property>
</Properties>
</file>