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黑体" w:hAnsi="Calibri" w:eastAsia="黑体" w:cs="黑体"/>
          <w:color w:val="000000"/>
          <w:kern w:val="0"/>
          <w:sz w:val="84"/>
          <w:szCs w:val="84"/>
          <w:lang w:val="en-US" w:eastAsia="zh-CN" w:bidi="ar"/>
        </w:rPr>
      </w:pPr>
      <w:r>
        <w:rPr>
          <w:rFonts w:hint="eastAsia" w:ascii="黑体" w:hAnsi="宋体" w:eastAsia="黑体" w:cs="黑体"/>
          <w:color w:val="000000"/>
          <w:kern w:val="0"/>
          <w:sz w:val="84"/>
          <w:szCs w:val="84"/>
          <w:lang w:val="en-US" w:eastAsia="zh-CN" w:bidi="ar"/>
        </w:rPr>
        <w:t>岳阳市岳阳楼区农业农村局</w:t>
      </w:r>
    </w:p>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黑体" w:hAnsi="Calibri" w:eastAsia="黑体" w:cs="黑体"/>
          <w:color w:val="000000"/>
          <w:kern w:val="0"/>
          <w:sz w:val="84"/>
          <w:szCs w:val="84"/>
          <w:lang w:val="en-US" w:eastAsia="zh-CN" w:bidi="ar"/>
        </w:rPr>
      </w:pPr>
      <w:r>
        <w:rPr>
          <w:rFonts w:hint="eastAsia" w:ascii="黑体" w:hAnsi="宋体" w:eastAsia="黑体" w:cs="黑体"/>
          <w:color w:val="000000"/>
          <w:kern w:val="0"/>
          <w:sz w:val="84"/>
          <w:szCs w:val="84"/>
          <w:lang w:val="en-US" w:eastAsia="zh-CN" w:bidi="ar"/>
        </w:rPr>
        <w:t>部门决算</w:t>
      </w:r>
    </w:p>
    <w:p>
      <w:pPr>
        <w:pStyle w:val="9"/>
        <w:jc w:val="center"/>
        <w:rPr>
          <w:rFonts w:hint="eastAsia" w:ascii="方正小标宋_GBK" w:hAnsi="方正小标宋_GBK" w:eastAsia="方正小标宋_GBK" w:cs="方正小标宋_GBK"/>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both"/>
        <w:rPr>
          <w:sz w:val="56"/>
          <w:szCs w:val="56"/>
        </w:rPr>
      </w:pPr>
    </w:p>
    <w:p>
      <w:pPr>
        <w:pStyle w:val="9"/>
        <w:spacing w:line="500" w:lineRule="exact"/>
        <w:jc w:val="both"/>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宋体" w:hAnsi="宋体" w:eastAsia="宋体" w:cs="宋体"/>
          <w:b w:val="0"/>
          <w:bCs w:val="0"/>
          <w:color w:val="000000"/>
          <w:kern w:val="2"/>
          <w:sz w:val="32"/>
          <w:szCs w:val="32"/>
        </w:rPr>
        <w:t>岳阳市岳阳楼区农业农村局</w:t>
      </w:r>
      <w:r>
        <w:rPr>
          <w:rFonts w:hint="eastAsia" w:ascii="黑体" w:hAnsi="黑体" w:eastAsia="黑体" w:cs="黑体"/>
          <w:b w:val="0"/>
          <w:bCs/>
          <w:sz w:val="28"/>
          <w:szCs w:val="28"/>
        </w:rPr>
        <w:t>概况</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yellow"/>
        </w:rPr>
      </w:pPr>
      <w:r>
        <w:rPr>
          <w:rFonts w:hint="eastAsia" w:ascii="仿宋_GB2312" w:hAnsi="仿宋_GB2312" w:eastAsia="仿宋_GB2312" w:cs="仿宋_GB2312"/>
          <w:color w:val="000000"/>
          <w:kern w:val="0"/>
          <w:sz w:val="28"/>
          <w:szCs w:val="28"/>
          <w:highlight w:val="yellow"/>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highlight w:val="yellow"/>
        </w:rPr>
      </w:pPr>
      <w:r>
        <w:rPr>
          <w:rFonts w:hint="eastAsia" w:ascii="仿宋_GB2312" w:hAnsi="仿宋_GB2312" w:eastAsia="仿宋_GB2312" w:cs="仿宋_GB2312"/>
          <w:color w:val="000000"/>
          <w:kern w:val="0"/>
          <w:sz w:val="28"/>
          <w:szCs w:val="28"/>
          <w:highlight w:val="yellow"/>
        </w:rPr>
        <w:t>九、国有资本经营预算收入支出决算情况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十、</w:t>
      </w:r>
      <w:r>
        <w:rPr>
          <w:rFonts w:hint="eastAsia" w:ascii="仿宋_GB2312" w:hAnsi="仿宋_GB2312" w:eastAsia="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eastAsia="zh-CN"/>
        </w:rPr>
        <w:t>一</w:t>
      </w:r>
      <w:r>
        <w:rPr>
          <w:rFonts w:hint="eastAsia" w:ascii="仿宋_GB2312" w:hAnsi="仿宋_GB2312" w:eastAsia="仿宋_GB2312" w:cs="仿宋_GB2312"/>
          <w:color w:val="000000"/>
          <w:kern w:val="0"/>
          <w:sz w:val="28"/>
          <w:szCs w:val="28"/>
        </w:rPr>
        <w:t>、一般性支出情况说明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eastAsia="zh-CN"/>
        </w:rPr>
        <w:t>二</w:t>
      </w:r>
      <w:r>
        <w:rPr>
          <w:rFonts w:hint="eastAsia" w:ascii="仿宋_GB2312" w:hAnsi="仿宋_GB2312" w:eastAsia="仿宋_GB2312" w:cs="仿宋_GB2312"/>
          <w:color w:val="000000"/>
          <w:kern w:val="0"/>
          <w:sz w:val="28"/>
          <w:szCs w:val="28"/>
        </w:rPr>
        <w:t>、关于政府采购支出说明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、关于国有资产占用情况说明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、关于预算绩效情况的说明</w:t>
      </w:r>
    </w:p>
    <w:p>
      <w:pPr>
        <w:pStyle w:val="9"/>
        <w:spacing w:line="500" w:lineRule="exact"/>
        <w:ind w:firstLine="560" w:firstLineChars="200"/>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9"/>
        <w:jc w:val="center"/>
        <w:rPr>
          <w:rFonts w:hint="eastAsia" w:ascii="方正小标宋_GBK" w:hAnsi="方正小标宋_GBK" w:eastAsia="方正小标宋_GBK" w:cs="方正小标宋_GBK"/>
          <w:sz w:val="84"/>
          <w:szCs w:val="84"/>
        </w:rPr>
      </w:pPr>
    </w:p>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黑体" w:hAnsi="宋体" w:eastAsia="黑体" w:cs="黑体"/>
          <w:color w:val="000000"/>
          <w:kern w:val="0"/>
          <w:sz w:val="84"/>
          <w:szCs w:val="84"/>
          <w:lang w:val="en-US" w:eastAsia="zh-CN" w:bidi="ar"/>
        </w:rPr>
      </w:pPr>
      <w:r>
        <w:rPr>
          <w:rFonts w:hint="eastAsia" w:ascii="黑体" w:hAnsi="宋体" w:eastAsia="黑体" w:cs="黑体"/>
          <w:color w:val="000000"/>
          <w:kern w:val="0"/>
          <w:sz w:val="84"/>
          <w:szCs w:val="84"/>
          <w:lang w:val="en-US" w:eastAsia="zh-CN" w:bidi="ar"/>
        </w:rPr>
        <w:t>岳阳楼区农业农村局</w:t>
      </w:r>
    </w:p>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黑体" w:hAnsi="宋体" w:eastAsia="黑体" w:cs="黑体"/>
          <w:color w:val="000000"/>
          <w:kern w:val="0"/>
          <w:sz w:val="84"/>
          <w:szCs w:val="84"/>
          <w:lang w:val="en-US" w:eastAsia="zh-CN" w:bidi="ar"/>
        </w:rPr>
      </w:pPr>
      <w:r>
        <w:rPr>
          <w:rFonts w:hint="eastAsia" w:ascii="黑体" w:hAnsi="宋体" w:eastAsia="黑体" w:cs="黑体"/>
          <w:color w:val="000000"/>
          <w:kern w:val="0"/>
          <w:sz w:val="84"/>
          <w:szCs w:val="84"/>
          <w:lang w:val="en-US" w:eastAsia="zh-CN" w:bidi="ar"/>
        </w:rPr>
        <w:t>部门概况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0"/>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r>
        <w:rPr>
          <w:rFonts w:hint="eastAsia" w:ascii="黑体" w:hAnsi="黑体" w:eastAsia="黑体" w:cs="黑体"/>
          <w:b w:val="0"/>
          <w:bCs w:val="0"/>
          <w:sz w:val="32"/>
          <w:szCs w:val="32"/>
          <w:lang w:val="en-US" w:eastAsia="zh-CN"/>
        </w:rPr>
        <w:t xml:space="preserve">     </w:t>
      </w:r>
    </w:p>
    <w:p>
      <w:pPr>
        <w:pStyle w:val="10"/>
        <w:numPr>
          <w:ilvl w:val="0"/>
          <w:numId w:val="0"/>
        </w:numPr>
        <w:ind w:leftChars="0" w:firstLine="320" w:firstLineChars="100"/>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xml:space="preserve">（一）负责贯彻落实国家和地方有关“三农”的政策、法律、法规；负责本行政区域内农业综合执法工作。拟订全区“三农”工作的发展战略与中长期规划并组织实施；贯彻落实和指导农村社会事业、农村公共服务、农村文化、农村基础设施和乡村治理；牵头组织改善农村人居环境；指导农村精神文明和优秀农耕文化建设；指导农业行业安全生产工作。 </w:t>
      </w:r>
    </w:p>
    <w:p>
      <w:pPr>
        <w:pStyle w:val="10"/>
        <w:numPr>
          <w:ilvl w:val="0"/>
          <w:numId w:val="0"/>
        </w:numPr>
        <w:ind w:leftChars="0" w:firstLine="320" w:firstLineChars="100"/>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xml:space="preserve">（二）指导乡村特色产业、农产品加工业、休闲农业和乡镇企业发展工作；提出促进大宗农产品流通的建议，培育、保护农业品牌；发布农业农村经济信息，监测分析农业农村经济运行；承担农业统计和农业农村信息化有关工作。 </w:t>
      </w:r>
    </w:p>
    <w:p>
      <w:pPr>
        <w:pStyle w:val="10"/>
        <w:numPr>
          <w:ilvl w:val="0"/>
          <w:numId w:val="0"/>
        </w:numPr>
        <w:ind w:leftChars="0" w:firstLine="320" w:firstLineChars="100"/>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xml:space="preserve">（三）负责种植业、畜牧业、渔业、农垦、农业机械化等农业各产业的监督管理；指导粮食等农产品生产；组织构建现代农业产业体系、生产体系、经营体系，指导农业标准化生产；负责渔政渔港监督管理。 </w:t>
      </w:r>
    </w:p>
    <w:p>
      <w:pPr>
        <w:pStyle w:val="10"/>
        <w:numPr>
          <w:ilvl w:val="0"/>
          <w:numId w:val="0"/>
        </w:numPr>
        <w:ind w:leftChars="0" w:firstLine="320" w:firstLineChars="100"/>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xml:space="preserve">（四）负责农产品质量安全监督管理。组织开展农产品质量安全监测、追溯、风险评估，发布农产品质量安全有关信息；贯彻执行农产品质量安全国家标准，参与拟订农产品质量安全地方标准并会同有关部门组织实施；指导农业检验检测体系建设。 </w:t>
      </w:r>
    </w:p>
    <w:p>
      <w:pPr>
        <w:pStyle w:val="10"/>
        <w:numPr>
          <w:ilvl w:val="0"/>
          <w:numId w:val="0"/>
        </w:numPr>
        <w:ind w:leftChars="0" w:firstLine="320" w:firstLineChars="100"/>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xml:space="preserve">（五）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能产业发展；牵头管理外来物种。 </w:t>
      </w:r>
    </w:p>
    <w:p>
      <w:pPr>
        <w:pStyle w:val="10"/>
        <w:numPr>
          <w:ilvl w:val="0"/>
          <w:numId w:val="0"/>
        </w:numPr>
        <w:ind w:leftChars="0" w:firstLine="320" w:firstLineChars="100"/>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xml:space="preserve">（六）负责有关农业生产资料和农业投入品的监督管理。开展农业生产资料市场体系建设；贯彻执行农业生产资料、兽药质量、兽药残留限量和残留检测方法国家标准并监督实施；组织兽医医政、兽药药政药检工作，负责执业兽医和畜禽屠宰行业管理。 </w:t>
      </w:r>
    </w:p>
    <w:p>
      <w:pPr>
        <w:pStyle w:val="10"/>
        <w:numPr>
          <w:ilvl w:val="0"/>
          <w:numId w:val="0"/>
        </w:numPr>
        <w:ind w:leftChars="0" w:firstLine="320" w:firstLineChars="100"/>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xml:space="preserve">（七）负责农业防灾减灾、农作物重大病虫害防治工作。指导动植物防疫检疫体系建设，组织、监督行政区域内动植物防疫检疫工作，发布疫情并组织扑灭；配合有关部门制定血吸虫病防治工作计划并组织实施。 </w:t>
      </w:r>
    </w:p>
    <w:p>
      <w:pPr>
        <w:pStyle w:val="10"/>
        <w:numPr>
          <w:ilvl w:val="0"/>
          <w:numId w:val="0"/>
        </w:numPr>
        <w:ind w:leftChars="0" w:firstLine="320" w:firstLineChars="100"/>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xml:space="preserve">（八）统筹实施乡村振兴战略，深化农业供给侧结构性改革，提升农业发展质量，扎实推进美丽乡村建设，推动农业全面升级、农村全面进步、农民全面发展，加快实现农业农村现代化。 </w:t>
      </w:r>
    </w:p>
    <w:p>
      <w:pPr>
        <w:pStyle w:val="10"/>
        <w:numPr>
          <w:ilvl w:val="0"/>
          <w:numId w:val="0"/>
        </w:numPr>
        <w:ind w:leftChars="0" w:firstLine="320" w:firstLineChars="100"/>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xml:space="preserve">（九）组织实施农业科技体制改革和农业科技创新体系建设。推动农业产业技术体系和农技推广体系建设，组织开展农业领域的高新技术和应用技术研究、科技成果转化和技术推广；按权限负责农业转基因生物安全监督管理和农业植物新品种保护。 </w:t>
      </w:r>
    </w:p>
    <w:p>
      <w:pPr>
        <w:pStyle w:val="10"/>
        <w:numPr>
          <w:ilvl w:val="0"/>
          <w:numId w:val="0"/>
        </w:numPr>
        <w:ind w:leftChars="0" w:firstLine="320" w:firstLineChars="100"/>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xml:space="preserve">（十）组织和指导开展农业农村人才工作。拟订农业农村人才队伍建设规划并组织实施，开展农业教育和农业职业技能开发，指导新型职业农民培育、农业科技人才培养和农村实用人才培训工作。 </w:t>
      </w:r>
    </w:p>
    <w:p>
      <w:pPr>
        <w:pStyle w:val="10"/>
        <w:numPr>
          <w:ilvl w:val="0"/>
          <w:numId w:val="0"/>
        </w:numPr>
        <w:ind w:leftChars="0" w:firstLine="320" w:firstLineChars="100"/>
        <w:jc w:val="left"/>
        <w:rPr>
          <w:rFonts w:hint="eastAsia" w:ascii="黑体" w:hAnsi="黑体" w:eastAsia="黑体" w:cs="黑体"/>
          <w:b w:val="0"/>
          <w:bCs w:val="0"/>
          <w:sz w:val="32"/>
          <w:szCs w:val="32"/>
        </w:rPr>
      </w:pPr>
      <w:r>
        <w:rPr>
          <w:rFonts w:hint="eastAsia" w:ascii="Times New Roman" w:hAnsi="Times New Roman" w:eastAsia="仿宋_GB2312" w:cs="仿宋_GB2312"/>
          <w:bCs/>
          <w:kern w:val="0"/>
          <w:sz w:val="32"/>
          <w:szCs w:val="32"/>
        </w:rPr>
        <w:t xml:space="preserve">（十一）贯彻国家有关法律法规，执行国家、省、市有关森林公园管理工作方针、政策和法规，保护和合理利用森林公园范围内的森林资源，制定森林公园相关项目的规划，并组织实施。 </w:t>
      </w:r>
      <w:r>
        <w:rPr>
          <w:rFonts w:hint="eastAsia" w:ascii="黑体" w:hAnsi="黑体" w:eastAsia="黑体" w:cs="黑体"/>
          <w:b w:val="0"/>
          <w:bCs w:val="0"/>
          <w:sz w:val="32"/>
          <w:szCs w:val="32"/>
          <w:lang w:val="en-US" w:eastAsia="zh-CN"/>
        </w:rPr>
        <w:t xml:space="preserve">   </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岳阳市岳阳楼区农业农村局内设机构包括：内设股室有12个，分别是：办公室；扶贫开发办公室；政工人事股；计划财务股；行政审批股（法制股）；农业农村发展规划股（乡镇企业和农业产业化办公室）；农产品质量安全监管股；农业综合股；畜牧水产综合股；造林绿化股；森林资源管理股。4个二级机构，分别是：岳阳市岳阳楼区农产品综合检验检测中心，岳阳市岳阳楼区麻布山省级森林公园管理中心，岳阳市岳阳楼区农业综合技术推广服务中心，岳阳市岳阳楼区农林综合行政执法大队。</w:t>
      </w:r>
    </w:p>
    <w:p>
      <w:pPr>
        <w:widowControl/>
        <w:spacing w:line="600" w:lineRule="exact"/>
        <w:ind w:firstLine="640" w:firstLineChars="200"/>
        <w:rPr>
          <w:rFonts w:hint="eastAsia" w:ascii="Times New Roman" w:hAnsi="Times New Roman" w:eastAsia="仿宋_GB2312" w:cs="仿宋_GB2312"/>
          <w:bCs/>
          <w:kern w:val="0"/>
          <w:sz w:val="32"/>
          <w:szCs w:val="32"/>
        </w:rPr>
      </w:pPr>
    </w:p>
    <w:p>
      <w:pPr>
        <w:numPr>
          <w:ilvl w:val="0"/>
          <w:numId w:val="2"/>
        </w:numPr>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决算单位构成。</w:t>
      </w:r>
    </w:p>
    <w:p>
      <w:pPr>
        <w:numPr>
          <w:ilvl w:val="0"/>
          <w:numId w:val="0"/>
        </w:numPr>
        <w:ind w:firstLine="640" w:firstLineChars="200"/>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岳阳市岳阳楼区农业农村局202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年部门决算汇总公开单位构成包括：岳阳市岳阳楼区农业农村局本级。未包含下属独立核算二级机构。</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5428" w:type="dxa"/>
        <w:tblInd w:w="0" w:type="dxa"/>
        <w:tblLayout w:type="fixed"/>
        <w:tblCellMar>
          <w:top w:w="0" w:type="dxa"/>
          <w:left w:w="0" w:type="dxa"/>
          <w:bottom w:w="0" w:type="dxa"/>
          <w:right w:w="0" w:type="dxa"/>
        </w:tblCellMar>
      </w:tblPr>
      <w:tblGrid>
        <w:gridCol w:w="306"/>
        <w:gridCol w:w="281"/>
        <w:gridCol w:w="1498"/>
        <w:gridCol w:w="1798"/>
        <w:gridCol w:w="1798"/>
        <w:gridCol w:w="1798"/>
        <w:gridCol w:w="1798"/>
        <w:gridCol w:w="1799"/>
        <w:gridCol w:w="1799"/>
        <w:gridCol w:w="2553"/>
      </w:tblGrid>
      <w:tr>
        <w:tblPrEx>
          <w:tblCellMar>
            <w:top w:w="0" w:type="dxa"/>
            <w:left w:w="0" w:type="dxa"/>
            <w:bottom w:w="0" w:type="dxa"/>
            <w:right w:w="0" w:type="dxa"/>
          </w:tblCellMar>
        </w:tblPrEx>
        <w:trPr>
          <w:trHeight w:val="564"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5"/>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38"/>
              <w:gridCol w:w="616"/>
              <w:gridCol w:w="1398"/>
              <w:gridCol w:w="5029"/>
              <w:gridCol w:w="677"/>
              <w:gridCol w:w="942"/>
              <w:gridCol w:w="456"/>
              <w:gridCol w:w="1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38"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616"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398"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029"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19"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298"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3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61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9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02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19"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298"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38"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616"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9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02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19"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298"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2" w:type="dxa"/>
                <w:trHeight w:val="448" w:hRule="atLeast"/>
              </w:trPr>
              <w:tc>
                <w:tcPr>
                  <w:tcW w:w="645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10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2" w:type="dxa"/>
                <w:trHeight w:val="628" w:hRule="atLeast"/>
              </w:trPr>
              <w:tc>
                <w:tcPr>
                  <w:tcW w:w="4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2" w:type="dxa"/>
                <w:trHeight w:val="448" w:hRule="atLeast"/>
              </w:trPr>
              <w:tc>
                <w:tcPr>
                  <w:tcW w:w="4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2" w:type="dxa"/>
                <w:trHeight w:val="448" w:hRule="atLeast"/>
              </w:trPr>
              <w:tc>
                <w:tcPr>
                  <w:tcW w:w="4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2,633.38</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2" w:type="dxa"/>
                <w:trHeight w:val="448" w:hRule="atLeast"/>
              </w:trPr>
              <w:tc>
                <w:tcPr>
                  <w:tcW w:w="4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18"/>
                      <w:szCs w:val="18"/>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2" w:type="dxa"/>
                <w:trHeight w:val="448" w:hRule="atLeast"/>
              </w:trPr>
              <w:tc>
                <w:tcPr>
                  <w:tcW w:w="4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18"/>
                      <w:szCs w:val="18"/>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八、社会保障和就业支出</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22"/>
                      <w:szCs w:val="22"/>
                      <w:u w:val="none"/>
                      <w:lang w:val="en-US" w:eastAsia="zh-CN" w:bidi="ar"/>
                    </w:rPr>
                    <w:t>44.89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2" w:type="dxa"/>
                <w:trHeight w:val="448" w:hRule="atLeast"/>
              </w:trPr>
              <w:tc>
                <w:tcPr>
                  <w:tcW w:w="4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18"/>
                      <w:szCs w:val="18"/>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22"/>
                      <w:szCs w:val="22"/>
                      <w:u w:val="none"/>
                      <w:lang w:val="en-US" w:eastAsia="zh-CN" w:bidi="ar"/>
                    </w:rPr>
                    <w:t>192.25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2" w:type="dxa"/>
                <w:trHeight w:val="448" w:hRule="atLeast"/>
              </w:trPr>
              <w:tc>
                <w:tcPr>
                  <w:tcW w:w="4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18"/>
                      <w:szCs w:val="18"/>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22"/>
                      <w:szCs w:val="22"/>
                      <w:u w:val="none"/>
                      <w:lang w:val="en-US" w:eastAsia="zh-CN" w:bidi="ar"/>
                    </w:rPr>
                    <w:t>29.99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2" w:type="dxa"/>
                <w:trHeight w:val="448" w:hRule="atLeast"/>
              </w:trPr>
              <w:tc>
                <w:tcPr>
                  <w:tcW w:w="4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18"/>
                      <w:szCs w:val="18"/>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22"/>
                      <w:szCs w:val="22"/>
                      <w:u w:val="none"/>
                      <w:lang w:val="en-US" w:eastAsia="zh-CN" w:bidi="ar"/>
                    </w:rPr>
                    <w:t>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2" w:type="dxa"/>
                <w:trHeight w:val="448" w:hRule="atLeast"/>
              </w:trPr>
              <w:tc>
                <w:tcPr>
                  <w:tcW w:w="4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18"/>
                      <w:szCs w:val="18"/>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十二、农林水支出</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22"/>
                      <w:szCs w:val="22"/>
                      <w:u w:val="none"/>
                      <w:lang w:val="en-US" w:eastAsia="zh-CN" w:bidi="ar"/>
                    </w:rPr>
                    <w:t>2,346.13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2" w:type="dxa"/>
                <w:trHeight w:val="448" w:hRule="atLeast"/>
              </w:trPr>
              <w:tc>
                <w:tcPr>
                  <w:tcW w:w="4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824.43</w:t>
                  </w: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十九、住房保障支出</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2" w:type="dxa"/>
                <w:trHeight w:val="448" w:hRule="atLeast"/>
              </w:trPr>
              <w:tc>
                <w:tcPr>
                  <w:tcW w:w="4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18"/>
                      <w:szCs w:val="18"/>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4"/>
                      <w:szCs w:val="24"/>
                      <w:u w:val="none"/>
                      <w:lang w:val="en-US" w:eastAsia="zh-CN" w:bidi="ar"/>
                    </w:rPr>
                    <w:t>二十三、其他支出</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732.90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2" w:type="dxa"/>
                <w:trHeight w:val="448" w:hRule="atLeast"/>
              </w:trPr>
              <w:tc>
                <w:tcPr>
                  <w:tcW w:w="4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22"/>
                      <w:szCs w:val="22"/>
                      <w:u w:val="none"/>
                      <w:lang w:val="en-US" w:eastAsia="zh-CN" w:bidi="ar"/>
                    </w:rPr>
                    <w:t>3,457.81</w:t>
                  </w: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3,377.36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2" w:type="dxa"/>
                <w:trHeight w:val="448" w:hRule="atLeast"/>
              </w:trPr>
              <w:tc>
                <w:tcPr>
                  <w:tcW w:w="4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18"/>
                      <w:szCs w:val="18"/>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2" w:type="dxa"/>
                <w:trHeight w:val="628" w:hRule="atLeast"/>
              </w:trPr>
              <w:tc>
                <w:tcPr>
                  <w:tcW w:w="4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22"/>
                      <w:szCs w:val="22"/>
                      <w:u w:val="none"/>
                      <w:lang w:val="en-US" w:eastAsia="zh-CN" w:bidi="ar"/>
                    </w:rPr>
                    <w:t>19.88</w:t>
                  </w: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842" w:type="dxa"/>
                <w:trHeight w:val="448" w:hRule="atLeast"/>
              </w:trPr>
              <w:tc>
                <w:tcPr>
                  <w:tcW w:w="4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3,477.69</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3,477.69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312" w:hRule="atLeast"/>
        </w:trPr>
        <w:tc>
          <w:tcPr>
            <w:tcW w:w="30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8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9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162" w:hRule="atLeast"/>
        </w:trPr>
        <w:tc>
          <w:tcPr>
            <w:tcW w:w="58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49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395" w:hRule="atLeast"/>
        </w:trPr>
        <w:tc>
          <w:tcPr>
            <w:tcW w:w="2085"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9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18"/>
                <w:szCs w:val="18"/>
              </w:rPr>
            </w:pPr>
            <w:r>
              <w:rPr>
                <w:rFonts w:hint="eastAsia"/>
                <w:sz w:val="18"/>
                <w:szCs w:val="18"/>
              </w:rPr>
              <w:t>本年收入合计</w:t>
            </w:r>
          </w:p>
        </w:tc>
        <w:tc>
          <w:tcPr>
            <w:tcW w:w="179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18"/>
                <w:szCs w:val="18"/>
              </w:rPr>
            </w:pPr>
            <w:r>
              <w:rPr>
                <w:rFonts w:hint="eastAsia"/>
                <w:sz w:val="18"/>
                <w:szCs w:val="18"/>
              </w:rPr>
              <w:t>财政拨款收入</w:t>
            </w:r>
          </w:p>
        </w:tc>
        <w:tc>
          <w:tcPr>
            <w:tcW w:w="179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18"/>
                <w:szCs w:val="18"/>
              </w:rPr>
            </w:pPr>
            <w:r>
              <w:rPr>
                <w:rFonts w:hint="eastAsia"/>
                <w:sz w:val="18"/>
                <w:szCs w:val="18"/>
              </w:rPr>
              <w:t>上级补助收入</w:t>
            </w:r>
          </w:p>
        </w:tc>
        <w:tc>
          <w:tcPr>
            <w:tcW w:w="179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18"/>
                <w:szCs w:val="18"/>
              </w:rPr>
            </w:pPr>
            <w:r>
              <w:rPr>
                <w:rFonts w:hint="eastAsia"/>
                <w:sz w:val="18"/>
                <w:szCs w:val="18"/>
              </w:rPr>
              <w:t>事业收入</w:t>
            </w:r>
          </w:p>
        </w:tc>
        <w:tc>
          <w:tcPr>
            <w:tcW w:w="179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18"/>
                <w:szCs w:val="18"/>
              </w:rPr>
            </w:pPr>
            <w:r>
              <w:rPr>
                <w:rFonts w:hint="eastAsia"/>
                <w:sz w:val="18"/>
                <w:szCs w:val="18"/>
              </w:rPr>
              <w:t>经营收入</w:t>
            </w:r>
          </w:p>
        </w:tc>
        <w:tc>
          <w:tcPr>
            <w:tcW w:w="179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18"/>
                <w:szCs w:val="18"/>
              </w:rPr>
            </w:pPr>
            <w:r>
              <w:rPr>
                <w:rFonts w:hint="eastAsia"/>
                <w:sz w:val="18"/>
                <w:szCs w:val="18"/>
              </w:rPr>
              <w:t>附属单位上缴收入</w:t>
            </w:r>
          </w:p>
        </w:tc>
        <w:tc>
          <w:tcPr>
            <w:tcW w:w="25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18"/>
                <w:szCs w:val="18"/>
              </w:rPr>
            </w:pPr>
            <w:r>
              <w:rPr>
                <w:rFonts w:hint="eastAsia"/>
                <w:sz w:val="18"/>
                <w:szCs w:val="18"/>
              </w:rPr>
              <w:t>其他收入</w:t>
            </w:r>
          </w:p>
        </w:tc>
      </w:tr>
      <w:tr>
        <w:tblPrEx>
          <w:tblCellMar>
            <w:top w:w="0" w:type="dxa"/>
            <w:left w:w="0" w:type="dxa"/>
            <w:bottom w:w="0" w:type="dxa"/>
            <w:right w:w="0" w:type="dxa"/>
          </w:tblCellMar>
        </w:tblPrEx>
        <w:trPr>
          <w:trHeight w:val="450" w:hRule="atLeast"/>
        </w:trPr>
        <w:tc>
          <w:tcPr>
            <w:tcW w:w="58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sz w:val="18"/>
                <w:szCs w:val="18"/>
              </w:rPr>
              <w:t>功能分类科目编码</w:t>
            </w:r>
          </w:p>
        </w:tc>
        <w:tc>
          <w:tcPr>
            <w:tcW w:w="1498"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sz w:val="18"/>
                <w:szCs w:val="18"/>
              </w:rPr>
              <w:t>科目名称</w:t>
            </w:r>
          </w:p>
        </w:tc>
        <w:tc>
          <w:tcPr>
            <w:tcW w:w="179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9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9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9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5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312" w:hRule="atLeast"/>
        </w:trPr>
        <w:tc>
          <w:tcPr>
            <w:tcW w:w="58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98"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9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9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9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9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5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330" w:hRule="atLeast"/>
        </w:trPr>
        <w:tc>
          <w:tcPr>
            <w:tcW w:w="208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5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315" w:hRule="atLeast"/>
        </w:trPr>
        <w:tc>
          <w:tcPr>
            <w:tcW w:w="208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3,457.81</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2,633.38</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824.43</w:t>
            </w:r>
          </w:p>
        </w:tc>
      </w:tr>
      <w:tr>
        <w:tblPrEx>
          <w:tblCellMar>
            <w:top w:w="0" w:type="dxa"/>
            <w:left w:w="0" w:type="dxa"/>
            <w:bottom w:w="0" w:type="dxa"/>
            <w:right w:w="0" w:type="dxa"/>
          </w:tblCellMar>
        </w:tblPrEx>
        <w:trPr>
          <w:trHeight w:val="270" w:hRule="exact"/>
        </w:trPr>
        <w:tc>
          <w:tcPr>
            <w:tcW w:w="58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201</w:t>
            </w:r>
          </w:p>
        </w:tc>
        <w:tc>
          <w:tcPr>
            <w:tcW w:w="14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一般公共服务支出</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18"/>
                <w:szCs w:val="18"/>
              </w:rPr>
            </w:pPr>
            <w:r>
              <w:rPr>
                <w:rFonts w:hint="eastAsia" w:ascii="宋体" w:hAnsi="宋体" w:eastAsia="宋体" w:cs="宋体"/>
                <w:i w:val="0"/>
                <w:iCs w:val="0"/>
                <w:color w:val="000000"/>
                <w:kern w:val="0"/>
                <w:sz w:val="22"/>
                <w:szCs w:val="22"/>
                <w:u w:val="none"/>
                <w:lang w:val="en-US" w:eastAsia="zh-CN" w:bidi="ar"/>
              </w:rPr>
              <w:t>2.03</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2.03</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272" w:hRule="exact"/>
        </w:trPr>
        <w:tc>
          <w:tcPr>
            <w:tcW w:w="58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20106</w:t>
            </w:r>
          </w:p>
        </w:tc>
        <w:tc>
          <w:tcPr>
            <w:tcW w:w="14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财政事务</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1.51</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1.51</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272" w:hRule="exact"/>
        </w:trPr>
        <w:tc>
          <w:tcPr>
            <w:tcW w:w="58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20199</w:t>
            </w:r>
          </w:p>
        </w:tc>
        <w:tc>
          <w:tcPr>
            <w:tcW w:w="14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其他一般公共服务支出</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0.52</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0.52</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272" w:hRule="exact"/>
        </w:trPr>
        <w:tc>
          <w:tcPr>
            <w:tcW w:w="58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208</w:t>
            </w:r>
          </w:p>
        </w:tc>
        <w:tc>
          <w:tcPr>
            <w:tcW w:w="14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44.89</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44.89</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272" w:hRule="exact"/>
        </w:trPr>
        <w:tc>
          <w:tcPr>
            <w:tcW w:w="58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20805</w:t>
            </w:r>
          </w:p>
        </w:tc>
        <w:tc>
          <w:tcPr>
            <w:tcW w:w="14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34.59</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34.59</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277" w:hRule="exact"/>
        </w:trPr>
        <w:tc>
          <w:tcPr>
            <w:tcW w:w="58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20811</w:t>
            </w:r>
          </w:p>
        </w:tc>
        <w:tc>
          <w:tcPr>
            <w:tcW w:w="14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残疾人事业</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1.75</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1.75</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272" w:hRule="exact"/>
        </w:trPr>
        <w:tc>
          <w:tcPr>
            <w:tcW w:w="58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20827</w:t>
            </w:r>
          </w:p>
        </w:tc>
        <w:tc>
          <w:tcPr>
            <w:tcW w:w="14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财政对其他社会保险基金的补助</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1.05</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1.05</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272" w:hRule="exact"/>
        </w:trPr>
        <w:tc>
          <w:tcPr>
            <w:tcW w:w="58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210</w:t>
            </w:r>
          </w:p>
        </w:tc>
        <w:tc>
          <w:tcPr>
            <w:tcW w:w="14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卫生健康支出</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192.25</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192.25</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272" w:hRule="exact"/>
        </w:trPr>
        <w:tc>
          <w:tcPr>
            <w:tcW w:w="58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21011</w:t>
            </w:r>
          </w:p>
        </w:tc>
        <w:tc>
          <w:tcPr>
            <w:tcW w:w="14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行政事业单位医疗</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174.79</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174.79</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272" w:hRule="exact"/>
        </w:trPr>
        <w:tc>
          <w:tcPr>
            <w:tcW w:w="58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211</w:t>
            </w:r>
          </w:p>
        </w:tc>
        <w:tc>
          <w:tcPr>
            <w:tcW w:w="14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节能环保支出</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29.99</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29.99</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272" w:hRule="exact"/>
        </w:trPr>
        <w:tc>
          <w:tcPr>
            <w:tcW w:w="58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21103</w:t>
            </w:r>
          </w:p>
        </w:tc>
        <w:tc>
          <w:tcPr>
            <w:tcW w:w="14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污染防治</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29.99</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29.99</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272" w:hRule="exact"/>
        </w:trPr>
        <w:tc>
          <w:tcPr>
            <w:tcW w:w="58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212</w:t>
            </w:r>
          </w:p>
        </w:tc>
        <w:tc>
          <w:tcPr>
            <w:tcW w:w="14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城乡社区支出</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3.13</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3.13</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272" w:hRule="exact"/>
        </w:trPr>
        <w:tc>
          <w:tcPr>
            <w:tcW w:w="58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213</w:t>
            </w:r>
          </w:p>
        </w:tc>
        <w:tc>
          <w:tcPr>
            <w:tcW w:w="14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农林水支出</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2,346.13</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2,335.04</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11.09</w:t>
            </w:r>
          </w:p>
        </w:tc>
      </w:tr>
      <w:tr>
        <w:tblPrEx>
          <w:tblCellMar>
            <w:top w:w="0" w:type="dxa"/>
            <w:left w:w="0" w:type="dxa"/>
            <w:bottom w:w="0" w:type="dxa"/>
            <w:right w:w="0" w:type="dxa"/>
          </w:tblCellMar>
        </w:tblPrEx>
        <w:trPr>
          <w:trHeight w:val="297" w:hRule="exact"/>
        </w:trPr>
        <w:tc>
          <w:tcPr>
            <w:tcW w:w="58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21301</w:t>
            </w:r>
          </w:p>
        </w:tc>
        <w:tc>
          <w:tcPr>
            <w:tcW w:w="14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农业农村</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1,714.65</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1,703.56</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11.09</w:t>
            </w:r>
          </w:p>
        </w:tc>
      </w:tr>
      <w:tr>
        <w:tblPrEx>
          <w:tblCellMar>
            <w:top w:w="0" w:type="dxa"/>
            <w:left w:w="0" w:type="dxa"/>
            <w:bottom w:w="0" w:type="dxa"/>
            <w:right w:w="0" w:type="dxa"/>
          </w:tblCellMar>
        </w:tblPrEx>
        <w:trPr>
          <w:trHeight w:val="272" w:hRule="exact"/>
        </w:trPr>
        <w:tc>
          <w:tcPr>
            <w:tcW w:w="58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2130101</w:t>
            </w:r>
          </w:p>
        </w:tc>
        <w:tc>
          <w:tcPr>
            <w:tcW w:w="14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541.97</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530.88</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11.09</w:t>
            </w:r>
          </w:p>
        </w:tc>
      </w:tr>
      <w:tr>
        <w:tblPrEx>
          <w:tblCellMar>
            <w:top w:w="0" w:type="dxa"/>
            <w:left w:w="0" w:type="dxa"/>
            <w:bottom w:w="0" w:type="dxa"/>
            <w:right w:w="0" w:type="dxa"/>
          </w:tblCellMar>
        </w:tblPrEx>
        <w:trPr>
          <w:trHeight w:val="272" w:hRule="exact"/>
        </w:trPr>
        <w:tc>
          <w:tcPr>
            <w:tcW w:w="58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21302</w:t>
            </w:r>
          </w:p>
        </w:tc>
        <w:tc>
          <w:tcPr>
            <w:tcW w:w="14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林业和草原</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170.09</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170.09</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272" w:hRule="exact"/>
        </w:trPr>
        <w:tc>
          <w:tcPr>
            <w:tcW w:w="58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2130211</w:t>
            </w:r>
          </w:p>
        </w:tc>
        <w:tc>
          <w:tcPr>
            <w:tcW w:w="14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 xml:space="preserve">  动植物保护</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10.71</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10.71</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272" w:hRule="exact"/>
        </w:trPr>
        <w:tc>
          <w:tcPr>
            <w:tcW w:w="58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2130234</w:t>
            </w:r>
          </w:p>
        </w:tc>
        <w:tc>
          <w:tcPr>
            <w:tcW w:w="14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 xml:space="preserve">  林业草原防灾减灾</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20.00</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20.00</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272" w:hRule="exact"/>
        </w:trPr>
        <w:tc>
          <w:tcPr>
            <w:tcW w:w="58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2130299</w:t>
            </w:r>
          </w:p>
        </w:tc>
        <w:tc>
          <w:tcPr>
            <w:tcW w:w="14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 xml:space="preserve">  其他林业和草原支出</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139.38</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139.38</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272" w:hRule="exact"/>
        </w:trPr>
        <w:tc>
          <w:tcPr>
            <w:tcW w:w="58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21305</w:t>
            </w:r>
          </w:p>
        </w:tc>
        <w:tc>
          <w:tcPr>
            <w:tcW w:w="14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巩固脱贫衔接乡村振兴</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301.12</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301.12</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272" w:hRule="exact"/>
        </w:trPr>
        <w:tc>
          <w:tcPr>
            <w:tcW w:w="58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221</w:t>
            </w:r>
          </w:p>
        </w:tc>
        <w:tc>
          <w:tcPr>
            <w:tcW w:w="14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住房保障支出</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26.05</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26.05</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272" w:hRule="exact"/>
        </w:trPr>
        <w:tc>
          <w:tcPr>
            <w:tcW w:w="58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229</w:t>
            </w:r>
          </w:p>
        </w:tc>
        <w:tc>
          <w:tcPr>
            <w:tcW w:w="14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sz w:val="18"/>
                <w:szCs w:val="18"/>
              </w:rPr>
            </w:pPr>
            <w:r>
              <w:rPr>
                <w:rFonts w:hint="eastAsia" w:ascii="宋体" w:hAnsi="宋体" w:eastAsia="宋体" w:cs="宋体"/>
                <w:i w:val="0"/>
                <w:iCs w:val="0"/>
                <w:color w:val="000000"/>
                <w:kern w:val="0"/>
                <w:sz w:val="18"/>
                <w:szCs w:val="18"/>
                <w:u w:val="none"/>
                <w:lang w:val="en-US" w:eastAsia="zh-CN" w:bidi="ar"/>
              </w:rPr>
              <w:t>其他支出</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813.34</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iCs w:val="0"/>
                <w:color w:val="000000"/>
                <w:kern w:val="0"/>
                <w:sz w:val="22"/>
                <w:szCs w:val="22"/>
                <w:u w:val="none"/>
                <w:lang w:val="en-US" w:eastAsia="zh-CN" w:bidi="ar"/>
              </w:rPr>
              <w:t>0.00</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813.34</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tbl>
      <w:tblPr>
        <w:tblStyle w:val="5"/>
        <w:tblpPr w:leftFromText="180" w:rightFromText="180" w:vertAnchor="text" w:horzAnchor="page" w:tblpX="467" w:tblpY="284"/>
        <w:tblOverlap w:val="never"/>
        <w:tblW w:w="4790" w:type="pct"/>
        <w:tblInd w:w="0" w:type="dxa"/>
        <w:tblLayout w:type="autofit"/>
        <w:tblCellMar>
          <w:top w:w="0" w:type="dxa"/>
          <w:left w:w="108" w:type="dxa"/>
          <w:bottom w:w="0" w:type="dxa"/>
          <w:right w:w="108" w:type="dxa"/>
        </w:tblCellMar>
      </w:tblPr>
      <w:tblGrid>
        <w:gridCol w:w="846"/>
        <w:gridCol w:w="140"/>
        <w:gridCol w:w="222"/>
        <w:gridCol w:w="2590"/>
        <w:gridCol w:w="1646"/>
        <w:gridCol w:w="1755"/>
        <w:gridCol w:w="1755"/>
        <w:gridCol w:w="1737"/>
        <w:gridCol w:w="1737"/>
        <w:gridCol w:w="2530"/>
      </w:tblGrid>
      <w:tr>
        <w:tblPrEx>
          <w:tblCellMar>
            <w:top w:w="0" w:type="dxa"/>
            <w:left w:w="108" w:type="dxa"/>
            <w:bottom w:w="0" w:type="dxa"/>
            <w:right w:w="108" w:type="dxa"/>
          </w:tblCellMar>
        </w:tblPrEx>
        <w:trPr>
          <w:trHeight w:val="90" w:hRule="atLeast"/>
        </w:trPr>
        <w:tc>
          <w:tcPr>
            <w:tcW w:w="5000" w:type="pct"/>
            <w:gridSpan w:val="10"/>
            <w:tcBorders>
              <w:top w:val="nil"/>
              <w:left w:val="nil"/>
              <w:bottom w:val="nil"/>
              <w:right w:val="nil"/>
            </w:tcBorders>
            <w:shd w:val="clear" w:color="auto" w:fill="auto"/>
            <w:noWrap/>
            <w:vAlign w:val="center"/>
          </w:tcPr>
          <w:p>
            <w:pPr>
              <w:widowControl/>
              <w:ind w:firstLine="6720" w:firstLineChars="2100"/>
              <w:jc w:val="both"/>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90" w:hRule="atLeast"/>
        </w:trPr>
        <w:tc>
          <w:tcPr>
            <w:tcW w:w="328" w:type="pct"/>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74"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69"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26"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91"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91"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85"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85"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46" w:type="pct"/>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90" w:hRule="atLeast"/>
        </w:trPr>
        <w:tc>
          <w:tcPr>
            <w:tcW w:w="328" w:type="pct"/>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74"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69"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26"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91"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91" w:type="pct"/>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5"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85" w:type="pct"/>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46" w:type="pct"/>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90" w:hRule="atLeast"/>
        </w:trPr>
        <w:tc>
          <w:tcPr>
            <w:tcW w:w="1272"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    目</w:t>
            </w:r>
          </w:p>
        </w:tc>
        <w:tc>
          <w:tcPr>
            <w:tcW w:w="526"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本年支出合计</w:t>
            </w:r>
          </w:p>
        </w:tc>
        <w:tc>
          <w:tcPr>
            <w:tcW w:w="59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基本支出</w:t>
            </w:r>
          </w:p>
        </w:tc>
        <w:tc>
          <w:tcPr>
            <w:tcW w:w="59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项目支出</w:t>
            </w:r>
          </w:p>
        </w:tc>
        <w:tc>
          <w:tcPr>
            <w:tcW w:w="58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上缴上级支出</w:t>
            </w:r>
          </w:p>
        </w:tc>
        <w:tc>
          <w:tcPr>
            <w:tcW w:w="58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经营支出</w:t>
            </w:r>
          </w:p>
        </w:tc>
        <w:tc>
          <w:tcPr>
            <w:tcW w:w="846"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对附属单位补助支出</w:t>
            </w:r>
          </w:p>
        </w:tc>
      </w:tr>
      <w:tr>
        <w:tblPrEx>
          <w:tblCellMar>
            <w:top w:w="0" w:type="dxa"/>
            <w:left w:w="108" w:type="dxa"/>
            <w:bottom w:w="0" w:type="dxa"/>
            <w:right w:w="108" w:type="dxa"/>
          </w:tblCellMar>
        </w:tblPrEx>
        <w:trPr>
          <w:trHeight w:val="312" w:hRule="atLeast"/>
        </w:trPr>
        <w:tc>
          <w:tcPr>
            <w:tcW w:w="27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功能分类科目编码</w:t>
            </w:r>
          </w:p>
        </w:tc>
        <w:tc>
          <w:tcPr>
            <w:tcW w:w="994" w:type="pct"/>
            <w:gridSpan w:val="3"/>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科目名称</w:t>
            </w:r>
          </w:p>
        </w:tc>
        <w:tc>
          <w:tcPr>
            <w:tcW w:w="52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9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9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8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8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12" w:hRule="atLeast"/>
        </w:trPr>
        <w:tc>
          <w:tcPr>
            <w:tcW w:w="27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994" w:type="pct"/>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2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9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9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8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8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90" w:hRule="atLeast"/>
        </w:trPr>
        <w:tc>
          <w:tcPr>
            <w:tcW w:w="1272" w:type="pct"/>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栏次</w:t>
            </w:r>
          </w:p>
        </w:tc>
        <w:tc>
          <w:tcPr>
            <w:tcW w:w="5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91"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591"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8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585"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84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90" w:hRule="atLeast"/>
        </w:trPr>
        <w:tc>
          <w:tcPr>
            <w:tcW w:w="1272" w:type="pct"/>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3,377.36</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974.96</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2,402.41</w:t>
            </w: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46"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90" w:hRule="atLeast"/>
        </w:trPr>
        <w:tc>
          <w:tcPr>
            <w:tcW w:w="2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201</w:t>
            </w:r>
          </w:p>
        </w:tc>
        <w:tc>
          <w:tcPr>
            <w:tcW w:w="994" w:type="pct"/>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2.03</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2.03</w:t>
            </w:r>
          </w:p>
        </w:tc>
        <w:tc>
          <w:tcPr>
            <w:tcW w:w="59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46"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90" w:hRule="atLeast"/>
        </w:trPr>
        <w:tc>
          <w:tcPr>
            <w:tcW w:w="2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20106</w:t>
            </w:r>
          </w:p>
        </w:tc>
        <w:tc>
          <w:tcPr>
            <w:tcW w:w="994" w:type="pct"/>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财政事务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1.51</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1.51</w:t>
            </w:r>
          </w:p>
        </w:tc>
        <w:tc>
          <w:tcPr>
            <w:tcW w:w="59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46"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90" w:hRule="atLeast"/>
        </w:trPr>
        <w:tc>
          <w:tcPr>
            <w:tcW w:w="2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20199</w:t>
            </w:r>
          </w:p>
        </w:tc>
        <w:tc>
          <w:tcPr>
            <w:tcW w:w="994" w:type="pct"/>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其他一般公共服务支出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0.52</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0.52</w:t>
            </w:r>
          </w:p>
        </w:tc>
        <w:tc>
          <w:tcPr>
            <w:tcW w:w="59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46"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90" w:hRule="atLeast"/>
        </w:trPr>
        <w:tc>
          <w:tcPr>
            <w:tcW w:w="2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208</w:t>
            </w:r>
          </w:p>
        </w:tc>
        <w:tc>
          <w:tcPr>
            <w:tcW w:w="994" w:type="pct"/>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44.89</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44.89</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0.00</w:t>
            </w: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46"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90" w:hRule="atLeast"/>
        </w:trPr>
        <w:tc>
          <w:tcPr>
            <w:tcW w:w="2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20805</w:t>
            </w:r>
          </w:p>
        </w:tc>
        <w:tc>
          <w:tcPr>
            <w:tcW w:w="994" w:type="pct"/>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34.59</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34.59</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0.00</w:t>
            </w: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46"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90" w:hRule="atLeast"/>
        </w:trPr>
        <w:tc>
          <w:tcPr>
            <w:tcW w:w="2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20811</w:t>
            </w:r>
          </w:p>
        </w:tc>
        <w:tc>
          <w:tcPr>
            <w:tcW w:w="994" w:type="pct"/>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残疾人事业</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1.75</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1.75</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0.00</w:t>
            </w: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846"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90" w:hRule="atLeast"/>
        </w:trPr>
        <w:tc>
          <w:tcPr>
            <w:tcW w:w="2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20827</w:t>
            </w:r>
          </w:p>
        </w:tc>
        <w:tc>
          <w:tcPr>
            <w:tcW w:w="994" w:type="pct"/>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财政对其他社会保险基金的补助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1.05</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1.05</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0.00</w:t>
            </w: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846"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90" w:hRule="atLeast"/>
        </w:trPr>
        <w:tc>
          <w:tcPr>
            <w:tcW w:w="2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210</w:t>
            </w:r>
          </w:p>
        </w:tc>
        <w:tc>
          <w:tcPr>
            <w:tcW w:w="994" w:type="pct"/>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192.25</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177.71</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14.54</w:t>
            </w: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846"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90" w:hRule="atLeast"/>
        </w:trPr>
        <w:tc>
          <w:tcPr>
            <w:tcW w:w="2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21011</w:t>
            </w:r>
          </w:p>
        </w:tc>
        <w:tc>
          <w:tcPr>
            <w:tcW w:w="994" w:type="pct"/>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17.46</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17.46</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0.00</w:t>
            </w: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846"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90" w:hRule="atLeast"/>
        </w:trPr>
        <w:tc>
          <w:tcPr>
            <w:tcW w:w="2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211</w:t>
            </w:r>
          </w:p>
        </w:tc>
        <w:tc>
          <w:tcPr>
            <w:tcW w:w="994" w:type="pct"/>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节能环保支出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29.99</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29.99</w:t>
            </w: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846"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90" w:hRule="atLeast"/>
        </w:trPr>
        <w:tc>
          <w:tcPr>
            <w:tcW w:w="2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21103</w:t>
            </w:r>
          </w:p>
        </w:tc>
        <w:tc>
          <w:tcPr>
            <w:tcW w:w="994" w:type="pct"/>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污染防治</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29.99</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0.00</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29.99</w:t>
            </w: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846"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90" w:hRule="atLeast"/>
        </w:trPr>
        <w:tc>
          <w:tcPr>
            <w:tcW w:w="2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212</w:t>
            </w:r>
          </w:p>
        </w:tc>
        <w:tc>
          <w:tcPr>
            <w:tcW w:w="994" w:type="pct"/>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城乡社区支出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3.13</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3.13</w:t>
            </w:r>
          </w:p>
        </w:tc>
        <w:tc>
          <w:tcPr>
            <w:tcW w:w="591"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846"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90" w:hRule="atLeast"/>
        </w:trPr>
        <w:tc>
          <w:tcPr>
            <w:tcW w:w="2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213</w:t>
            </w:r>
          </w:p>
        </w:tc>
        <w:tc>
          <w:tcPr>
            <w:tcW w:w="994" w:type="pct"/>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农林水支出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2,346.13</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582.17</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1,763.96</w:t>
            </w: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846"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90" w:hRule="atLeast"/>
        </w:trPr>
        <w:tc>
          <w:tcPr>
            <w:tcW w:w="2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21301</w:t>
            </w:r>
          </w:p>
        </w:tc>
        <w:tc>
          <w:tcPr>
            <w:tcW w:w="994" w:type="pct"/>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农业农村</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1,714.65</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568.09</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1,146.56</w:t>
            </w: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846"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90" w:hRule="atLeast"/>
        </w:trPr>
        <w:tc>
          <w:tcPr>
            <w:tcW w:w="2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2130101</w:t>
            </w:r>
          </w:p>
        </w:tc>
        <w:tc>
          <w:tcPr>
            <w:tcW w:w="994" w:type="pct"/>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541.97</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514.09</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27.88</w:t>
            </w: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846"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90" w:hRule="atLeast"/>
        </w:trPr>
        <w:tc>
          <w:tcPr>
            <w:tcW w:w="2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21302</w:t>
            </w:r>
          </w:p>
        </w:tc>
        <w:tc>
          <w:tcPr>
            <w:tcW w:w="994" w:type="pct"/>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林业和草原</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170.09</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0.70</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169.40</w:t>
            </w: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846"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82" w:hRule="atLeast"/>
        </w:trPr>
        <w:tc>
          <w:tcPr>
            <w:tcW w:w="2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21305</w:t>
            </w:r>
          </w:p>
        </w:tc>
        <w:tc>
          <w:tcPr>
            <w:tcW w:w="994" w:type="pct"/>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巩固脱贫衔接乡村振兴</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301.12</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13.38</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287.73</w:t>
            </w: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846"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90" w:hRule="atLeast"/>
        </w:trPr>
        <w:tc>
          <w:tcPr>
            <w:tcW w:w="2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221</w:t>
            </w:r>
          </w:p>
        </w:tc>
        <w:tc>
          <w:tcPr>
            <w:tcW w:w="994" w:type="pct"/>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住房保障支出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26.05</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26.05</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18"/>
                <w:szCs w:val="18"/>
                <w:u w:val="none"/>
                <w:lang w:val="en-US" w:eastAsia="zh-CN" w:bidi="ar"/>
              </w:rPr>
              <w:t>0.00</w:t>
            </w: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846"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90" w:hRule="atLeast"/>
        </w:trPr>
        <w:tc>
          <w:tcPr>
            <w:tcW w:w="27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229</w:t>
            </w:r>
          </w:p>
        </w:tc>
        <w:tc>
          <w:tcPr>
            <w:tcW w:w="994" w:type="pct"/>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18"/>
                <w:szCs w:val="18"/>
                <w:u w:val="none"/>
                <w:lang w:val="en-US" w:eastAsia="zh-CN" w:bidi="ar"/>
              </w:rPr>
              <w:t>其他支出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732.90</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138.98</w:t>
            </w:r>
          </w:p>
        </w:tc>
        <w:tc>
          <w:tcPr>
            <w:tcW w:w="175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18"/>
                <w:szCs w:val="18"/>
              </w:rPr>
            </w:pPr>
            <w:r>
              <w:rPr>
                <w:rFonts w:hint="eastAsia" w:ascii="宋体" w:hAnsi="宋体" w:eastAsia="宋体" w:cs="宋体"/>
                <w:i w:val="0"/>
                <w:iCs w:val="0"/>
                <w:color w:val="000000"/>
                <w:kern w:val="0"/>
                <w:sz w:val="22"/>
                <w:szCs w:val="22"/>
                <w:u w:val="none"/>
                <w:lang w:val="en-US" w:eastAsia="zh-CN" w:bidi="ar"/>
              </w:rPr>
              <w:t>593.92</w:t>
            </w: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585"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846"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90" w:hRule="atLeast"/>
        </w:trPr>
        <w:tc>
          <w:tcPr>
            <w:tcW w:w="5000" w:type="pct"/>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left"/>
        <w:rPr>
          <w:rFonts w:ascii="Times New Roman" w:hAnsi="Times New Roman" w:eastAsia="黑体" w:cs="Times New Roman"/>
          <w:bCs/>
          <w:kern w:val="0"/>
          <w:sz w:val="32"/>
          <w:szCs w:val="32"/>
        </w:rPr>
      </w:pPr>
    </w:p>
    <w:p>
      <w:pPr>
        <w:widowControl/>
        <w:rPr>
          <w:rFonts w:ascii="Times New Roman" w:hAnsi="Times New Roman" w:eastAsia="方正小标宋_GBK" w:cs="Times New Roman"/>
          <w:color w:val="000000"/>
          <w:kern w:val="0"/>
          <w:sz w:val="36"/>
          <w:szCs w:val="36"/>
        </w:rPr>
      </w:pPr>
    </w:p>
    <w:p>
      <w:pPr>
        <w:widowControl/>
        <w:jc w:val="both"/>
        <w:rPr>
          <w:rFonts w:ascii="Times New Roman" w:hAnsi="Times New Roman" w:eastAsia="方正小标宋_GBK" w:cs="Times New Roman"/>
          <w:color w:val="000000"/>
          <w:kern w:val="0"/>
          <w:sz w:val="36"/>
          <w:szCs w:val="21"/>
        </w:rPr>
      </w:pPr>
    </w:p>
    <w:tbl>
      <w:tblPr>
        <w:tblStyle w:val="5"/>
        <w:tblW w:w="15521" w:type="dxa"/>
        <w:tblInd w:w="93" w:type="dxa"/>
        <w:tblLayout w:type="fixed"/>
        <w:tblCellMar>
          <w:top w:w="0" w:type="dxa"/>
          <w:left w:w="108" w:type="dxa"/>
          <w:bottom w:w="0" w:type="dxa"/>
          <w:right w:w="108" w:type="dxa"/>
        </w:tblCellMar>
      </w:tblPr>
      <w:tblGrid>
        <w:gridCol w:w="3347"/>
        <w:gridCol w:w="465"/>
        <w:gridCol w:w="1297"/>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347"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6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793"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34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6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9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347"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6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9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34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34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34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2,633.38</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4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9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sz w:val="22"/>
                <w:szCs w:val="22"/>
                <w:u w:val="none"/>
                <w:lang w:eastAsia="zh-CN"/>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44.89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44.89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4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9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192.25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192.25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4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9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29.99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29.99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4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9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3.13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3.13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4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9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4"/>
                <w:szCs w:val="24"/>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2,335.04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2,335.04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4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9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4"/>
                <w:szCs w:val="24"/>
              </w:rPr>
            </w:pPr>
            <w:r>
              <w:rPr>
                <w:rFonts w:hint="eastAsia" w:ascii="宋体" w:hAnsi="宋体" w:eastAsia="宋体" w:cs="宋体"/>
                <w:i w:val="0"/>
                <w:color w:val="000000"/>
                <w:sz w:val="22"/>
                <w:szCs w:val="22"/>
                <w:u w:val="none"/>
                <w:lang w:val="en-US" w:eastAsia="zh-CN"/>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26.05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18"/>
                <w:szCs w:val="18"/>
                <w:u w:val="none"/>
                <w:lang w:val="en-US" w:eastAsia="zh-CN" w:bidi="ar"/>
              </w:rPr>
              <w:t>26.05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4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lang w:eastAsia="zh-CN"/>
              </w:rPr>
            </w:pPr>
            <w:r>
              <w:rPr>
                <w:rFonts w:hint="eastAsia" w:ascii="宋体" w:hAnsi="宋体" w:eastAsia="宋体" w:cs="宋体"/>
                <w:kern w:val="0"/>
                <w:sz w:val="22"/>
                <w:lang w:eastAsia="zh-CN"/>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4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2,633.38</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2,633.38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2,633.38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34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9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18"/>
                <w:szCs w:val="18"/>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4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9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4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9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4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9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34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2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2,633.38</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2,633.38</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2,633.38</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268"/>
        <w:gridCol w:w="3259"/>
        <w:gridCol w:w="3492"/>
        <w:gridCol w:w="3000"/>
      </w:tblGrid>
      <w:tr>
        <w:tblPrEx>
          <w:tblCellMar>
            <w:top w:w="0" w:type="dxa"/>
            <w:left w:w="108" w:type="dxa"/>
            <w:bottom w:w="0" w:type="dxa"/>
            <w:right w:w="108" w:type="dxa"/>
          </w:tblCellMar>
        </w:tblPrEx>
        <w:trPr>
          <w:trHeight w:val="405" w:hRule="atLeast"/>
          <w:jc w:val="center"/>
        </w:trPr>
        <w:tc>
          <w:tcPr>
            <w:tcW w:w="4468"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751"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2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6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5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6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5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270" w:hRule="atLeast"/>
          <w:jc w:val="center"/>
        </w:trPr>
        <w:tc>
          <w:tcPr>
            <w:tcW w:w="446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25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255" w:hRule="atLeast"/>
          <w:jc w:val="center"/>
        </w:trPr>
        <w:tc>
          <w:tcPr>
            <w:tcW w:w="446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2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2,633.38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824.90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1,808.48</w:t>
            </w:r>
          </w:p>
        </w:tc>
      </w:tr>
      <w:tr>
        <w:tblPrEx>
          <w:tblCellMar>
            <w:top w:w="0" w:type="dxa"/>
            <w:left w:w="108" w:type="dxa"/>
            <w:bottom w:w="0" w:type="dxa"/>
            <w:right w:w="108" w:type="dxa"/>
          </w:tblCellMar>
        </w:tblPrEx>
        <w:trPr>
          <w:trHeight w:val="272"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18"/>
                <w:szCs w:val="18"/>
                <w:u w:val="none"/>
                <w:lang w:val="en-US" w:eastAsia="zh-CN" w:bidi="ar"/>
              </w:rPr>
              <w:t>201</w:t>
            </w:r>
          </w:p>
        </w:tc>
        <w:tc>
          <w:tcPr>
            <w:tcW w:w="3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18"/>
                <w:szCs w:val="18"/>
                <w:u w:val="none"/>
                <w:lang w:val="en-US" w:eastAsia="zh-CN" w:bidi="ar"/>
              </w:rPr>
              <w:t>一般公共服务支出</w:t>
            </w:r>
          </w:p>
        </w:tc>
        <w:tc>
          <w:tcPr>
            <w:tcW w:w="32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Times New Roman" w:hAnsi="Times New Roman" w:eastAsia="仿宋_GB2312" w:cs="Times New Roman"/>
                <w:kern w:val="0"/>
                <w:szCs w:val="21"/>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18"/>
                <w:szCs w:val="18"/>
                <w:u w:val="none"/>
                <w:lang w:val="en-US" w:eastAsia="zh-CN" w:bidi="ar"/>
              </w:rPr>
              <w:t>20106</w:t>
            </w:r>
          </w:p>
        </w:tc>
        <w:tc>
          <w:tcPr>
            <w:tcW w:w="3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18"/>
                <w:szCs w:val="18"/>
                <w:u w:val="none"/>
                <w:lang w:val="en-US" w:eastAsia="zh-CN" w:bidi="ar"/>
              </w:rPr>
              <w:t>财政事务</w:t>
            </w:r>
          </w:p>
        </w:tc>
        <w:tc>
          <w:tcPr>
            <w:tcW w:w="32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1.51</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18"/>
                <w:szCs w:val="18"/>
                <w:u w:val="none"/>
                <w:lang w:val="en-US" w:eastAsia="zh-CN" w:bidi="ar"/>
              </w:rPr>
              <w:t>20199</w:t>
            </w:r>
          </w:p>
        </w:tc>
        <w:tc>
          <w:tcPr>
            <w:tcW w:w="3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18"/>
                <w:szCs w:val="18"/>
                <w:u w:val="none"/>
                <w:lang w:val="en-US" w:eastAsia="zh-CN" w:bidi="ar"/>
              </w:rPr>
              <w:t>其他一般公共服务支出</w:t>
            </w:r>
          </w:p>
        </w:tc>
        <w:tc>
          <w:tcPr>
            <w:tcW w:w="32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0.52</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18"/>
                <w:szCs w:val="18"/>
                <w:u w:val="none"/>
                <w:lang w:val="en-US" w:eastAsia="zh-CN" w:bidi="ar"/>
              </w:rPr>
              <w:t>208</w:t>
            </w:r>
          </w:p>
        </w:tc>
        <w:tc>
          <w:tcPr>
            <w:tcW w:w="3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32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44.89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44.89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18"/>
                <w:szCs w:val="18"/>
                <w:u w:val="none"/>
                <w:lang w:val="en-US" w:eastAsia="zh-CN" w:bidi="ar"/>
              </w:rPr>
              <w:t>20805</w:t>
            </w:r>
          </w:p>
        </w:tc>
        <w:tc>
          <w:tcPr>
            <w:tcW w:w="3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32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34.59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34.59</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18"/>
                <w:szCs w:val="18"/>
                <w:u w:val="none"/>
                <w:lang w:val="en-US" w:eastAsia="zh-CN" w:bidi="ar"/>
              </w:rPr>
              <w:t>20811</w:t>
            </w:r>
          </w:p>
        </w:tc>
        <w:tc>
          <w:tcPr>
            <w:tcW w:w="3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18"/>
                <w:szCs w:val="18"/>
                <w:u w:val="none"/>
                <w:lang w:val="en-US" w:eastAsia="zh-CN" w:bidi="ar"/>
              </w:rPr>
              <w:t>残疾人事业</w:t>
            </w:r>
          </w:p>
        </w:tc>
        <w:tc>
          <w:tcPr>
            <w:tcW w:w="32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1.75</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18"/>
                <w:szCs w:val="18"/>
                <w:u w:val="none"/>
                <w:lang w:val="en-US" w:eastAsia="zh-CN" w:bidi="ar"/>
              </w:rPr>
              <w:t>20827</w:t>
            </w:r>
          </w:p>
        </w:tc>
        <w:tc>
          <w:tcPr>
            <w:tcW w:w="3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18"/>
                <w:szCs w:val="18"/>
                <w:u w:val="none"/>
                <w:lang w:val="en-US" w:eastAsia="zh-CN" w:bidi="ar"/>
              </w:rPr>
              <w:t>财政对其他社会保险基金的补助</w:t>
            </w:r>
          </w:p>
        </w:tc>
        <w:tc>
          <w:tcPr>
            <w:tcW w:w="32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1.05</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18"/>
                <w:szCs w:val="18"/>
                <w:u w:val="none"/>
                <w:lang w:val="en-US" w:eastAsia="zh-CN" w:bidi="ar"/>
              </w:rPr>
              <w:t>210</w:t>
            </w:r>
          </w:p>
        </w:tc>
        <w:tc>
          <w:tcPr>
            <w:tcW w:w="3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18"/>
                <w:szCs w:val="18"/>
                <w:u w:val="none"/>
                <w:lang w:val="en-US" w:eastAsia="zh-CN" w:bidi="ar"/>
              </w:rPr>
              <w:t>卫生健康支出</w:t>
            </w:r>
          </w:p>
        </w:tc>
        <w:tc>
          <w:tcPr>
            <w:tcW w:w="32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192.25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177.71</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14.54</w:t>
            </w:r>
          </w:p>
        </w:tc>
      </w:tr>
      <w:tr>
        <w:tblPrEx>
          <w:tblCellMar>
            <w:top w:w="0" w:type="dxa"/>
            <w:left w:w="108" w:type="dxa"/>
            <w:bottom w:w="0" w:type="dxa"/>
            <w:right w:w="108" w:type="dxa"/>
          </w:tblCellMar>
        </w:tblPrEx>
        <w:trPr>
          <w:trHeight w:val="272"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18"/>
                <w:szCs w:val="18"/>
                <w:u w:val="none"/>
                <w:lang w:val="en-US" w:eastAsia="zh-CN" w:bidi="ar"/>
              </w:rPr>
              <w:t>21011</w:t>
            </w:r>
          </w:p>
        </w:tc>
        <w:tc>
          <w:tcPr>
            <w:tcW w:w="3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18"/>
                <w:szCs w:val="18"/>
                <w:u w:val="none"/>
                <w:lang w:val="en-US" w:eastAsia="zh-CN" w:bidi="ar"/>
              </w:rPr>
              <w:t>行政事业单位医疗</w:t>
            </w:r>
          </w:p>
        </w:tc>
        <w:tc>
          <w:tcPr>
            <w:tcW w:w="32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17.46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17.46</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18"/>
                <w:szCs w:val="18"/>
                <w:u w:val="none"/>
                <w:lang w:val="en-US" w:eastAsia="zh-CN" w:bidi="ar"/>
              </w:rPr>
              <w:t>211</w:t>
            </w:r>
          </w:p>
        </w:tc>
        <w:tc>
          <w:tcPr>
            <w:tcW w:w="3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18"/>
                <w:szCs w:val="18"/>
                <w:u w:val="none"/>
                <w:lang w:val="en-US" w:eastAsia="zh-CN" w:bidi="ar"/>
              </w:rPr>
              <w:t>节能环保支出</w:t>
            </w:r>
          </w:p>
        </w:tc>
        <w:tc>
          <w:tcPr>
            <w:tcW w:w="32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29.99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29.99</w:t>
            </w:r>
          </w:p>
        </w:tc>
      </w:tr>
      <w:tr>
        <w:tblPrEx>
          <w:tblCellMar>
            <w:top w:w="0" w:type="dxa"/>
            <w:left w:w="108" w:type="dxa"/>
            <w:bottom w:w="0" w:type="dxa"/>
            <w:right w:w="108" w:type="dxa"/>
          </w:tblCellMar>
        </w:tblPrEx>
        <w:trPr>
          <w:trHeight w:val="272"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18"/>
                <w:szCs w:val="18"/>
                <w:u w:val="none"/>
                <w:lang w:val="en-US" w:eastAsia="zh-CN" w:bidi="ar"/>
              </w:rPr>
              <w:t>21103</w:t>
            </w:r>
          </w:p>
        </w:tc>
        <w:tc>
          <w:tcPr>
            <w:tcW w:w="3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18"/>
                <w:szCs w:val="18"/>
                <w:u w:val="none"/>
                <w:lang w:val="en-US" w:eastAsia="zh-CN" w:bidi="ar"/>
              </w:rPr>
              <w:t>污染防治</w:t>
            </w:r>
          </w:p>
        </w:tc>
        <w:tc>
          <w:tcPr>
            <w:tcW w:w="32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29.99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29.99</w:t>
            </w:r>
          </w:p>
        </w:tc>
      </w:tr>
      <w:tr>
        <w:tblPrEx>
          <w:tblCellMar>
            <w:top w:w="0" w:type="dxa"/>
            <w:left w:w="108" w:type="dxa"/>
            <w:bottom w:w="0" w:type="dxa"/>
            <w:right w:w="108" w:type="dxa"/>
          </w:tblCellMar>
        </w:tblPrEx>
        <w:trPr>
          <w:trHeight w:val="272"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18"/>
                <w:szCs w:val="18"/>
                <w:u w:val="none"/>
                <w:lang w:val="en-US" w:eastAsia="zh-CN" w:bidi="ar"/>
              </w:rPr>
              <w:t>212</w:t>
            </w:r>
          </w:p>
        </w:tc>
        <w:tc>
          <w:tcPr>
            <w:tcW w:w="3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18"/>
                <w:szCs w:val="18"/>
                <w:u w:val="none"/>
                <w:lang w:val="en-US" w:eastAsia="zh-CN" w:bidi="ar"/>
              </w:rPr>
              <w:t>城乡社区支出</w:t>
            </w:r>
          </w:p>
        </w:tc>
        <w:tc>
          <w:tcPr>
            <w:tcW w:w="32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18"/>
                <w:szCs w:val="18"/>
                <w:u w:val="none"/>
                <w:lang w:val="en-US" w:eastAsia="zh-CN" w:bidi="ar"/>
              </w:rPr>
              <w:t>213</w:t>
            </w:r>
          </w:p>
        </w:tc>
        <w:tc>
          <w:tcPr>
            <w:tcW w:w="3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18"/>
                <w:szCs w:val="18"/>
                <w:u w:val="none"/>
                <w:lang w:val="en-US" w:eastAsia="zh-CN" w:bidi="ar"/>
              </w:rPr>
              <w:t>农林水支出</w:t>
            </w:r>
          </w:p>
        </w:tc>
        <w:tc>
          <w:tcPr>
            <w:tcW w:w="32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2,335.04</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571.08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1,763.96</w:t>
            </w:r>
          </w:p>
        </w:tc>
      </w:tr>
      <w:tr>
        <w:tblPrEx>
          <w:tblCellMar>
            <w:top w:w="0" w:type="dxa"/>
            <w:left w:w="108" w:type="dxa"/>
            <w:bottom w:w="0" w:type="dxa"/>
            <w:right w:w="108" w:type="dxa"/>
          </w:tblCellMar>
        </w:tblPrEx>
        <w:trPr>
          <w:trHeight w:val="272"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18"/>
                <w:szCs w:val="18"/>
                <w:u w:val="none"/>
                <w:lang w:val="en-US" w:eastAsia="zh-CN" w:bidi="ar"/>
              </w:rPr>
              <w:t>21301</w:t>
            </w:r>
          </w:p>
        </w:tc>
        <w:tc>
          <w:tcPr>
            <w:tcW w:w="3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18"/>
                <w:szCs w:val="18"/>
                <w:u w:val="none"/>
                <w:lang w:val="en-US" w:eastAsia="zh-CN" w:bidi="ar"/>
              </w:rPr>
              <w:t>农业农村</w:t>
            </w:r>
          </w:p>
        </w:tc>
        <w:tc>
          <w:tcPr>
            <w:tcW w:w="32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1,703.56</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557.00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1,146.56</w:t>
            </w:r>
          </w:p>
        </w:tc>
      </w:tr>
      <w:tr>
        <w:tblPrEx>
          <w:tblCellMar>
            <w:top w:w="0" w:type="dxa"/>
            <w:left w:w="108" w:type="dxa"/>
            <w:bottom w:w="0" w:type="dxa"/>
            <w:right w:w="108" w:type="dxa"/>
          </w:tblCellMar>
        </w:tblPrEx>
        <w:trPr>
          <w:trHeight w:val="272"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18"/>
                <w:szCs w:val="18"/>
                <w:u w:val="none"/>
                <w:lang w:val="en-US" w:eastAsia="zh-CN" w:bidi="ar"/>
              </w:rPr>
              <w:t>2130101</w:t>
            </w:r>
          </w:p>
        </w:tc>
        <w:tc>
          <w:tcPr>
            <w:tcW w:w="3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32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530.88</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503.00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27.88</w:t>
            </w:r>
          </w:p>
        </w:tc>
      </w:tr>
      <w:tr>
        <w:tblPrEx>
          <w:tblCellMar>
            <w:top w:w="0" w:type="dxa"/>
            <w:left w:w="108" w:type="dxa"/>
            <w:bottom w:w="0" w:type="dxa"/>
            <w:right w:w="108" w:type="dxa"/>
          </w:tblCellMar>
        </w:tblPrEx>
        <w:trPr>
          <w:trHeight w:val="272"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18"/>
                <w:szCs w:val="18"/>
                <w:u w:val="none"/>
                <w:lang w:val="en-US" w:eastAsia="zh-CN" w:bidi="ar"/>
              </w:rPr>
              <w:t>21302</w:t>
            </w:r>
          </w:p>
        </w:tc>
        <w:tc>
          <w:tcPr>
            <w:tcW w:w="3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18"/>
                <w:szCs w:val="18"/>
                <w:u w:val="none"/>
                <w:lang w:val="en-US" w:eastAsia="zh-CN" w:bidi="ar"/>
              </w:rPr>
              <w:t>林业和草原</w:t>
            </w:r>
          </w:p>
        </w:tc>
        <w:tc>
          <w:tcPr>
            <w:tcW w:w="32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170.09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0.70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169.40</w:t>
            </w:r>
          </w:p>
        </w:tc>
      </w:tr>
      <w:tr>
        <w:tblPrEx>
          <w:tblCellMar>
            <w:top w:w="0" w:type="dxa"/>
            <w:left w:w="108" w:type="dxa"/>
            <w:bottom w:w="0" w:type="dxa"/>
            <w:right w:w="108" w:type="dxa"/>
          </w:tblCellMar>
        </w:tblPrEx>
        <w:trPr>
          <w:trHeight w:val="272"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18"/>
                <w:szCs w:val="18"/>
                <w:u w:val="none"/>
                <w:lang w:val="en-US" w:eastAsia="zh-CN" w:bidi="ar"/>
              </w:rPr>
              <w:t>21305</w:t>
            </w:r>
          </w:p>
        </w:tc>
        <w:tc>
          <w:tcPr>
            <w:tcW w:w="3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18"/>
                <w:szCs w:val="18"/>
                <w:u w:val="none"/>
                <w:lang w:val="en-US" w:eastAsia="zh-CN" w:bidi="ar"/>
              </w:rPr>
              <w:t>巩固脱贫衔接乡村振兴</w:t>
            </w:r>
          </w:p>
        </w:tc>
        <w:tc>
          <w:tcPr>
            <w:tcW w:w="32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301.12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13.38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287.73</w:t>
            </w:r>
          </w:p>
        </w:tc>
      </w:tr>
      <w:tr>
        <w:tblPrEx>
          <w:tblCellMar>
            <w:top w:w="0" w:type="dxa"/>
            <w:left w:w="108" w:type="dxa"/>
            <w:bottom w:w="0" w:type="dxa"/>
            <w:right w:w="108" w:type="dxa"/>
          </w:tblCellMar>
        </w:tblPrEx>
        <w:trPr>
          <w:trHeight w:val="272"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18"/>
                <w:szCs w:val="18"/>
                <w:u w:val="none"/>
                <w:lang w:val="en-US" w:eastAsia="zh-CN" w:bidi="ar"/>
              </w:rPr>
              <w:t>221</w:t>
            </w:r>
          </w:p>
        </w:tc>
        <w:tc>
          <w:tcPr>
            <w:tcW w:w="3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18"/>
                <w:szCs w:val="18"/>
                <w:u w:val="none"/>
                <w:lang w:val="en-US" w:eastAsia="zh-CN" w:bidi="ar"/>
              </w:rPr>
              <w:t>住房保障支出</w:t>
            </w:r>
          </w:p>
        </w:tc>
        <w:tc>
          <w:tcPr>
            <w:tcW w:w="32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26.05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26.05</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72" w:hRule="exac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18"/>
                <w:szCs w:val="18"/>
                <w:u w:val="none"/>
                <w:lang w:val="en-US" w:eastAsia="zh-CN" w:bidi="ar"/>
              </w:rPr>
              <w:t>229</w:t>
            </w:r>
          </w:p>
        </w:tc>
        <w:tc>
          <w:tcPr>
            <w:tcW w:w="326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18"/>
                <w:szCs w:val="18"/>
                <w:u w:val="none"/>
                <w:lang w:val="en-US" w:eastAsia="zh-CN" w:bidi="ar"/>
              </w:rPr>
              <w:t>其他支出</w:t>
            </w:r>
          </w:p>
        </w:tc>
        <w:tc>
          <w:tcPr>
            <w:tcW w:w="325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732.90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138.98</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593.92</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p>
    <w:tbl>
      <w:tblPr>
        <w:tblStyle w:val="5"/>
        <w:tblW w:w="0" w:type="auto"/>
        <w:tblInd w:w="0" w:type="dxa"/>
        <w:tblLayout w:type="fixed"/>
        <w:tblCellMar>
          <w:top w:w="0" w:type="dxa"/>
          <w:left w:w="108" w:type="dxa"/>
          <w:bottom w:w="0" w:type="dxa"/>
          <w:right w:w="108" w:type="dxa"/>
        </w:tblCellMar>
      </w:tblPr>
      <w:tblGrid>
        <w:gridCol w:w="890"/>
        <w:gridCol w:w="113"/>
        <w:gridCol w:w="240"/>
        <w:gridCol w:w="1402"/>
        <w:gridCol w:w="1530"/>
        <w:gridCol w:w="589"/>
        <w:gridCol w:w="587"/>
        <w:gridCol w:w="909"/>
        <w:gridCol w:w="623"/>
        <w:gridCol w:w="1387"/>
        <w:gridCol w:w="732"/>
        <w:gridCol w:w="535"/>
        <w:gridCol w:w="942"/>
        <w:gridCol w:w="642"/>
        <w:gridCol w:w="2119"/>
        <w:gridCol w:w="1124"/>
        <w:gridCol w:w="996"/>
        <w:gridCol w:w="254"/>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8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0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88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7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22"/>
                <w:szCs w:val="22"/>
                <w:u w:val="none"/>
                <w:lang w:val="en-US" w:eastAsia="zh-CN" w:bidi="ar"/>
              </w:rPr>
              <w:t>409.44</w:t>
            </w:r>
          </w:p>
        </w:tc>
        <w:tc>
          <w:tcPr>
            <w:tcW w:w="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0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2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22"/>
                <w:szCs w:val="22"/>
                <w:u w:val="none"/>
                <w:lang w:val="en-US" w:eastAsia="zh-CN" w:bidi="ar"/>
              </w:rPr>
              <w:t>266.07</w:t>
            </w:r>
          </w:p>
        </w:tc>
        <w:tc>
          <w:tcPr>
            <w:tcW w:w="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8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25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284" w:hRule="exact"/>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7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22"/>
                <w:szCs w:val="22"/>
                <w:u w:val="none"/>
                <w:lang w:val="en-US" w:eastAsia="zh-CN" w:bidi="ar"/>
              </w:rPr>
              <w:t>106.97</w:t>
            </w:r>
          </w:p>
        </w:tc>
        <w:tc>
          <w:tcPr>
            <w:tcW w:w="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0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2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22"/>
                <w:szCs w:val="22"/>
                <w:u w:val="none"/>
                <w:lang w:val="en-US" w:eastAsia="zh-CN" w:bidi="ar"/>
              </w:rPr>
              <w:t>10.80</w:t>
            </w:r>
          </w:p>
        </w:tc>
        <w:tc>
          <w:tcPr>
            <w:tcW w:w="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8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25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284" w:hRule="exact"/>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7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22"/>
                <w:szCs w:val="22"/>
                <w:u w:val="none"/>
                <w:lang w:val="en-US" w:eastAsia="zh-CN" w:bidi="ar"/>
              </w:rPr>
              <w:t>86.43</w:t>
            </w:r>
          </w:p>
        </w:tc>
        <w:tc>
          <w:tcPr>
            <w:tcW w:w="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0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2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22"/>
                <w:szCs w:val="22"/>
                <w:u w:val="none"/>
                <w:lang w:val="en-US" w:eastAsia="zh-CN" w:bidi="ar"/>
              </w:rPr>
              <w:t>3.40</w:t>
            </w:r>
          </w:p>
        </w:tc>
        <w:tc>
          <w:tcPr>
            <w:tcW w:w="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8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25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284" w:hRule="exact"/>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7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22"/>
                <w:szCs w:val="22"/>
                <w:u w:val="none"/>
                <w:lang w:val="en-US" w:eastAsia="zh-CN" w:bidi="ar"/>
              </w:rPr>
              <w:t>118.84</w:t>
            </w:r>
          </w:p>
        </w:tc>
        <w:tc>
          <w:tcPr>
            <w:tcW w:w="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0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2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22"/>
                <w:szCs w:val="22"/>
                <w:u w:val="none"/>
                <w:lang w:val="en-US" w:eastAsia="zh-CN" w:bidi="ar"/>
              </w:rPr>
              <w:t>8.10</w:t>
            </w:r>
          </w:p>
        </w:tc>
        <w:tc>
          <w:tcPr>
            <w:tcW w:w="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8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25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6.83</w:t>
            </w:r>
          </w:p>
        </w:tc>
      </w:tr>
      <w:tr>
        <w:tblPrEx>
          <w:tblCellMar>
            <w:top w:w="0" w:type="dxa"/>
            <w:left w:w="108" w:type="dxa"/>
            <w:bottom w:w="0" w:type="dxa"/>
            <w:right w:w="108" w:type="dxa"/>
          </w:tblCellMar>
        </w:tblPrEx>
        <w:trPr>
          <w:trHeight w:val="284" w:hRule="exact"/>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7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c>
          <w:tcPr>
            <w:tcW w:w="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0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2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22"/>
                <w:szCs w:val="22"/>
                <w:u w:val="none"/>
                <w:lang w:val="en-US" w:eastAsia="zh-CN" w:bidi="ar"/>
              </w:rPr>
              <w:t>0.00</w:t>
            </w:r>
          </w:p>
        </w:tc>
        <w:tc>
          <w:tcPr>
            <w:tcW w:w="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8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25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284" w:hRule="exact"/>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7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22"/>
                <w:szCs w:val="22"/>
                <w:u w:val="none"/>
                <w:lang w:val="en-US" w:eastAsia="zh-CN" w:bidi="ar"/>
              </w:rPr>
              <w:t>5.63</w:t>
            </w:r>
          </w:p>
        </w:tc>
        <w:tc>
          <w:tcPr>
            <w:tcW w:w="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0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2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22"/>
                <w:szCs w:val="22"/>
                <w:u w:val="none"/>
                <w:lang w:val="en-US" w:eastAsia="zh-CN" w:bidi="ar"/>
              </w:rPr>
              <w:t>0.36</w:t>
            </w:r>
          </w:p>
        </w:tc>
        <w:tc>
          <w:tcPr>
            <w:tcW w:w="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8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25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284" w:hRule="exact"/>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7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22"/>
                <w:szCs w:val="22"/>
                <w:u w:val="none"/>
                <w:lang w:val="en-US" w:eastAsia="zh-CN" w:bidi="ar"/>
              </w:rPr>
              <w:t>34.59</w:t>
            </w:r>
          </w:p>
        </w:tc>
        <w:tc>
          <w:tcPr>
            <w:tcW w:w="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0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2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22"/>
                <w:szCs w:val="22"/>
                <w:u w:val="none"/>
                <w:lang w:val="en-US" w:eastAsia="zh-CN" w:bidi="ar"/>
              </w:rPr>
              <w:t>5.46</w:t>
            </w:r>
          </w:p>
        </w:tc>
        <w:tc>
          <w:tcPr>
            <w:tcW w:w="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8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25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284" w:hRule="exact"/>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7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c>
          <w:tcPr>
            <w:tcW w:w="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0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2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22"/>
                <w:szCs w:val="22"/>
                <w:u w:val="none"/>
                <w:lang w:val="en-US" w:eastAsia="zh-CN" w:bidi="ar"/>
              </w:rPr>
              <w:t>0.62</w:t>
            </w:r>
          </w:p>
        </w:tc>
        <w:tc>
          <w:tcPr>
            <w:tcW w:w="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8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25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284" w:hRule="exact"/>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7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22"/>
                <w:szCs w:val="22"/>
                <w:u w:val="none"/>
                <w:lang w:val="en-US" w:eastAsia="zh-CN" w:bidi="ar"/>
              </w:rPr>
              <w:t>17.47</w:t>
            </w:r>
          </w:p>
        </w:tc>
        <w:tc>
          <w:tcPr>
            <w:tcW w:w="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0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26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c>
          <w:tcPr>
            <w:tcW w:w="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8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25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284" w:hRule="exact"/>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7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c>
          <w:tcPr>
            <w:tcW w:w="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0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26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c>
          <w:tcPr>
            <w:tcW w:w="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8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25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259" w:hRule="exact"/>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7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22"/>
                <w:szCs w:val="22"/>
                <w:u w:val="none"/>
                <w:lang w:val="en-US" w:eastAsia="zh-CN" w:bidi="ar"/>
              </w:rPr>
              <w:t>1.05</w:t>
            </w:r>
          </w:p>
        </w:tc>
        <w:tc>
          <w:tcPr>
            <w:tcW w:w="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0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2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22"/>
                <w:szCs w:val="22"/>
                <w:u w:val="none"/>
                <w:lang w:val="en-US" w:eastAsia="zh-CN" w:bidi="ar"/>
              </w:rPr>
              <w:t>0.64</w:t>
            </w:r>
          </w:p>
        </w:tc>
        <w:tc>
          <w:tcPr>
            <w:tcW w:w="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8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25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284" w:hRule="exact"/>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7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22"/>
                <w:szCs w:val="22"/>
                <w:u w:val="none"/>
                <w:lang w:val="en-US" w:eastAsia="zh-CN" w:bidi="ar"/>
              </w:rPr>
              <w:t>23.99</w:t>
            </w:r>
          </w:p>
        </w:tc>
        <w:tc>
          <w:tcPr>
            <w:tcW w:w="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0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26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c>
          <w:tcPr>
            <w:tcW w:w="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8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25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284" w:hRule="exact"/>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7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c>
          <w:tcPr>
            <w:tcW w:w="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0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2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22"/>
                <w:szCs w:val="22"/>
                <w:u w:val="none"/>
                <w:lang w:val="en-US" w:eastAsia="zh-CN" w:bidi="ar"/>
              </w:rPr>
              <w:t>4.94</w:t>
            </w:r>
          </w:p>
        </w:tc>
        <w:tc>
          <w:tcPr>
            <w:tcW w:w="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8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25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284" w:hRule="exact"/>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7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22"/>
                <w:szCs w:val="22"/>
                <w:u w:val="none"/>
                <w:lang w:val="en-US" w:eastAsia="zh-CN" w:bidi="ar"/>
              </w:rPr>
              <w:t>14.48</w:t>
            </w:r>
          </w:p>
        </w:tc>
        <w:tc>
          <w:tcPr>
            <w:tcW w:w="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0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2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22"/>
                <w:szCs w:val="22"/>
                <w:u w:val="none"/>
                <w:lang w:val="en-US" w:eastAsia="zh-CN" w:bidi="ar"/>
              </w:rPr>
              <w:t>0.36</w:t>
            </w:r>
          </w:p>
        </w:tc>
        <w:tc>
          <w:tcPr>
            <w:tcW w:w="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8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25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284" w:hRule="exact"/>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7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22"/>
                <w:szCs w:val="22"/>
                <w:u w:val="none"/>
                <w:lang w:val="en-US" w:eastAsia="zh-CN" w:bidi="ar"/>
              </w:rPr>
              <w:t>142.55</w:t>
            </w:r>
          </w:p>
        </w:tc>
        <w:tc>
          <w:tcPr>
            <w:tcW w:w="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0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2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22"/>
                <w:szCs w:val="22"/>
                <w:u w:val="none"/>
                <w:lang w:val="en-US" w:eastAsia="zh-CN" w:bidi="ar"/>
              </w:rPr>
              <w:t>0.33</w:t>
            </w:r>
          </w:p>
        </w:tc>
        <w:tc>
          <w:tcPr>
            <w:tcW w:w="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8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25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284" w:hRule="exact"/>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7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c>
          <w:tcPr>
            <w:tcW w:w="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0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2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22"/>
                <w:szCs w:val="22"/>
                <w:u w:val="none"/>
                <w:lang w:val="en-US" w:eastAsia="zh-CN" w:bidi="ar"/>
              </w:rPr>
              <w:t>0.50</w:t>
            </w:r>
          </w:p>
        </w:tc>
        <w:tc>
          <w:tcPr>
            <w:tcW w:w="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8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25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284" w:hRule="exact"/>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7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22"/>
                <w:szCs w:val="22"/>
                <w:u w:val="none"/>
                <w:lang w:val="en-US" w:eastAsia="zh-CN" w:bidi="ar"/>
              </w:rPr>
              <w:t>100.85</w:t>
            </w:r>
          </w:p>
        </w:tc>
        <w:tc>
          <w:tcPr>
            <w:tcW w:w="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0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2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22"/>
                <w:szCs w:val="22"/>
                <w:u w:val="none"/>
                <w:lang w:val="en-US" w:eastAsia="zh-CN" w:bidi="ar"/>
              </w:rPr>
              <w:t>1.49</w:t>
            </w:r>
          </w:p>
        </w:tc>
        <w:tc>
          <w:tcPr>
            <w:tcW w:w="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8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25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284" w:hRule="exact"/>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7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22"/>
                <w:szCs w:val="22"/>
                <w:u w:val="none"/>
                <w:lang w:val="en-US" w:eastAsia="zh-CN" w:bidi="ar"/>
              </w:rPr>
              <w:t>3.13</w:t>
            </w:r>
          </w:p>
        </w:tc>
        <w:tc>
          <w:tcPr>
            <w:tcW w:w="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0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26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c>
          <w:tcPr>
            <w:tcW w:w="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8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25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284" w:hRule="exact"/>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7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22"/>
                <w:szCs w:val="22"/>
                <w:u w:val="none"/>
                <w:lang w:val="en-US" w:eastAsia="zh-CN" w:bidi="ar"/>
              </w:rPr>
              <w:t>7.50</w:t>
            </w:r>
          </w:p>
        </w:tc>
        <w:tc>
          <w:tcPr>
            <w:tcW w:w="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0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26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c>
          <w:tcPr>
            <w:tcW w:w="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8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25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284" w:hRule="exact"/>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7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c>
          <w:tcPr>
            <w:tcW w:w="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0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2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22"/>
                <w:szCs w:val="22"/>
                <w:u w:val="none"/>
                <w:lang w:val="en-US" w:eastAsia="zh-CN" w:bidi="ar"/>
              </w:rPr>
              <w:t>0.55</w:t>
            </w:r>
          </w:p>
        </w:tc>
        <w:tc>
          <w:tcPr>
            <w:tcW w:w="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8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25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6.83</w:t>
            </w:r>
          </w:p>
        </w:tc>
      </w:tr>
      <w:tr>
        <w:tblPrEx>
          <w:tblCellMar>
            <w:top w:w="0" w:type="dxa"/>
            <w:left w:w="108" w:type="dxa"/>
            <w:bottom w:w="0" w:type="dxa"/>
            <w:right w:w="108" w:type="dxa"/>
          </w:tblCellMar>
        </w:tblPrEx>
        <w:trPr>
          <w:trHeight w:val="284" w:hRule="exact"/>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7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c>
          <w:tcPr>
            <w:tcW w:w="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0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26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c>
          <w:tcPr>
            <w:tcW w:w="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8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25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284" w:hRule="exact"/>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7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c>
          <w:tcPr>
            <w:tcW w:w="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0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26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c>
          <w:tcPr>
            <w:tcW w:w="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8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25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284" w:hRule="exact"/>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7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c>
          <w:tcPr>
            <w:tcW w:w="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0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2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22"/>
                <w:szCs w:val="22"/>
                <w:u w:val="none"/>
                <w:lang w:val="en-US" w:eastAsia="zh-CN" w:bidi="ar"/>
              </w:rPr>
              <w:t>7.20</w:t>
            </w:r>
          </w:p>
        </w:tc>
        <w:tc>
          <w:tcPr>
            <w:tcW w:w="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8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25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284" w:hRule="exact"/>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7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c>
          <w:tcPr>
            <w:tcW w:w="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0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2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22"/>
                <w:szCs w:val="22"/>
                <w:u w:val="none"/>
                <w:lang w:val="en-US" w:eastAsia="zh-CN" w:bidi="ar"/>
              </w:rPr>
              <w:t>27.41</w:t>
            </w:r>
          </w:p>
        </w:tc>
        <w:tc>
          <w:tcPr>
            <w:tcW w:w="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8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25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284" w:hRule="exact"/>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7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c>
          <w:tcPr>
            <w:tcW w:w="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0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26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c>
          <w:tcPr>
            <w:tcW w:w="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8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25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284" w:hRule="exact"/>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7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22"/>
                <w:szCs w:val="22"/>
                <w:u w:val="none"/>
                <w:lang w:val="en-US" w:eastAsia="zh-CN" w:bidi="ar"/>
              </w:rPr>
              <w:t>24.35</w:t>
            </w:r>
          </w:p>
        </w:tc>
        <w:tc>
          <w:tcPr>
            <w:tcW w:w="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0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26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c>
          <w:tcPr>
            <w:tcW w:w="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5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284" w:hRule="exact"/>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7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22"/>
                <w:szCs w:val="22"/>
                <w:u w:val="none"/>
                <w:lang w:val="en-US" w:eastAsia="zh-CN" w:bidi="ar"/>
              </w:rPr>
              <w:t>6.72</w:t>
            </w:r>
          </w:p>
        </w:tc>
        <w:tc>
          <w:tcPr>
            <w:tcW w:w="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0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267"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c>
          <w:tcPr>
            <w:tcW w:w="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5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284" w:hRule="exact"/>
        </w:trPr>
        <w:tc>
          <w:tcPr>
            <w:tcW w:w="89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285"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c>
          <w:tcPr>
            <w:tcW w:w="9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0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2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 w:val="15"/>
                <w:szCs w:val="15"/>
              </w:rPr>
            </w:pPr>
            <w:r>
              <w:rPr>
                <w:rFonts w:hint="eastAsia" w:ascii="宋体" w:hAnsi="宋体" w:eastAsia="宋体" w:cs="宋体"/>
                <w:i w:val="0"/>
                <w:iCs w:val="0"/>
                <w:color w:val="000000"/>
                <w:kern w:val="0"/>
                <w:sz w:val="22"/>
                <w:szCs w:val="22"/>
                <w:u w:val="none"/>
                <w:lang w:val="en-US" w:eastAsia="zh-CN" w:bidi="ar"/>
              </w:rPr>
              <w:t>193.92</w:t>
            </w:r>
          </w:p>
        </w:tc>
        <w:tc>
          <w:tcPr>
            <w:tcW w:w="9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25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284" w:hRule="exact"/>
        </w:trPr>
        <w:tc>
          <w:tcPr>
            <w:tcW w:w="417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7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551.99</w:t>
            </w:r>
          </w:p>
        </w:tc>
        <w:tc>
          <w:tcPr>
            <w:tcW w:w="9013"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25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272.90</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3" w:type="dxa"/>
            <w:gridSpan w:val="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2"/>
                <w:lang w:val="en-US" w:eastAsia="zh-CN" w:bidi="ar"/>
              </w:rPr>
              <w:t xml:space="preserve">   </w:t>
            </w:r>
            <w:r>
              <w:rPr>
                <w:rStyle w:val="13"/>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5"/>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4"/>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5"/>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801" w:left="720" w:header="851" w:footer="992" w:gutter="0"/>
          <w:cols w:space="425" w:num="1"/>
          <w:docGrid w:type="lines" w:linePitch="312" w:charSpace="0"/>
        </w:sectPr>
      </w:pPr>
      <w:r>
        <w:rPr>
          <w:rFonts w:ascii="黑体" w:hAnsi="黑体" w:eastAsia="黑体"/>
          <w:szCs w:val="21"/>
        </w:rPr>
        <w:br w:type="page"/>
      </w: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9"/>
        <w:jc w:val="center"/>
        <w:rPr>
          <w:rFonts w:hint="eastAsia" w:ascii="方正小标宋_GBK" w:hAnsi="方正小标宋_GBK" w:eastAsia="方正小标宋_GBK" w:cs="方正小标宋_GBK"/>
          <w:sz w:val="70"/>
          <w:szCs w:val="70"/>
        </w:rPr>
      </w:pPr>
    </w:p>
    <w:p>
      <w:pPr>
        <w:pStyle w:val="9"/>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3377.36</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787.08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18.8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农林水开支减少。</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3457.81</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2633.38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76.16</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824.43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23.84</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3377.36</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974.96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28.87</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2402.41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71.13</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9"/>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2633.38</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1301.33</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农林水支出减少。</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2633.38</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76.16</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1301.33</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农林水支出减少</w:t>
      </w:r>
      <w:r>
        <w:rPr>
          <w:rFonts w:hint="eastAsia" w:ascii="Times New Roman" w:hAnsi="Times New Roman" w:eastAsia="仿宋_GB2312"/>
          <w:sz w:val="32"/>
          <w:szCs w:val="32"/>
          <w:lang w:val="en-US" w:eastAsia="zh-CN"/>
        </w:rPr>
        <w:t>。</w:t>
      </w:r>
    </w:p>
    <w:p>
      <w:pPr>
        <w:pStyle w:val="9"/>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2633.38</w:t>
      </w:r>
      <w:r>
        <w:rPr>
          <w:rFonts w:hint="eastAsia" w:ascii="Times New Roman" w:hAnsi="Times New Roman" w:eastAsia="仿宋_GB2312"/>
          <w:sz w:val="32"/>
          <w:szCs w:val="32"/>
        </w:rPr>
        <w:t>万元，主要用于以下方面：一般公共服务支出</w:t>
      </w:r>
      <w:r>
        <w:rPr>
          <w:rFonts w:hint="eastAsia" w:ascii="Times New Roman" w:hAnsi="Times New Roman" w:eastAsia="仿宋_GB2312"/>
          <w:sz w:val="32"/>
          <w:szCs w:val="32"/>
          <w:lang w:val="en-US" w:eastAsia="zh-CN"/>
        </w:rPr>
        <w:t>2.03</w:t>
      </w:r>
      <w:r>
        <w:rPr>
          <w:rFonts w:hint="eastAsia" w:ascii="Times New Roman" w:hAnsi="Times New Roman" w:eastAsia="仿宋_GB2312"/>
          <w:sz w:val="32"/>
          <w:szCs w:val="32"/>
        </w:rPr>
        <w:t>万元，占0.</w:t>
      </w:r>
      <w:r>
        <w:rPr>
          <w:rFonts w:hint="eastAsia" w:ascii="Times New Roman" w:hAnsi="Times New Roman" w:eastAsia="仿宋_GB2312"/>
          <w:sz w:val="32"/>
          <w:szCs w:val="32"/>
          <w:lang w:val="en-US" w:eastAsia="zh-CN"/>
        </w:rPr>
        <w:t>08</w:t>
      </w:r>
      <w:r>
        <w:rPr>
          <w:rFonts w:hint="eastAsia" w:ascii="Times New Roman" w:hAnsi="Times New Roman" w:eastAsia="仿宋_GB2312"/>
          <w:sz w:val="32"/>
          <w:szCs w:val="32"/>
        </w:rPr>
        <w:t>%；社会保障和就业支出</w:t>
      </w:r>
      <w:r>
        <w:rPr>
          <w:rFonts w:hint="eastAsia" w:ascii="Times New Roman" w:hAnsi="Times New Roman" w:eastAsia="仿宋_GB2312"/>
          <w:sz w:val="32"/>
          <w:szCs w:val="32"/>
          <w:lang w:val="en-US" w:eastAsia="zh-CN"/>
        </w:rPr>
        <w:t>44.89</w:t>
      </w:r>
      <w:r>
        <w:rPr>
          <w:rFonts w:hint="eastAsia" w:ascii="Times New Roman" w:hAnsi="Times New Roman" w:eastAsia="仿宋_GB2312"/>
          <w:sz w:val="32"/>
          <w:szCs w:val="32"/>
        </w:rPr>
        <w:t>万元，占1.</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%；卫生健康支出</w:t>
      </w:r>
      <w:r>
        <w:rPr>
          <w:rFonts w:hint="eastAsia" w:ascii="Times New Roman" w:hAnsi="Times New Roman" w:eastAsia="仿宋_GB2312"/>
          <w:sz w:val="32"/>
          <w:szCs w:val="32"/>
          <w:lang w:val="en-US" w:eastAsia="zh-CN"/>
        </w:rPr>
        <w:t>192.25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节能环保支出</w:t>
      </w:r>
      <w:r>
        <w:rPr>
          <w:rFonts w:hint="eastAsia" w:ascii="Times New Roman" w:hAnsi="Times New Roman" w:eastAsia="仿宋_GB2312"/>
          <w:sz w:val="32"/>
          <w:szCs w:val="32"/>
          <w:lang w:val="en-US" w:eastAsia="zh-CN"/>
        </w:rPr>
        <w:t>29.99万元，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1.14</w:t>
      </w:r>
      <w:r>
        <w:rPr>
          <w:rFonts w:hint="eastAsia" w:ascii="Times New Roman" w:hAnsi="Times New Roman" w:eastAsia="仿宋_GB2312"/>
          <w:sz w:val="32"/>
          <w:szCs w:val="32"/>
        </w:rPr>
        <w:t>%；城乡社区支出</w:t>
      </w:r>
      <w:r>
        <w:rPr>
          <w:rFonts w:hint="eastAsia" w:ascii="Times New Roman" w:hAnsi="Times New Roman" w:eastAsia="仿宋_GB2312"/>
          <w:sz w:val="32"/>
          <w:szCs w:val="32"/>
          <w:lang w:val="en-US" w:eastAsia="zh-CN"/>
        </w:rPr>
        <w:t>3.13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0.12</w:t>
      </w:r>
      <w:r>
        <w:rPr>
          <w:rFonts w:hint="eastAsia" w:ascii="Times New Roman" w:hAnsi="Times New Roman" w:eastAsia="仿宋_GB2312"/>
          <w:sz w:val="32"/>
          <w:szCs w:val="32"/>
        </w:rPr>
        <w:t>%；农林水支出</w:t>
      </w:r>
      <w:r>
        <w:rPr>
          <w:rFonts w:hint="eastAsia" w:ascii="Times New Roman" w:hAnsi="Times New Roman" w:eastAsia="仿宋_GB2312"/>
          <w:sz w:val="32"/>
          <w:szCs w:val="32"/>
          <w:lang w:val="en-US" w:eastAsia="zh-CN"/>
        </w:rPr>
        <w:t>2335.04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88.67</w:t>
      </w:r>
      <w:r>
        <w:rPr>
          <w:rFonts w:hint="eastAsia" w:ascii="Times New Roman" w:hAnsi="Times New Roman" w:eastAsia="仿宋_GB2312"/>
          <w:sz w:val="32"/>
          <w:szCs w:val="32"/>
        </w:rPr>
        <w:t>%；住房保障支出</w:t>
      </w:r>
      <w:r>
        <w:rPr>
          <w:rFonts w:hint="eastAsia" w:ascii="Times New Roman" w:hAnsi="Times New Roman" w:eastAsia="仿宋_GB2312"/>
          <w:sz w:val="32"/>
          <w:szCs w:val="32"/>
          <w:lang w:val="en-US" w:eastAsia="zh-CN"/>
        </w:rPr>
        <w:t>26.05</w:t>
      </w:r>
      <w:r>
        <w:rPr>
          <w:rFonts w:hint="eastAsia" w:ascii="Times New Roman" w:hAnsi="Times New Roman" w:eastAsia="仿宋_GB2312"/>
          <w:sz w:val="32"/>
          <w:szCs w:val="32"/>
        </w:rPr>
        <w:t>万元，占0.</w:t>
      </w:r>
      <w:r>
        <w:rPr>
          <w:rFonts w:hint="eastAsia" w:ascii="Times New Roman" w:hAnsi="Times New Roman" w:eastAsia="仿宋_GB2312"/>
          <w:sz w:val="32"/>
          <w:szCs w:val="32"/>
          <w:lang w:val="en-US" w:eastAsia="zh-CN"/>
        </w:rPr>
        <w:t>99</w:t>
      </w:r>
      <w:r>
        <w:rPr>
          <w:rFonts w:hint="eastAsia" w:ascii="Times New Roman" w:hAnsi="Times New Roman" w:eastAsia="仿宋_GB2312"/>
          <w:sz w:val="32"/>
          <w:szCs w:val="32"/>
        </w:rPr>
        <w:t xml:space="preserve">%。 </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714.51</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2633.38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368.56</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w:t>
      </w:r>
      <w:r>
        <w:rPr>
          <w:rFonts w:hint="eastAsia" w:ascii="Times New Roman" w:hAnsi="Times New Roman" w:eastAsia="仿宋_GB2312"/>
          <w:sz w:val="32"/>
          <w:szCs w:val="32"/>
          <w:lang w:eastAsia="zh-CN"/>
        </w:rPr>
        <w:t>财政事务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一般行政管理事务</w:t>
      </w:r>
      <w:r>
        <w:rPr>
          <w:rFonts w:hint="eastAsia" w:ascii="Times New Roman" w:hAnsi="Times New Roman" w:eastAsia="仿宋_GB2312"/>
          <w:sz w:val="32"/>
          <w:szCs w:val="32"/>
        </w:rPr>
        <w:t>（项）。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%，决算数大于年初预算数的主要原因是：业务工作任务增加</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2、一般公共服务（类）</w:t>
      </w:r>
      <w:r>
        <w:rPr>
          <w:rFonts w:hint="eastAsia" w:ascii="Times New Roman" w:hAnsi="Times New Roman" w:eastAsia="仿宋_GB2312"/>
          <w:sz w:val="32"/>
          <w:szCs w:val="32"/>
          <w:lang w:eastAsia="zh-CN"/>
        </w:rPr>
        <w:t>其他一般公共服务支出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其他一般公共服务支出</w:t>
      </w:r>
      <w:r>
        <w:rPr>
          <w:rFonts w:hint="eastAsia" w:ascii="Times New Roman" w:hAnsi="Times New Roman" w:eastAsia="仿宋_GB2312"/>
          <w:sz w:val="32"/>
          <w:szCs w:val="32"/>
        </w:rPr>
        <w:t>（项）。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0.52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%，决算数大于年初预算数的主要原因是：业务工作任务增加</w:t>
      </w:r>
      <w:r>
        <w:rPr>
          <w:rFonts w:hint="eastAsia" w:ascii="Times New Roman" w:hAnsi="Times New Roman" w:eastAsia="仿宋_GB2312"/>
          <w:sz w:val="32"/>
          <w:szCs w:val="32"/>
          <w:lang w:eastAsia="zh-CN"/>
        </w:rPr>
        <w:t>。</w:t>
      </w:r>
    </w:p>
    <w:p>
      <w:pPr>
        <w:pStyle w:val="9"/>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 xml:space="preserve">社会保障和就业支出（类）行政事业单位养老支出（款）机关事业单位基本养老保险缴费支出（项） </w:t>
      </w:r>
    </w:p>
    <w:p>
      <w:pPr>
        <w:pStyle w:val="9"/>
        <w:keepNext w:val="0"/>
        <w:keepLines w:val="0"/>
        <w:pageBreakBefore w:val="0"/>
        <w:widowControl w:val="0"/>
        <w:numPr>
          <w:numId w:val="0"/>
        </w:numPr>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年初预算为</w:t>
      </w:r>
      <w:r>
        <w:rPr>
          <w:rFonts w:hint="eastAsia" w:ascii="Times New Roman" w:hAnsi="Times New Roman" w:eastAsia="仿宋_GB2312"/>
          <w:sz w:val="32"/>
          <w:szCs w:val="32"/>
          <w:lang w:val="en-US" w:eastAsia="zh-CN"/>
        </w:rPr>
        <w:t>33.16</w:t>
      </w:r>
      <w:r>
        <w:rPr>
          <w:rFonts w:hint="eastAsia" w:ascii="Times New Roman" w:hAnsi="Times New Roman" w:eastAsia="仿宋_GB2312"/>
          <w:sz w:val="32"/>
          <w:szCs w:val="32"/>
          <w:lang w:eastAsia="zh-CN"/>
        </w:rPr>
        <w:t>万元，支出决算为</w:t>
      </w:r>
      <w:r>
        <w:rPr>
          <w:rFonts w:hint="eastAsia" w:ascii="Times New Roman" w:hAnsi="Times New Roman" w:eastAsia="仿宋_GB2312"/>
          <w:sz w:val="32"/>
          <w:szCs w:val="32"/>
          <w:lang w:val="en-US" w:eastAsia="zh-CN"/>
        </w:rPr>
        <w:t>34.59</w:t>
      </w:r>
      <w:r>
        <w:rPr>
          <w:rFonts w:hint="eastAsia" w:ascii="Times New Roman" w:hAnsi="Times New Roman" w:eastAsia="仿宋_GB2312"/>
          <w:sz w:val="32"/>
          <w:szCs w:val="32"/>
          <w:lang w:eastAsia="zh-CN"/>
        </w:rPr>
        <w:t>万元，完成年初预算的</w:t>
      </w:r>
      <w:r>
        <w:rPr>
          <w:rFonts w:hint="eastAsia" w:ascii="Times New Roman" w:hAnsi="Times New Roman" w:eastAsia="仿宋_GB2312"/>
          <w:sz w:val="32"/>
          <w:szCs w:val="32"/>
          <w:lang w:val="en-US" w:eastAsia="zh-CN"/>
        </w:rPr>
        <w:t>104.31</w:t>
      </w:r>
      <w:r>
        <w:rPr>
          <w:rFonts w:hint="eastAsia" w:ascii="Times New Roman" w:hAnsi="Times New Roman" w:eastAsia="仿宋_GB2312"/>
          <w:sz w:val="32"/>
          <w:szCs w:val="32"/>
          <w:lang w:eastAsia="zh-CN"/>
        </w:rPr>
        <w:t>%。决算数大于年初预算数的主要原因是：养老标准有所提标。</w:t>
      </w:r>
    </w:p>
    <w:p>
      <w:pPr>
        <w:pStyle w:val="9"/>
        <w:keepNext w:val="0"/>
        <w:keepLines w:val="0"/>
        <w:pageBreakBefore w:val="0"/>
        <w:widowControl w:val="0"/>
        <w:numPr>
          <w:ilvl w:val="0"/>
          <w:numId w:val="3"/>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社会保障和就业支出（类）残疾人事业（款）其他残疾人事业支出（项） </w:t>
      </w:r>
    </w:p>
    <w:p>
      <w:pPr>
        <w:pStyle w:val="9"/>
        <w:keepNext w:val="0"/>
        <w:keepLines w:val="0"/>
        <w:pageBreakBefore w:val="0"/>
        <w:widowControl w:val="0"/>
        <w:numPr>
          <w:numId w:val="0"/>
        </w:numPr>
        <w:kinsoku/>
        <w:wordWrap/>
        <w:overflowPunct/>
        <w:topLinePunct w:val="0"/>
        <w:bidi w:val="0"/>
        <w:snapToGrid/>
        <w:spacing w:line="600" w:lineRule="exact"/>
        <w:ind w:leftChars="250"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年初预算为1.85万元，支出决算为1.92万元，完成年初预算的100%。决算数与年初预算数一致，我单位严格按预算执行决算。</w:t>
      </w:r>
    </w:p>
    <w:p>
      <w:pPr>
        <w:pStyle w:val="15"/>
        <w:keepNext w:val="0"/>
        <w:keepLines w:val="0"/>
        <w:widowControl w:val="0"/>
        <w:numPr>
          <w:ilvl w:val="0"/>
          <w:numId w:val="3"/>
        </w:numPr>
        <w:suppressLineNumbers w:val="0"/>
        <w:spacing w:before="0" w:beforeAutospacing="0" w:after="2" w:afterAutospacing="0" w:line="560" w:lineRule="exact"/>
        <w:ind w:left="0" w:leftChars="0" w:firstLine="800" w:firstLineChars="25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卫生健康支出（类）行政事业单位医疗（款）行政单位医疗（项） </w:t>
      </w:r>
    </w:p>
    <w:p>
      <w:pPr>
        <w:pStyle w:val="15"/>
        <w:keepNext w:val="0"/>
        <w:keepLines w:val="0"/>
        <w:widowControl w:val="0"/>
        <w:numPr>
          <w:numId w:val="0"/>
        </w:numPr>
        <w:suppressLineNumbers w:val="0"/>
        <w:spacing w:before="0" w:beforeAutospacing="0" w:after="2" w:afterAutospacing="0" w:line="560" w:lineRule="exact"/>
        <w:ind w:leftChars="250" w:right="0" w:rightChars="0"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年初预算为21.76万元，支出决算为17.46万元，完成年初预算的80.24%。决算数小于年初预算数</w:t>
      </w:r>
      <w:r>
        <w:rPr>
          <w:rFonts w:hint="eastAsia" w:ascii="Times New Roman" w:hAnsi="Times New Roman" w:eastAsia="仿宋_GB2312"/>
          <w:sz w:val="32"/>
          <w:szCs w:val="32"/>
          <w:lang w:eastAsia="zh-CN"/>
        </w:rPr>
        <w:t>的主要原因是：有人员退休。</w:t>
      </w:r>
    </w:p>
    <w:p>
      <w:pPr>
        <w:pStyle w:val="15"/>
        <w:keepNext w:val="0"/>
        <w:keepLines w:val="0"/>
        <w:widowControl w:val="0"/>
        <w:numPr>
          <w:numId w:val="0"/>
        </w:numPr>
        <w:suppressLineNumbers w:val="0"/>
        <w:spacing w:before="0" w:beforeAutospacing="0" w:after="2" w:afterAutospacing="0" w:line="560" w:lineRule="exact"/>
        <w:ind w:right="0" w:rightChars="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6、农林水支出（类）农业农村（款）行政运行（项） </w:t>
      </w:r>
    </w:p>
    <w:p>
      <w:pPr>
        <w:pStyle w:val="15"/>
        <w:keepNext w:val="0"/>
        <w:keepLines w:val="0"/>
        <w:widowControl w:val="0"/>
        <w:numPr>
          <w:numId w:val="0"/>
        </w:numPr>
        <w:suppressLineNumbers w:val="0"/>
        <w:spacing w:before="0" w:beforeAutospacing="0" w:after="2" w:afterAutospacing="0" w:line="560" w:lineRule="exact"/>
        <w:ind w:right="0" w:rightChars="0" w:firstLine="1280" w:firstLineChars="4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年初预算为418.2万元，支出决算为541.97万元，完成年初预算的129.59%。决算数大于年初预算数的主要原因是：物价水平上涨、房屋等设施设备维修（护）及项目类日常支出增加。</w:t>
      </w:r>
    </w:p>
    <w:p>
      <w:pPr>
        <w:pStyle w:val="15"/>
        <w:keepNext w:val="0"/>
        <w:keepLines w:val="0"/>
        <w:widowControl w:val="0"/>
        <w:suppressLineNumbers w:val="0"/>
        <w:spacing w:before="0" w:beforeAutospacing="0" w:after="2" w:afterAutospacing="0" w:line="560" w:lineRule="exact"/>
        <w:ind w:left="0" w:leftChars="0" w:firstLine="640" w:firstLineChars="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7、农林水支出（类）农业农村（款）一般行政管理事务（项） </w:t>
      </w:r>
    </w:p>
    <w:p>
      <w:pPr>
        <w:pStyle w:val="15"/>
        <w:keepNext w:val="0"/>
        <w:keepLines w:val="0"/>
        <w:widowControl w:val="0"/>
        <w:suppressLineNumbers w:val="0"/>
        <w:spacing w:before="0" w:beforeAutospacing="0" w:after="2" w:afterAutospacing="0" w:line="560" w:lineRule="exact"/>
        <w:ind w:firstLine="1280" w:firstLineChars="4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年初预算为153.00万元，支出决算为140.4万元，完成年初预算的91.76%。决算数小于年初预算数的主要原因是：有未完工未结算的项目。</w:t>
      </w:r>
    </w:p>
    <w:p>
      <w:pPr>
        <w:pStyle w:val="15"/>
        <w:keepNext w:val="0"/>
        <w:keepLines w:val="0"/>
        <w:widowControl w:val="0"/>
        <w:suppressLineNumbers w:val="0"/>
        <w:spacing w:before="0" w:beforeAutospacing="0" w:after="2" w:afterAutospacing="0" w:line="560" w:lineRule="exact"/>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8、农林水支出（类）农业农村（款）病虫害控制（项） </w:t>
      </w:r>
    </w:p>
    <w:p>
      <w:pPr>
        <w:pStyle w:val="15"/>
        <w:keepNext w:val="0"/>
        <w:keepLines w:val="0"/>
        <w:widowControl w:val="0"/>
        <w:suppressLineNumbers w:val="0"/>
        <w:spacing w:before="0" w:beforeAutospacing="0" w:after="2" w:afterAutospacing="0" w:line="560" w:lineRule="exact"/>
        <w:ind w:firstLine="960" w:firstLineChars="3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年初预算为0万元，支出决算为24.99万元，决算数大于年初预算数的主要原因是：农业线业务工作增加，上级财政追拨农业线项目资金。</w:t>
      </w:r>
    </w:p>
    <w:p>
      <w:pPr>
        <w:pStyle w:val="15"/>
        <w:keepNext w:val="0"/>
        <w:keepLines w:val="0"/>
        <w:widowControl w:val="0"/>
        <w:suppressLineNumbers w:val="0"/>
        <w:spacing w:before="0" w:beforeAutospacing="0" w:after="2" w:afterAutospacing="0" w:line="560" w:lineRule="exact"/>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9、农林水支出（类）农业农村（款）农产品质量安全（项） </w:t>
      </w:r>
    </w:p>
    <w:p>
      <w:pPr>
        <w:pStyle w:val="15"/>
        <w:keepNext w:val="0"/>
        <w:keepLines w:val="0"/>
        <w:widowControl w:val="0"/>
        <w:suppressLineNumbers w:val="0"/>
        <w:spacing w:before="0" w:beforeAutospacing="0" w:after="2" w:afterAutospacing="0" w:line="560" w:lineRule="exact"/>
        <w:ind w:firstLine="960" w:firstLineChars="3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年初预算为0万元，支出决算为49.35万元，决算数大于年初预算数的主要原因是：农业线业务工作增加，财政追拨农业线项目资金。</w:t>
      </w:r>
    </w:p>
    <w:p>
      <w:pPr>
        <w:pStyle w:val="15"/>
        <w:keepNext w:val="0"/>
        <w:keepLines w:val="0"/>
        <w:widowControl w:val="0"/>
        <w:suppressLineNumbers w:val="0"/>
        <w:spacing w:before="0" w:beforeAutospacing="0" w:after="2" w:afterAutospacing="0" w:line="560" w:lineRule="exact"/>
        <w:ind w:firstLine="960" w:firstLineChars="3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10、农林水支出（类）农业农村（款）农业结构调整补贴（项） </w:t>
      </w:r>
    </w:p>
    <w:p>
      <w:pPr>
        <w:pStyle w:val="15"/>
        <w:keepNext w:val="0"/>
        <w:keepLines w:val="0"/>
        <w:widowControl w:val="0"/>
        <w:suppressLineNumbers w:val="0"/>
        <w:spacing w:before="0" w:beforeAutospacing="0" w:after="2" w:afterAutospacing="0" w:line="560" w:lineRule="exact"/>
        <w:ind w:firstLine="960" w:firstLineChars="3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年初预算为0万元，支出决算为145万元，决算数大于年初预算数的主要原因是：农业线业务工作增加，财政追拨农业线项目资金。</w:t>
      </w:r>
    </w:p>
    <w:p>
      <w:pPr>
        <w:pStyle w:val="15"/>
        <w:keepNext w:val="0"/>
        <w:keepLines w:val="0"/>
        <w:widowControl w:val="0"/>
        <w:suppressLineNumbers w:val="0"/>
        <w:spacing w:before="0" w:beforeAutospacing="0" w:after="2" w:afterAutospacing="0" w:line="560" w:lineRule="exact"/>
        <w:ind w:firstLine="960" w:firstLineChars="3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11、农林水支出（类）农业农村（款）农产品加工与促销（项） </w:t>
      </w:r>
    </w:p>
    <w:p>
      <w:pPr>
        <w:pStyle w:val="15"/>
        <w:keepNext w:val="0"/>
        <w:keepLines w:val="0"/>
        <w:widowControl w:val="0"/>
        <w:suppressLineNumbers w:val="0"/>
        <w:spacing w:before="0" w:beforeAutospacing="0" w:after="2" w:afterAutospacing="0" w:line="560" w:lineRule="exact"/>
        <w:ind w:firstLine="960" w:firstLineChars="3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年初预算为0万元，支出决算为159万元，决算数大于年初预算数的主要原因是：农业线业务工作增加，财政追拨农业线项目资金。</w:t>
      </w:r>
    </w:p>
    <w:p>
      <w:pPr>
        <w:pStyle w:val="15"/>
        <w:keepNext w:val="0"/>
        <w:keepLines w:val="0"/>
        <w:widowControl w:val="0"/>
        <w:suppressLineNumbers w:val="0"/>
        <w:spacing w:before="0" w:beforeAutospacing="0" w:after="2" w:afterAutospacing="0" w:line="560" w:lineRule="exact"/>
        <w:ind w:firstLine="960" w:firstLineChars="3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12、农林水支出（类）农业农村（款）  农业资源保护修复与利用（项） </w:t>
      </w:r>
    </w:p>
    <w:p>
      <w:pPr>
        <w:pStyle w:val="15"/>
        <w:keepNext w:val="0"/>
        <w:keepLines w:val="0"/>
        <w:widowControl w:val="0"/>
        <w:suppressLineNumbers w:val="0"/>
        <w:spacing w:before="0" w:beforeAutospacing="0" w:after="2" w:afterAutospacing="0" w:line="560" w:lineRule="exact"/>
        <w:ind w:firstLine="960" w:firstLineChars="3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年初预算为0万元，支出决算为87.18万元，决算数大于年初预算数的主要原因是：农业线业务工作增加，财政追拨农业线项目资金。</w:t>
      </w:r>
    </w:p>
    <w:p>
      <w:pPr>
        <w:pStyle w:val="15"/>
        <w:keepNext w:val="0"/>
        <w:keepLines w:val="0"/>
        <w:widowControl w:val="0"/>
        <w:suppressLineNumbers w:val="0"/>
        <w:spacing w:before="0" w:beforeAutospacing="0" w:after="2" w:afterAutospacing="0" w:line="560" w:lineRule="exact"/>
        <w:ind w:firstLine="960" w:firstLineChars="3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13、农林水支出（类）农业农村（款）渔业发展（项） </w:t>
      </w:r>
    </w:p>
    <w:p>
      <w:pPr>
        <w:pStyle w:val="15"/>
        <w:keepNext w:val="0"/>
        <w:keepLines w:val="0"/>
        <w:widowControl w:val="0"/>
        <w:suppressLineNumbers w:val="0"/>
        <w:spacing w:before="0" w:beforeAutospacing="0" w:after="2" w:afterAutospacing="0" w:line="560" w:lineRule="exact"/>
        <w:ind w:firstLine="960" w:firstLineChars="3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年初预算为0万元，支出决算为70万元，决算数大于年初预算数的主要原因是：渔业线业务工作增加，财政追拨渔业线项目资金。</w:t>
      </w:r>
    </w:p>
    <w:p>
      <w:pPr>
        <w:pStyle w:val="15"/>
        <w:keepNext w:val="0"/>
        <w:keepLines w:val="0"/>
        <w:widowControl w:val="0"/>
        <w:numPr>
          <w:ilvl w:val="0"/>
          <w:numId w:val="4"/>
        </w:numPr>
        <w:suppressLineNumbers w:val="0"/>
        <w:spacing w:before="0" w:beforeAutospacing="0" w:after="2" w:afterAutospacing="0" w:line="560" w:lineRule="exact"/>
        <w:ind w:firstLine="960" w:firstLineChars="3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农林水支出（类）农业农村（款）农田建设（项） </w:t>
      </w:r>
    </w:p>
    <w:p>
      <w:pPr>
        <w:pStyle w:val="15"/>
        <w:keepNext w:val="0"/>
        <w:keepLines w:val="0"/>
        <w:widowControl w:val="0"/>
        <w:suppressLineNumbers w:val="0"/>
        <w:spacing w:before="0" w:beforeAutospacing="0" w:after="2" w:afterAutospacing="0" w:line="560" w:lineRule="exact"/>
        <w:ind w:firstLine="960" w:firstLineChars="3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年初预算为0万元，支出决算为496.74万元，决算数大于年初预算数的主要原因是：高标准农田项目业务工作增加，财政追拨高标准农田项目资金。</w:t>
      </w:r>
    </w:p>
    <w:p>
      <w:pPr>
        <w:pStyle w:val="15"/>
        <w:keepNext w:val="0"/>
        <w:keepLines w:val="0"/>
        <w:widowControl w:val="0"/>
        <w:numPr>
          <w:ilvl w:val="0"/>
          <w:numId w:val="4"/>
        </w:numPr>
        <w:suppressLineNumbers w:val="0"/>
        <w:spacing w:before="0" w:beforeAutospacing="0" w:after="2" w:afterAutospacing="0" w:line="560" w:lineRule="exact"/>
        <w:ind w:left="0" w:leftChars="0" w:firstLine="960" w:firstLineChars="3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农林水支出（类）林业和草原（款）动植物保护（项） </w:t>
      </w:r>
    </w:p>
    <w:p>
      <w:pPr>
        <w:pStyle w:val="15"/>
        <w:keepNext w:val="0"/>
        <w:keepLines w:val="0"/>
        <w:widowControl w:val="0"/>
        <w:numPr>
          <w:numId w:val="0"/>
        </w:numPr>
        <w:suppressLineNumbers w:val="0"/>
        <w:spacing w:before="0" w:beforeAutospacing="0" w:after="2" w:afterAutospacing="0" w:line="560" w:lineRule="exact"/>
        <w:ind w:leftChars="300" w:right="0" w:rightChars="0"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年初预算为0万元，支出决算为10.71万元，决算数大于年初预算数的主要原因是：林业线业务工作增加，财政追拨林业线项目资金。</w:t>
      </w:r>
    </w:p>
    <w:p>
      <w:pPr>
        <w:pStyle w:val="15"/>
        <w:keepNext w:val="0"/>
        <w:keepLines w:val="0"/>
        <w:widowControl w:val="0"/>
        <w:numPr>
          <w:numId w:val="0"/>
        </w:numPr>
        <w:suppressLineNumbers w:val="0"/>
        <w:spacing w:before="0" w:beforeAutospacing="0" w:after="2" w:afterAutospacing="0" w:line="560" w:lineRule="exact"/>
        <w:ind w:leftChars="300" w:right="0" w:rightChars="0"/>
        <w:rPr>
          <w:rFonts w:hint="eastAsia" w:ascii="Times New Roman" w:hAnsi="Times New Roman" w:eastAsia="仿宋_GB2312"/>
          <w:sz w:val="32"/>
          <w:szCs w:val="32"/>
          <w:lang w:val="en-US" w:eastAsia="zh-CN"/>
        </w:rPr>
      </w:pPr>
    </w:p>
    <w:p>
      <w:pPr>
        <w:pStyle w:val="15"/>
        <w:keepNext w:val="0"/>
        <w:keepLines w:val="0"/>
        <w:widowControl w:val="0"/>
        <w:numPr>
          <w:ilvl w:val="0"/>
          <w:numId w:val="4"/>
        </w:numPr>
        <w:suppressLineNumbers w:val="0"/>
        <w:spacing w:before="0" w:beforeAutospacing="0" w:after="2" w:afterAutospacing="0" w:line="560" w:lineRule="exact"/>
        <w:ind w:left="0" w:leftChars="0" w:firstLine="960" w:firstLineChars="3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农林水支出（类）巩固脱贫衔接乡村振兴（款）其他巩固脱贫衔接乡村振兴（项）</w:t>
      </w:r>
    </w:p>
    <w:p>
      <w:pPr>
        <w:pStyle w:val="15"/>
        <w:keepNext w:val="0"/>
        <w:keepLines w:val="0"/>
        <w:widowControl w:val="0"/>
        <w:numPr>
          <w:numId w:val="0"/>
        </w:numPr>
        <w:suppressLineNumbers w:val="0"/>
        <w:spacing w:before="0" w:beforeAutospacing="0" w:after="2" w:afterAutospacing="0" w:line="560" w:lineRule="exact"/>
        <w:ind w:leftChars="300" w:right="0" w:rightChars="0"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年初预算为0万元，支出决算为220.2万元，决算数大于年初预算数的主要原因是：乡村振兴线业务工作增加，财政追拨乡村振兴线项目资金。</w:t>
      </w:r>
    </w:p>
    <w:p>
      <w:pPr>
        <w:pStyle w:val="15"/>
        <w:keepNext w:val="0"/>
        <w:keepLines w:val="0"/>
        <w:widowControl w:val="0"/>
        <w:numPr>
          <w:ilvl w:val="0"/>
          <w:numId w:val="4"/>
        </w:numPr>
        <w:suppressLineNumbers w:val="0"/>
        <w:spacing w:before="0" w:beforeAutospacing="0" w:after="2" w:afterAutospacing="0" w:line="560" w:lineRule="exact"/>
        <w:ind w:left="0" w:leftChars="0" w:firstLine="960" w:firstLineChars="3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农林水支出（类）林业和草原（款）林业草原防灾减灾（项） </w:t>
      </w:r>
    </w:p>
    <w:p>
      <w:pPr>
        <w:pStyle w:val="15"/>
        <w:keepNext w:val="0"/>
        <w:keepLines w:val="0"/>
        <w:widowControl w:val="0"/>
        <w:numPr>
          <w:ilvl w:val="0"/>
          <w:numId w:val="0"/>
        </w:numPr>
        <w:suppressLineNumbers w:val="0"/>
        <w:spacing w:before="0" w:beforeAutospacing="0" w:after="2" w:afterAutospacing="0" w:line="560" w:lineRule="exact"/>
        <w:ind w:leftChars="300" w:right="0" w:rightChars="0"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年初预算为0万元，支出决算为20万元，决算数大于年初预算数的主要原因是：林业线业务工作增加，财政追拨林业线项目资金。</w:t>
      </w:r>
    </w:p>
    <w:p>
      <w:pPr>
        <w:pStyle w:val="15"/>
        <w:keepNext w:val="0"/>
        <w:keepLines w:val="0"/>
        <w:widowControl w:val="0"/>
        <w:numPr>
          <w:ilvl w:val="0"/>
          <w:numId w:val="4"/>
        </w:numPr>
        <w:suppressLineNumbers w:val="0"/>
        <w:spacing w:before="0" w:beforeAutospacing="0" w:after="2" w:afterAutospacing="0" w:line="560" w:lineRule="exact"/>
        <w:ind w:left="0" w:leftChars="0" w:firstLine="960" w:firstLineChars="3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农林水支出（类）林业和草原（款）其他林业和草原支出（项） </w:t>
      </w:r>
    </w:p>
    <w:p>
      <w:pPr>
        <w:pStyle w:val="15"/>
        <w:keepNext w:val="0"/>
        <w:keepLines w:val="0"/>
        <w:widowControl w:val="0"/>
        <w:numPr>
          <w:ilvl w:val="0"/>
          <w:numId w:val="0"/>
        </w:numPr>
        <w:suppressLineNumbers w:val="0"/>
        <w:spacing w:before="0" w:beforeAutospacing="0" w:after="2" w:afterAutospacing="0" w:line="560" w:lineRule="exact"/>
        <w:ind w:leftChars="300" w:right="0" w:rightChars="0"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年初预算为0万元，支出决算为139.38万元，决算数大于年初预算数的主要原因是：林业线业务工作增加，财政追拨林业线项目资金。     </w:t>
      </w:r>
    </w:p>
    <w:p>
      <w:pPr>
        <w:pStyle w:val="15"/>
        <w:keepNext w:val="0"/>
        <w:keepLines w:val="0"/>
        <w:widowControl w:val="0"/>
        <w:numPr>
          <w:ilvl w:val="0"/>
          <w:numId w:val="0"/>
        </w:numPr>
        <w:suppressLineNumbers w:val="0"/>
        <w:spacing w:before="0" w:beforeAutospacing="0" w:after="2" w:afterAutospacing="0" w:line="560" w:lineRule="exact"/>
        <w:ind w:right="0" w:rightChars="0" w:firstLine="1280" w:firstLineChars="4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19、住房保障支出（类）住房改革支出（款）住房公积金（项） </w:t>
      </w:r>
    </w:p>
    <w:p>
      <w:pPr>
        <w:pStyle w:val="15"/>
        <w:keepNext w:val="0"/>
        <w:keepLines w:val="0"/>
        <w:widowControl w:val="0"/>
        <w:numPr>
          <w:ilvl w:val="0"/>
          <w:numId w:val="0"/>
        </w:numPr>
        <w:suppressLineNumbers w:val="0"/>
        <w:spacing w:before="0" w:beforeAutospacing="0" w:after="2" w:afterAutospacing="0" w:line="560" w:lineRule="exact"/>
        <w:ind w:leftChars="300" w:right="0" w:rightChars="0"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年初预算为26.04万元，支出决算为26.04万元，完成年初预算的100%。决算数与年初预算数一致。</w:t>
      </w:r>
    </w:p>
    <w:p>
      <w:pPr>
        <w:pStyle w:val="15"/>
        <w:keepNext w:val="0"/>
        <w:keepLines w:val="0"/>
        <w:widowControl w:val="0"/>
        <w:numPr>
          <w:ilvl w:val="0"/>
          <w:numId w:val="0"/>
        </w:numPr>
        <w:suppressLineNumbers w:val="0"/>
        <w:spacing w:before="0" w:beforeAutospacing="0" w:after="2" w:afterAutospacing="0" w:line="560" w:lineRule="exact"/>
        <w:ind w:leftChars="300" w:right="0" w:rightChars="0"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20、其他支出（类）其他支出（款）其他支出（项） </w:t>
      </w:r>
    </w:p>
    <w:p>
      <w:pPr>
        <w:pStyle w:val="15"/>
        <w:keepNext w:val="0"/>
        <w:keepLines w:val="0"/>
        <w:widowControl w:val="0"/>
        <w:numPr>
          <w:ilvl w:val="0"/>
          <w:numId w:val="0"/>
        </w:numPr>
        <w:suppressLineNumbers w:val="0"/>
        <w:spacing w:before="0" w:beforeAutospacing="0" w:after="2" w:afterAutospacing="0" w:line="560" w:lineRule="exact"/>
        <w:ind w:leftChars="300" w:right="0" w:rightChars="0"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年初预算为0万元，支出决算为732.89万元，决算数大于年初预算数的主要原因是：乡村振兴业务等各项目日常工作增加，财政追拨项目资金。</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824.89</w:t>
      </w:r>
      <w:r>
        <w:rPr>
          <w:rFonts w:hint="eastAsia" w:ascii="Times New Roman" w:hAnsi="Times New Roman" w:eastAsia="仿宋_GB2312"/>
          <w:sz w:val="32"/>
          <w:szCs w:val="32"/>
        </w:rPr>
        <w:t>万元，其中：</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551.99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66.92</w:t>
      </w:r>
      <w:r>
        <w:rPr>
          <w:rFonts w:hint="eastAsia" w:ascii="Times New Roman" w:hAnsi="Times New Roman" w:eastAsia="仿宋_GB2312"/>
          <w:sz w:val="32"/>
          <w:szCs w:val="32"/>
        </w:rPr>
        <w:t>%,主要包括：基本工资、津贴补贴、奖金、伙食补助费、绩效工资、机关事业单位基本养老保险缴费、职业年金缴费、职工基本医疗保险缴费、公务员医疗补助缴费、其他社会保障缴费、住房公积金、其他工资福利支出、退休费、抚恤金、生活补助、医疗费补助、奖励金。</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272.9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33.08</w:t>
      </w:r>
      <w:r>
        <w:rPr>
          <w:rFonts w:hint="eastAsia" w:ascii="Times New Roman" w:hAnsi="Times New Roman" w:eastAsia="仿宋_GB2312"/>
          <w:sz w:val="32"/>
          <w:szCs w:val="32"/>
        </w:rPr>
        <w:t xml:space="preserve">%，主要包括办公费、印刷费、咨询费、水费、电费、邮电费、差旅费、维修（护）费、租赁费、会议费、培训费、公务接待费、专用材料费、劳务费、委托业务费、工会经费、其他交通费用、其他商品和服务支出、办公设备购置、信息网络及软件购置更新、其他资本性支出。 </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82</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万元，决算数与预算数一致，我单位严格按预算执行决算，因公出国（境）费支出与上年持平。</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82</w:t>
      </w:r>
      <w:r>
        <w:rPr>
          <w:rFonts w:hint="eastAsia" w:ascii="Times New Roman" w:hAnsi="Times New Roman" w:eastAsia="仿宋_GB2312"/>
          <w:sz w:val="32"/>
          <w:szCs w:val="32"/>
        </w:rPr>
        <w:t>%，决算数小于预算数的主要原因是认真贯彻落实中央“八项规定”精神和厉行节约要求，从严控制，与上年相比增加</w:t>
      </w:r>
      <w:r>
        <w:rPr>
          <w:rFonts w:hint="eastAsia" w:ascii="Times New Roman" w:hAnsi="Times New Roman" w:eastAsia="仿宋_GB2312"/>
          <w:sz w:val="32"/>
          <w:szCs w:val="32"/>
          <w:lang w:val="en-US" w:eastAsia="zh-CN"/>
        </w:rPr>
        <w:t>3.58</w:t>
      </w:r>
      <w:r>
        <w:rPr>
          <w:rFonts w:hint="eastAsia" w:ascii="Times New Roman" w:hAnsi="Times New Roman" w:eastAsia="仿宋_GB2312"/>
          <w:sz w:val="32"/>
          <w:szCs w:val="32"/>
        </w:rPr>
        <w:t>万元，增长的主要原因是各线业务工作增加</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万元，决算数与预算数一致，我单位严格按预算执行决算，公务用车购置费支出与上年持平。</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公务用车运行维护费支出预算为0万元，支出决算为0万元，决算数与预算数一致，我单位严格按预算执行决算，公务用车运行维护费支出与上年持平。</w:t>
      </w:r>
    </w:p>
    <w:p>
      <w:pPr>
        <w:pStyle w:val="15"/>
        <w:keepNext w:val="0"/>
        <w:keepLines w:val="0"/>
        <w:widowControl w:val="0"/>
        <w:suppressLineNumbers w:val="0"/>
        <w:spacing w:before="0" w:beforeAutospacing="0" w:after="2" w:afterAutospacing="0" w:line="560" w:lineRule="exact"/>
        <w:ind w:left="0" w:firstLine="640"/>
        <w:rPr>
          <w:rFonts w:hint="default" w:ascii="等线" w:hAnsi="等线" w:eastAsia="等线" w:cs="Times New Roman"/>
          <w:kern w:val="2"/>
          <w:sz w:val="27"/>
          <w:szCs w:val="27"/>
        </w:rPr>
      </w:pPr>
      <w:r>
        <w:rPr>
          <w:rFonts w:hint="default" w:ascii="等线" w:hAnsi="等线" w:eastAsia="等线" w:cs="Times New Roman"/>
          <w:color w:val="000000"/>
          <w:kern w:val="2"/>
          <w:sz w:val="27"/>
          <w:szCs w:val="27"/>
        </w:rPr>
        <w:t xml:space="preserve"> </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sz w:val="32"/>
          <w:szCs w:val="32"/>
        </w:rPr>
      </w:pPr>
      <w:r>
        <w:rPr>
          <w:rFonts w:hint="eastAsia" w:ascii="Times New Roman" w:hAnsi="Times New Roman" w:eastAsia="仿宋_GB2312"/>
          <w:sz w:val="32"/>
          <w:szCs w:val="32"/>
          <w:lang w:val="en-US" w:eastAsia="zh-CN"/>
        </w:rPr>
        <w:t xml:space="preserve">1、因公出国（境）费支出决算为0万元，全年安排因公出国（境）团组0个，累计0人次，我单位2022年度无因公出国（境）费支出。 </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4.1</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300</w:t>
      </w:r>
      <w:r>
        <w:rPr>
          <w:rFonts w:hint="eastAsia" w:ascii="Times New Roman" w:hAnsi="Times New Roman" w:eastAsia="仿宋_GB2312"/>
          <w:sz w:val="32"/>
          <w:szCs w:val="32"/>
        </w:rPr>
        <w:t>人次，主要是与有关单位交流工作情况及接受相关部门检查指导工作发生的接待支出</w:t>
      </w:r>
      <w:r>
        <w:rPr>
          <w:rFonts w:hint="eastAsia" w:ascii="Times New Roman" w:hAnsi="Times New Roman" w:eastAsia="仿宋_GB2312"/>
          <w:sz w:val="32"/>
          <w:szCs w:val="32"/>
          <w:lang w:eastAsia="zh-CN"/>
        </w:rPr>
        <w:t>以及加班用餐</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3、公务用车购置费及运行维护费支出决算为0万元，其中：公务用车购置费0万元。公务用车运行维护费0万元，截至202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年12月31日，我单位开支财政拨款的公务用车保有量为0辆。我单位202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年度无公务用车购置费及运行维护费支出</w:t>
      </w:r>
      <w:r>
        <w:rPr>
          <w:rFonts w:hint="eastAsia" w:ascii="Times New Roman" w:hAnsi="Times New Roman" w:eastAsia="仿宋_GB2312"/>
          <w:sz w:val="32"/>
          <w:szCs w:val="32"/>
          <w:lang w:val="en-US" w:eastAsia="zh-CN"/>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本单位无</w:t>
      </w:r>
      <w:r>
        <w:rPr>
          <w:rFonts w:hint="eastAsia" w:ascii="Times New Roman" w:hAnsi="Times New Roman" w:eastAsia="仿宋_GB2312"/>
          <w:sz w:val="32"/>
          <w:szCs w:val="32"/>
        </w:rPr>
        <w:t>政府性基金</w:t>
      </w:r>
      <w:r>
        <w:rPr>
          <w:rFonts w:hint="eastAsia" w:ascii="Times New Roman" w:hAnsi="Times New Roman" w:eastAsia="仿宋_GB2312"/>
          <w:sz w:val="32"/>
          <w:szCs w:val="32"/>
          <w:lang w:eastAsia="zh-CN"/>
        </w:rPr>
        <w:t>收支。</w:t>
      </w:r>
    </w:p>
    <w:p>
      <w:pPr>
        <w:pStyle w:val="9"/>
        <w:keepNext w:val="0"/>
        <w:keepLines w:val="0"/>
        <w:pageBreakBefore w:val="0"/>
        <w:widowControl w:val="0"/>
        <w:numPr>
          <w:ilvl w:val="0"/>
          <w:numId w:val="5"/>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highlight w:val="yellow"/>
        </w:rPr>
      </w:pPr>
      <w:r>
        <w:rPr>
          <w:rFonts w:hint="eastAsia" w:ascii="Times New Roman" w:hAnsi="Times New Roman" w:eastAsia="仿宋_GB2312"/>
          <w:b/>
          <w:sz w:val="32"/>
          <w:szCs w:val="32"/>
          <w:highlight w:val="yellow"/>
        </w:rPr>
        <w:t>国有资本经营预算收入支出决算情况</w:t>
      </w:r>
    </w:p>
    <w:p>
      <w:pPr>
        <w:pStyle w:val="9"/>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Times New Roman" w:hAnsi="Times New Roman" w:eastAsia="仿宋_GB2312"/>
          <w:b/>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本单位无国有资本经营预算财政拨款支出。</w:t>
      </w:r>
    </w:p>
    <w:p>
      <w:pPr>
        <w:pStyle w:val="9"/>
        <w:keepNext w:val="0"/>
        <w:keepLines w:val="0"/>
        <w:pageBreakBefore w:val="0"/>
        <w:widowControl w:val="0"/>
        <w:numPr>
          <w:ilvl w:val="0"/>
          <w:numId w:val="5"/>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sz w:val="32"/>
          <w:szCs w:val="32"/>
        </w:rPr>
        <w:t>关于机关运行经费支出说明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272.9</w:t>
      </w:r>
      <w:r>
        <w:rPr>
          <w:rFonts w:hint="eastAsia" w:ascii="Times New Roman" w:hAnsi="Times New Roman" w:eastAsia="仿宋_GB2312"/>
          <w:sz w:val="32"/>
          <w:szCs w:val="32"/>
        </w:rPr>
        <w:t>万元，比上年决算数</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43.5</w:t>
      </w:r>
      <w:r>
        <w:rPr>
          <w:rFonts w:hint="eastAsia" w:ascii="Times New Roman" w:hAnsi="Times New Roman" w:eastAsia="仿宋_GB2312"/>
          <w:sz w:val="32"/>
          <w:szCs w:val="32"/>
        </w:rPr>
        <w:t xml:space="preserve"> 万元，降低</w:t>
      </w:r>
      <w:r>
        <w:rPr>
          <w:rFonts w:hint="eastAsia" w:ascii="Times New Roman" w:hAnsi="Times New Roman" w:eastAsia="仿宋_GB2312"/>
          <w:sz w:val="32"/>
          <w:szCs w:val="32"/>
          <w:lang w:val="en-US" w:eastAsia="zh-CN"/>
        </w:rPr>
        <w:t>13.75</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农林水支出减少</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0.33</w:t>
      </w:r>
      <w:r>
        <w:rPr>
          <w:rFonts w:hint="eastAsia" w:ascii="Times New Roman" w:hAnsi="Times New Roman" w:eastAsia="仿宋_GB2312"/>
          <w:sz w:val="32"/>
          <w:szCs w:val="32"/>
        </w:rPr>
        <w:t>万元，用于召开年度工作会议、开展学习业务等工作会议，人数</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人，内容为：新的一年工作的部署及人员安排；开支培训费</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 xml:space="preserve">万元，用于开展知识业务技能培训，人数40人次，内容为：农业林业各方面业务培训、会计继续教育培训等；举办节庆、晚会、论坛、赛事活动，开支0万元。 </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492.99</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109.75</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114.72</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268.52</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492.99</w:t>
      </w:r>
      <w:r>
        <w:rPr>
          <w:rFonts w:hint="eastAsia" w:ascii="Times New Roman" w:hAnsi="Times New Roman" w:eastAsia="仿宋_GB2312"/>
          <w:sz w:val="32"/>
          <w:szCs w:val="32"/>
        </w:rPr>
        <w:t>万元，占政府采购支出总额的100%，其中：授予小微企业合同金额0万元，占</w:t>
      </w:r>
      <w:r>
        <w:rPr>
          <w:rFonts w:hint="eastAsia" w:ascii="Times New Roman" w:hAnsi="Times New Roman" w:eastAsia="仿宋_GB2312"/>
          <w:sz w:val="32"/>
          <w:szCs w:val="32"/>
          <w:lang w:eastAsia="zh-CN"/>
        </w:rPr>
        <w:t>授予中小企业合同金额</w:t>
      </w:r>
      <w:r>
        <w:rPr>
          <w:rFonts w:hint="eastAsia" w:ascii="Times New Roman" w:hAnsi="Times New Roman" w:eastAsia="仿宋_GB2312"/>
          <w:sz w:val="32"/>
          <w:szCs w:val="32"/>
        </w:rPr>
        <w:t>总额的0%。货物采购授予中小企业合同金额</w:t>
      </w:r>
      <w:bookmarkStart w:id="3" w:name="_GoBack"/>
      <w:bookmarkEnd w:id="3"/>
      <w:r>
        <w:rPr>
          <w:rFonts w:hint="eastAsia" w:ascii="Times New Roman" w:hAnsi="Times New Roman" w:eastAsia="仿宋_GB2312"/>
          <w:sz w:val="32"/>
          <w:szCs w:val="32"/>
        </w:rPr>
        <w:t xml:space="preserve">占货物支出金额的100%，工程采购授予中小企业合同金额占工程支出金额的100%，服务采购授予中小企业合同金额占服务支出金额的100%。 </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三</w:t>
      </w:r>
      <w:r>
        <w:rPr>
          <w:rFonts w:hint="eastAsia" w:ascii="黑体" w:hAnsi="黑体" w:eastAsia="黑体" w:cs="黑体"/>
          <w:b w:val="0"/>
          <w:bCs/>
          <w:sz w:val="32"/>
          <w:szCs w:val="32"/>
        </w:rPr>
        <w:t>、关于国有资产占用情况说明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辆，其他用车主要是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四</w:t>
      </w:r>
      <w:r>
        <w:rPr>
          <w:rFonts w:hint="eastAsia" w:ascii="黑体" w:hAnsi="黑体" w:eastAsia="黑体" w:cs="黑体"/>
          <w:b w:val="0"/>
          <w:bCs/>
          <w:sz w:val="32"/>
          <w:szCs w:val="32"/>
        </w:rPr>
        <w:t>、关于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岳阳楼区农业农村局整体绩效自评综述：根据年初设定的整体绩效目标，整体绩效自评得分为98分。全年预算数为</w:t>
      </w:r>
      <w:r>
        <w:rPr>
          <w:rFonts w:hint="eastAsia" w:ascii="Times New Roman" w:hAnsi="Times New Roman" w:eastAsia="仿宋_GB2312"/>
          <w:sz w:val="32"/>
          <w:szCs w:val="32"/>
          <w:lang w:val="en-US" w:eastAsia="zh-CN"/>
        </w:rPr>
        <w:t>714.51</w:t>
      </w:r>
      <w:r>
        <w:rPr>
          <w:rFonts w:hint="eastAsia" w:ascii="Times New Roman" w:hAnsi="Times New Roman" w:eastAsia="仿宋_GB2312"/>
          <w:sz w:val="32"/>
          <w:szCs w:val="32"/>
        </w:rPr>
        <w:t>万元，执行数为</w:t>
      </w:r>
      <w:r>
        <w:rPr>
          <w:rFonts w:hint="eastAsia" w:ascii="Times New Roman" w:hAnsi="Times New Roman" w:eastAsia="仿宋_GB2312"/>
          <w:sz w:val="32"/>
          <w:szCs w:val="32"/>
          <w:lang w:val="en-US" w:eastAsia="zh-CN"/>
        </w:rPr>
        <w:t>3377.36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473</w:t>
      </w:r>
      <w:r>
        <w:rPr>
          <w:rFonts w:hint="eastAsia" w:ascii="Times New Roman" w:hAnsi="Times New Roman" w:eastAsia="仿宋_GB2312"/>
          <w:sz w:val="32"/>
          <w:szCs w:val="32"/>
        </w:rPr>
        <w:t>%。主要包括：巩固拓展脱贫攻坚成果，对全区脱贫户754户1784人进行了全面排查，共纳入监测对象24户43人，实现存在返贫致贫风险的“三类人员”监测纳入率、对监测对象帮扶措施到位率、返贫人口动态清零都达到100%；全力抓好农业生产。落实粮食种植面积2.1万亩，早稻种植1176亩，粮食产量稳定在5000吨以上，超额完成了省、市下达任务；巩固长江流域禁捕退捕成效，投入</w:t>
      </w:r>
      <w:r>
        <w:rPr>
          <w:rFonts w:hint="eastAsia" w:ascii="Times New Roman" w:hAnsi="Times New Roman" w:eastAsia="仿宋_GB2312"/>
          <w:sz w:val="32"/>
          <w:szCs w:val="32"/>
          <w:lang w:val="en-US" w:eastAsia="zh-CN"/>
        </w:rPr>
        <w:t>70</w:t>
      </w:r>
      <w:r>
        <w:rPr>
          <w:rFonts w:hint="eastAsia" w:ascii="Times New Roman" w:hAnsi="Times New Roman" w:eastAsia="仿宋_GB2312"/>
          <w:sz w:val="32"/>
          <w:szCs w:val="32"/>
        </w:rPr>
        <w:t>万完成岳阳楼区智慧渔政监管系统建设，完成了16个（乡）街道畜禽遗传资源普查和新资源发掘信息录入工作</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eastAsia="zh-CN"/>
        </w:rPr>
        <w:t>高标准农田建设面积0.5万亩。实施地点位于郭镇乡的建中村、麻布村、枣树村、马安村，奇家岭街道的蔡家社区、奇西社区、龙山管理处的贩中村、双塘村、阁子市社区，共3个乡（街道）9个行政村（社区）</w:t>
      </w:r>
      <w:r>
        <w:rPr>
          <w:rFonts w:hint="eastAsia" w:ascii="Times New Roman" w:hAnsi="Times New Roman" w:eastAsia="仿宋_GB2312"/>
          <w:sz w:val="32"/>
          <w:szCs w:val="32"/>
        </w:rPr>
        <w:t>等。详情见附件。</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年度区级衔接资金乡村振兴项目绩效自评综述：根据年初设定的项目绩效目标，项目绩效自评得分为100分。全年预算数为4</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0.00万元，执行数为4</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0.00万元，完成预算的100%。主要包括：安排实施项目8个，主要是用于产业扶贫和农村改厕，有效的促进乡村振兴帮扶对象内生动力，改善了村（社区）的厕所质量。详情见附件。</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 w:hAnsi="仿宋" w:eastAsia="仿宋" w:cs="仿宋"/>
          <w:color w:val="000000"/>
          <w:spacing w:val="0"/>
          <w:position w:val="0"/>
          <w:sz w:val="32"/>
          <w:szCs w:val="32"/>
          <w:lang w:val="en-US" w:eastAsia="zh-CN"/>
        </w:rPr>
      </w:pPr>
      <w:r>
        <w:rPr>
          <w:rFonts w:hint="eastAsia" w:ascii="仿宋" w:hAnsi="仿宋" w:eastAsia="仿宋" w:cs="仿宋"/>
          <w:color w:val="000000"/>
          <w:spacing w:val="0"/>
          <w:position w:val="0"/>
          <w:sz w:val="32"/>
          <w:szCs w:val="32"/>
          <w:lang w:val="en-US" w:eastAsia="zh-CN"/>
        </w:rPr>
        <w:t>1、行政经费短缺</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 w:hAnsi="仿宋" w:eastAsia="仿宋" w:cs="仿宋"/>
          <w:color w:val="000000"/>
          <w:spacing w:val="0"/>
          <w:position w:val="0"/>
          <w:sz w:val="32"/>
          <w:szCs w:val="32"/>
          <w:lang w:val="en-US" w:eastAsia="zh-CN"/>
        </w:rPr>
      </w:pPr>
      <w:r>
        <w:rPr>
          <w:rFonts w:hint="eastAsia" w:ascii="仿宋" w:hAnsi="仿宋" w:eastAsia="仿宋" w:cs="仿宋"/>
          <w:color w:val="000000"/>
          <w:spacing w:val="0"/>
          <w:position w:val="0"/>
          <w:sz w:val="32"/>
          <w:szCs w:val="32"/>
          <w:lang w:val="en-US" w:eastAsia="zh-CN"/>
        </w:rPr>
        <w:t>我局是一个职能高度综合、任务十分繁重的部门，肩负着全区农业、林业、乡村振兴、畜牧水产等二十多部行政法规执法管理等重要职责，尤其乡村振兴、动物防疫检疫、野生动物保护、林地林政管理、食品安全监管检测、森林防火监督检查等工作，点多面广，随时都需要有效的交通保障。远远超出了预算，造成行政经费短缺的现象。</w:t>
      </w:r>
    </w:p>
    <w:p>
      <w:pPr>
        <w:spacing w:line="56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2、</w:t>
      </w:r>
      <w:r>
        <w:rPr>
          <w:rFonts w:hint="eastAsia" w:ascii="仿宋" w:hAnsi="仿宋" w:eastAsia="仿宋" w:cs="仿宋"/>
          <w:bCs/>
          <w:sz w:val="32"/>
          <w:szCs w:val="32"/>
        </w:rPr>
        <w:t>预算执行进度和效率有待加强</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绩效目标管理和调整有待完善。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val="en-US" w:eastAsia="zh-CN"/>
        </w:rPr>
        <w:t>3、</w:t>
      </w:r>
      <w:r>
        <w:rPr>
          <w:rFonts w:hint="eastAsia" w:ascii="仿宋" w:hAnsi="仿宋" w:eastAsia="仿宋" w:cs="仿宋"/>
          <w:bCs/>
          <w:sz w:val="32"/>
          <w:szCs w:val="32"/>
        </w:rPr>
        <w:t>财务制度执行力有待加强，资金使用计划有待细化。部门预算管理有待进一步加强，厉行节约有待进一步落实。</w:t>
      </w:r>
    </w:p>
    <w:p>
      <w:pPr>
        <w:spacing w:line="56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4、加强组织管理人员的业务培训，提升管理能力和服务水平。</w:t>
      </w:r>
    </w:p>
    <w:p>
      <w:pPr>
        <w:widowControl w:val="0"/>
        <w:spacing w:after="120"/>
        <w:ind w:left="0" w:leftChars="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5、预算执行存在偏差，由于有的项目支出指标到12月份才下达指示，在预算执行中造成个别预算子项调剂现象。预算系统科目与决算系统科目存在偏差，不利于参考比较。</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三、财政拨款收入：指本级财政当年拨付的资金。</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四、其他收入：指除上述“财政拨款收入”、“上级补助收入”、“事业收入”、“经营收入”、“附属单位上缴收入”等以外的收入。</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五、基本支出：指保障机构正常运转、完成支日常工作任务而发生的人员支出和公用支出。</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六、项目支出：指在基本支出之外为完成特定行政任务和事业发展目标所发生的支出。</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七、会议费：反映会议中按规定开支的住宿费、伙食费、会议室租金、交通费、文件印刷费、医药费等。</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八、培训费：反映除因公出国（境）培训费以外的各类培训支出。</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CA6D4"/>
    <w:multiLevelType w:val="singleLevel"/>
    <w:tmpl w:val="863CA6D4"/>
    <w:lvl w:ilvl="0" w:tentative="0">
      <w:start w:val="2"/>
      <w:numFmt w:val="chineseCounting"/>
      <w:suff w:val="nothing"/>
      <w:lvlText w:val="（%1）"/>
      <w:lvlJc w:val="left"/>
      <w:rPr>
        <w:rFonts w:hint="eastAsia"/>
      </w:rPr>
    </w:lvl>
  </w:abstractNum>
  <w:abstractNum w:abstractNumId="1">
    <w:nsid w:val="901D95CF"/>
    <w:multiLevelType w:val="singleLevel"/>
    <w:tmpl w:val="901D95CF"/>
    <w:lvl w:ilvl="0" w:tentative="0">
      <w:start w:val="14"/>
      <w:numFmt w:val="decimal"/>
      <w:suff w:val="nothing"/>
      <w:lvlText w:val="%1、"/>
      <w:lvlJc w:val="left"/>
    </w:lvl>
  </w:abstractNum>
  <w:abstractNum w:abstractNumId="2">
    <w:nsid w:val="9CD02A05"/>
    <w:multiLevelType w:val="singleLevel"/>
    <w:tmpl w:val="9CD02A05"/>
    <w:lvl w:ilvl="0" w:tentative="0">
      <w:start w:val="3"/>
      <w:numFmt w:val="decimal"/>
      <w:suff w:val="nothing"/>
      <w:lvlText w:val="%1、"/>
      <w:lvlJc w:val="left"/>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A94FF80"/>
    <w:multiLevelType w:val="singleLevel"/>
    <w:tmpl w:val="7A94FF80"/>
    <w:lvl w:ilvl="0" w:tentative="0">
      <w:start w:val="9"/>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NjdiYTQ4YjU3NzQzODA4NmYwZjIwODI3NTU5OG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9615CA3"/>
    <w:rsid w:val="0C4843B9"/>
    <w:rsid w:val="20C91B14"/>
    <w:rsid w:val="2B1E14E9"/>
    <w:rsid w:val="2E293BF2"/>
    <w:rsid w:val="319C60B2"/>
    <w:rsid w:val="32560357"/>
    <w:rsid w:val="35E04991"/>
    <w:rsid w:val="36CC146B"/>
    <w:rsid w:val="37260AD4"/>
    <w:rsid w:val="3ABB3E24"/>
    <w:rsid w:val="3F4916CB"/>
    <w:rsid w:val="3FF40022"/>
    <w:rsid w:val="407662C0"/>
    <w:rsid w:val="47197488"/>
    <w:rsid w:val="472E3CF2"/>
    <w:rsid w:val="4A7B0214"/>
    <w:rsid w:val="4EDA1D6F"/>
    <w:rsid w:val="52DC0984"/>
    <w:rsid w:val="53C5613C"/>
    <w:rsid w:val="5777D4F5"/>
    <w:rsid w:val="5FC6BB1E"/>
    <w:rsid w:val="5FF720F1"/>
    <w:rsid w:val="68F760C0"/>
    <w:rsid w:val="6B513865"/>
    <w:rsid w:val="6F997ED1"/>
    <w:rsid w:val="6FAC09E1"/>
    <w:rsid w:val="737D59BA"/>
    <w:rsid w:val="75DF5F11"/>
    <w:rsid w:val="77C37683"/>
    <w:rsid w:val="79FF515B"/>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 w:type="paragraph" w:customStyle="1" w:styleId="15">
    <w:name w:val="181"/>
    <w:qFormat/>
    <w:uiPriority w:val="0"/>
    <w:pPr>
      <w:keepNext w:val="0"/>
      <w:keepLines w:val="0"/>
      <w:widowControl w:val="0"/>
      <w:suppressLineNumbers w:val="0"/>
      <w:spacing w:before="0" w:beforeAutospacing="0" w:after="0" w:afterAutospacing="0"/>
      <w:ind w:left="0" w:right="0"/>
      <w:jc w:val="both"/>
    </w:pPr>
    <w:rPr>
      <w:rFonts w:hint="default" w:ascii="等线" w:hAnsi="等线" w:eastAsia="等线" w:cs="Times New Roman"/>
      <w:kern w:val="2"/>
      <w:sz w:val="21"/>
      <w:szCs w:val="21"/>
      <w:lang w:val="en-US" w:eastAsia="zh-CN" w:bidi="ar"/>
    </w:rPr>
  </w:style>
  <w:style w:type="character" w:customStyle="1" w:styleId="16">
    <w:name w:val="26"/>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28</Pages>
  <Words>10133</Words>
  <Characters>12303</Characters>
  <Lines>63</Lines>
  <Paragraphs>18</Paragraphs>
  <TotalTime>3</TotalTime>
  <ScaleCrop>false</ScaleCrop>
  <LinksUpToDate>false</LinksUpToDate>
  <CharactersWithSpaces>13206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WPS_1507026332</cp:lastModifiedBy>
  <cp:lastPrinted>2023-08-15T09:28:00Z</cp:lastPrinted>
  <dcterms:modified xsi:type="dcterms:W3CDTF">2023-10-13T08:28:09Z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EE2FDFE39A754F69B431560FEAB0801A</vt:lpwstr>
  </property>
</Properties>
</file>