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69" w:rsidRPr="008B3769" w:rsidRDefault="008B3769" w:rsidP="008B3769">
      <w:pPr>
        <w:widowControl/>
        <w:shd w:val="clear" w:color="auto" w:fill="FFFFFF"/>
        <w:spacing w:line="800" w:lineRule="exact"/>
        <w:jc w:val="center"/>
        <w:textAlignment w:val="center"/>
        <w:rPr>
          <w:rFonts w:ascii="宋体" w:hAnsi="宋体" w:cs="宋体"/>
          <w:color w:val="212529"/>
          <w:kern w:val="0"/>
          <w:sz w:val="24"/>
          <w:szCs w:val="24"/>
        </w:rPr>
      </w:pPr>
      <w:r w:rsidRPr="008B3769">
        <w:rPr>
          <w:rFonts w:ascii="黑体" w:eastAsia="黑体" w:hAnsi="黑体" w:cs="宋体" w:hint="eastAsia"/>
          <w:color w:val="212529"/>
          <w:sz w:val="46"/>
          <w:szCs w:val="46"/>
        </w:rPr>
        <w:t>岳阳楼区2021年度部门（单位）整体支出</w:t>
      </w:r>
    </w:p>
    <w:p w:rsidR="008B3769" w:rsidRPr="008B3769" w:rsidRDefault="008B3769" w:rsidP="008B3769">
      <w:pPr>
        <w:widowControl/>
        <w:shd w:val="clear" w:color="auto" w:fill="FFFFFF"/>
        <w:spacing w:line="800" w:lineRule="exact"/>
        <w:jc w:val="center"/>
        <w:textAlignment w:val="center"/>
        <w:rPr>
          <w:rFonts w:ascii="宋体" w:hAnsi="宋体" w:cs="宋体"/>
          <w:color w:val="212529"/>
          <w:kern w:val="0"/>
          <w:sz w:val="24"/>
          <w:szCs w:val="24"/>
        </w:rPr>
      </w:pPr>
      <w:r w:rsidRPr="008B3769">
        <w:rPr>
          <w:rFonts w:ascii="黑体" w:eastAsia="黑体" w:hAnsi="黑体" w:cs="宋体" w:hint="eastAsia"/>
          <w:color w:val="212529"/>
          <w:sz w:val="46"/>
          <w:szCs w:val="46"/>
        </w:rPr>
        <w:t>绩效评价自评报告</w:t>
      </w:r>
    </w:p>
    <w:p w:rsidR="008B3769" w:rsidRPr="008B3769" w:rsidRDefault="008B3769" w:rsidP="008B3769">
      <w:pPr>
        <w:widowControl/>
        <w:shd w:val="clear" w:color="auto" w:fill="FFFFFF"/>
        <w:spacing w:beforeLines="50"/>
        <w:ind w:firstLineChars="150" w:firstLine="48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32"/>
          <w:szCs w:val="32"/>
        </w:rPr>
        <w:t>部门(单位</w:t>
      </w:r>
      <w:r w:rsidRPr="008B3769">
        <w:rPr>
          <w:rFonts w:ascii="Times New Roman" w:eastAsia="仿宋_GB2312" w:hAnsi="Times New Roman" w:hint="eastAsia"/>
          <w:color w:val="212529"/>
          <w:sz w:val="32"/>
          <w:szCs w:val="32"/>
        </w:rPr>
        <w:t>)</w:t>
      </w:r>
      <w:r w:rsidRPr="008B3769">
        <w:rPr>
          <w:rFonts w:ascii="仿宋_GB2312" w:eastAsia="仿宋_GB2312" w:hAnsi="宋体" w:cs="宋体" w:hint="eastAsia"/>
          <w:color w:val="212529"/>
          <w:sz w:val="32"/>
          <w:szCs w:val="32"/>
        </w:rPr>
        <w:t>名称</w:t>
      </w:r>
      <w:r w:rsidRPr="008B3769">
        <w:rPr>
          <w:rFonts w:ascii="仿宋_GB2312" w:eastAsia="仿宋_GB2312" w:hAnsi="宋体" w:cs="宋体" w:hint="eastAsia"/>
          <w:color w:val="212529"/>
          <w:sz w:val="32"/>
          <w:szCs w:val="32"/>
          <w:u w:val="single"/>
        </w:rPr>
        <w:t xml:space="preserve"> 岳阳楼区人民政府金融工作办公室 </w:t>
      </w:r>
    </w:p>
    <w:p w:rsidR="008B3769" w:rsidRPr="008B3769" w:rsidRDefault="008B3769" w:rsidP="008B3769">
      <w:pPr>
        <w:widowControl/>
        <w:shd w:val="clear" w:color="auto" w:fill="FFFFFF"/>
        <w:spacing w:beforeLines="50"/>
        <w:ind w:firstLineChars="150" w:firstLine="48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32"/>
          <w:szCs w:val="32"/>
        </w:rPr>
        <w:t>预算编码</w:t>
      </w:r>
      <w:r w:rsidRPr="008B3769">
        <w:rPr>
          <w:rFonts w:ascii="仿宋_GB2312" w:eastAsia="仿宋_GB2312" w:hAnsi="宋体" w:cs="宋体" w:hint="eastAsia"/>
          <w:color w:val="212529"/>
          <w:sz w:val="32"/>
          <w:szCs w:val="32"/>
          <w:u w:val="single"/>
        </w:rPr>
        <w:t xml:space="preserve"> </w:t>
      </w:r>
    </w:p>
    <w:p w:rsidR="008B3769" w:rsidRPr="008B3769" w:rsidRDefault="008B3769" w:rsidP="008B3769">
      <w:pPr>
        <w:widowControl/>
        <w:shd w:val="clear" w:color="auto" w:fill="FFFFFF"/>
        <w:spacing w:beforeLines="50"/>
        <w:ind w:firstLineChars="150" w:firstLine="48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32"/>
          <w:szCs w:val="32"/>
        </w:rPr>
        <w:t>评价方式：</w:t>
      </w:r>
      <w:r w:rsidRPr="008B3769">
        <w:rPr>
          <w:rFonts w:ascii="仿宋_GB2312" w:eastAsia="仿宋_GB2312" w:hAnsi="宋体" w:cs="宋体" w:hint="eastAsia"/>
          <w:color w:val="212529"/>
          <w:sz w:val="28"/>
          <w:szCs w:val="28"/>
        </w:rPr>
        <w:t>部门（单位）绩效自评</w:t>
      </w:r>
    </w:p>
    <w:p w:rsidR="008B3769" w:rsidRPr="008B3769" w:rsidRDefault="008B3769" w:rsidP="008B3769">
      <w:pPr>
        <w:widowControl/>
        <w:shd w:val="clear" w:color="auto" w:fill="FFFFFF"/>
        <w:spacing w:beforeLines="50"/>
        <w:ind w:firstLineChars="150" w:firstLine="48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32"/>
          <w:szCs w:val="32"/>
        </w:rPr>
        <w:t>评价机构：</w:t>
      </w:r>
      <w:r w:rsidRPr="008B3769">
        <w:rPr>
          <w:rFonts w:ascii="仿宋_GB2312" w:eastAsia="仿宋_GB2312" w:hAnsi="宋体" w:cs="宋体" w:hint="eastAsia"/>
          <w:color w:val="212529"/>
          <w:sz w:val="28"/>
          <w:szCs w:val="28"/>
        </w:rPr>
        <w:t xml:space="preserve">部门（单位）评价组 </w:t>
      </w:r>
    </w:p>
    <w:p w:rsidR="008B3769" w:rsidRPr="008B3769" w:rsidRDefault="008B3769" w:rsidP="008B3769">
      <w:pPr>
        <w:widowControl/>
        <w:shd w:val="clear" w:color="auto" w:fill="FFFFFF"/>
        <w:ind w:firstLineChars="690" w:firstLine="2208"/>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32"/>
          <w:szCs w:val="32"/>
        </w:rPr>
        <w:t>报告日期：2022年</w:t>
      </w:r>
      <w:r w:rsidRPr="008B3769">
        <w:rPr>
          <w:rFonts w:ascii="Times New Roman" w:eastAsia="仿宋_GB2312" w:hAnsi="Times New Roman" w:hint="eastAsia"/>
          <w:color w:val="212529"/>
          <w:sz w:val="32"/>
          <w:szCs w:val="32"/>
        </w:rPr>
        <w:t>5</w:t>
      </w:r>
      <w:r w:rsidRPr="008B3769">
        <w:rPr>
          <w:rFonts w:ascii="仿宋_GB2312" w:eastAsia="仿宋_GB2312" w:hAnsi="宋体" w:cs="宋体" w:hint="eastAsia"/>
          <w:color w:val="212529"/>
          <w:sz w:val="32"/>
          <w:szCs w:val="32"/>
        </w:rPr>
        <w:t>月</w:t>
      </w:r>
      <w:r w:rsidRPr="008B3769">
        <w:rPr>
          <w:rFonts w:ascii="Times New Roman" w:eastAsia="仿宋_GB2312" w:hAnsi="Times New Roman" w:hint="eastAsia"/>
          <w:color w:val="212529"/>
          <w:sz w:val="32"/>
          <w:szCs w:val="32"/>
        </w:rPr>
        <w:t>25</w:t>
      </w:r>
      <w:r w:rsidRPr="008B3769">
        <w:rPr>
          <w:rFonts w:ascii="仿宋_GB2312" w:eastAsia="仿宋_GB2312" w:hAnsi="宋体" w:cs="宋体" w:hint="eastAsia"/>
          <w:color w:val="212529"/>
          <w:sz w:val="32"/>
          <w:szCs w:val="32"/>
        </w:rPr>
        <w:t>日</w:t>
      </w:r>
    </w:p>
    <w:p w:rsidR="008B3769" w:rsidRPr="008B3769" w:rsidRDefault="008B3769" w:rsidP="008B3769">
      <w:pPr>
        <w:widowControl/>
        <w:shd w:val="clear" w:color="auto" w:fill="FFFFFF"/>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sz w:val="32"/>
          <w:szCs w:val="32"/>
        </w:rPr>
        <w:t>岳阳楼区财政局（制）</w:t>
      </w:r>
    </w:p>
    <w:p w:rsidR="008B3769" w:rsidRPr="008B3769" w:rsidRDefault="008B3769" w:rsidP="008B3769">
      <w:pPr>
        <w:widowControl/>
        <w:shd w:val="clear" w:color="auto" w:fill="FFFFFF"/>
        <w:spacing w:line="348" w:lineRule="auto"/>
        <w:jc w:val="left"/>
        <w:rPr>
          <w:rFonts w:ascii="黑体" w:eastAsia="黑体" w:hAnsi="黑体" w:cs="Segoe UI"/>
          <w:b/>
          <w:bCs/>
          <w:color w:val="000000"/>
          <w:sz w:val="28"/>
          <w:szCs w:val="28"/>
        </w:rPr>
        <w:sectPr w:rsidR="008B3769" w:rsidRPr="008B3769">
          <w:pgSz w:w="12240" w:h="15840"/>
          <w:pgMar w:top="1440" w:right="1800" w:bottom="1440" w:left="1800" w:header="720" w:footer="720" w:gutter="0"/>
          <w:cols w:space="720"/>
        </w:sectPr>
      </w:pPr>
    </w:p>
    <w:tbl>
      <w:tblPr>
        <w:tblW w:w="9980"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tblPr>
      <w:tblGrid>
        <w:gridCol w:w="1083"/>
        <w:gridCol w:w="194"/>
        <w:gridCol w:w="49"/>
        <w:gridCol w:w="477"/>
        <w:gridCol w:w="739"/>
        <w:gridCol w:w="333"/>
        <w:gridCol w:w="1000"/>
        <w:gridCol w:w="417"/>
        <w:gridCol w:w="902"/>
        <w:gridCol w:w="131"/>
        <w:gridCol w:w="277"/>
        <w:gridCol w:w="24"/>
        <w:gridCol w:w="1316"/>
        <w:gridCol w:w="289"/>
        <w:gridCol w:w="195"/>
        <w:gridCol w:w="178"/>
        <w:gridCol w:w="555"/>
        <w:gridCol w:w="242"/>
        <w:gridCol w:w="591"/>
        <w:gridCol w:w="539"/>
        <w:gridCol w:w="449"/>
      </w:tblGrid>
      <w:tr w:rsidR="008B3769" w:rsidRPr="008B3769" w:rsidTr="008B3769">
        <w:trPr>
          <w:trHeight w:val="501"/>
          <w:jc w:val="center"/>
        </w:trPr>
        <w:tc>
          <w:tcPr>
            <w:tcW w:w="9980" w:type="dxa"/>
            <w:gridSpan w:val="21"/>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黑体" w:eastAsia="黑体" w:hAnsi="黑体" w:cs="宋体" w:hint="eastAsia"/>
                <w:b/>
                <w:bCs/>
                <w:color w:val="000000"/>
                <w:sz w:val="28"/>
                <w:szCs w:val="28"/>
              </w:rPr>
              <w:lastRenderedPageBreak/>
              <w:t>一、部门（单位）基本概况</w:t>
            </w:r>
          </w:p>
        </w:tc>
      </w:tr>
      <w:tr w:rsidR="008B3769" w:rsidRPr="008B3769" w:rsidTr="008B3769">
        <w:trPr>
          <w:trHeight w:val="501"/>
          <w:jc w:val="center"/>
        </w:trPr>
        <w:tc>
          <w:tcPr>
            <w:tcW w:w="1083" w:type="dxa"/>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联系人</w:t>
            </w:r>
          </w:p>
        </w:tc>
        <w:tc>
          <w:tcPr>
            <w:tcW w:w="4111" w:type="dxa"/>
            <w:gridSpan w:val="8"/>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易 帆</w:t>
            </w:r>
          </w:p>
        </w:tc>
        <w:tc>
          <w:tcPr>
            <w:tcW w:w="2410"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联络电话</w:t>
            </w:r>
          </w:p>
        </w:tc>
        <w:tc>
          <w:tcPr>
            <w:tcW w:w="2376" w:type="dxa"/>
            <w:gridSpan w:val="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139XXXX1506</w:t>
            </w:r>
          </w:p>
        </w:tc>
      </w:tr>
      <w:tr w:rsidR="008B3769" w:rsidRPr="008B3769" w:rsidTr="008B3769">
        <w:trPr>
          <w:trHeight w:val="501"/>
          <w:jc w:val="center"/>
        </w:trPr>
        <w:tc>
          <w:tcPr>
            <w:tcW w:w="1083" w:type="dxa"/>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人员编制</w:t>
            </w:r>
          </w:p>
        </w:tc>
        <w:tc>
          <w:tcPr>
            <w:tcW w:w="4111" w:type="dxa"/>
            <w:gridSpan w:val="8"/>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17</w:t>
            </w:r>
          </w:p>
        </w:tc>
        <w:tc>
          <w:tcPr>
            <w:tcW w:w="2410"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实有人数</w:t>
            </w:r>
          </w:p>
        </w:tc>
        <w:tc>
          <w:tcPr>
            <w:tcW w:w="2376" w:type="dxa"/>
            <w:gridSpan w:val="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17</w:t>
            </w:r>
          </w:p>
        </w:tc>
      </w:tr>
      <w:tr w:rsidR="008B3769" w:rsidRPr="008B3769" w:rsidTr="008B3769">
        <w:trPr>
          <w:trHeight w:val="1325"/>
          <w:jc w:val="center"/>
        </w:trPr>
        <w:tc>
          <w:tcPr>
            <w:tcW w:w="1083" w:type="dxa"/>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职能职责概述</w:t>
            </w:r>
          </w:p>
        </w:tc>
        <w:tc>
          <w:tcPr>
            <w:tcW w:w="8897" w:type="dxa"/>
            <w:gridSpan w:val="20"/>
            <w:vAlign w:val="center"/>
            <w:hideMark/>
          </w:tcPr>
          <w:tbl>
            <w:tblPr>
              <w:tblW w:w="8707" w:type="dxa"/>
              <w:tblInd w:w="113" w:type="dxa"/>
              <w:tblLayout w:type="fixed"/>
              <w:tblCellMar>
                <w:left w:w="0" w:type="dxa"/>
                <w:right w:w="0" w:type="dxa"/>
              </w:tblCellMar>
              <w:tblLook w:val="04A0"/>
            </w:tblPr>
            <w:tblGrid>
              <w:gridCol w:w="8707"/>
            </w:tblGrid>
            <w:tr w:rsidR="008B3769" w:rsidRPr="008B3769" w:rsidTr="008B3769">
              <w:trPr>
                <w:trHeight w:val="1060"/>
              </w:trPr>
              <w:tc>
                <w:tcPr>
                  <w:tcW w:w="870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3769" w:rsidRPr="008B3769" w:rsidRDefault="008B3769" w:rsidP="008B3769">
                  <w:pPr>
                    <w:widowControl/>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24"/>
                      <w:szCs w:val="24"/>
                    </w:rPr>
                    <w:t>金融办主要负责研究国家金融政策</w:t>
                  </w:r>
                  <w:r w:rsidRPr="008B3769">
                    <w:rPr>
                      <w:rFonts w:ascii="Times New Roman" w:eastAsia="仿宋_GB2312" w:hAnsi="Times New Roman" w:hint="eastAsia"/>
                      <w:color w:val="212529"/>
                      <w:kern w:val="0"/>
                      <w:sz w:val="24"/>
                      <w:szCs w:val="24"/>
                    </w:rPr>
                    <w:t>,</w:t>
                  </w:r>
                  <w:r w:rsidRPr="008B3769">
                    <w:rPr>
                      <w:rFonts w:ascii="仿宋_GB2312" w:eastAsia="仿宋_GB2312" w:hAnsi="宋体" w:cs="宋体" w:hint="eastAsia"/>
                      <w:color w:val="212529"/>
                      <w:kern w:val="0"/>
                      <w:sz w:val="24"/>
                      <w:szCs w:val="24"/>
                    </w:rPr>
                    <w:t>宏观金融形势和全区金融运行情况</w:t>
                  </w:r>
                  <w:r w:rsidRPr="008B3769">
                    <w:rPr>
                      <w:rFonts w:ascii="Times New Roman" w:eastAsia="仿宋_GB2312" w:hAnsi="Times New Roman" w:hint="eastAsia"/>
                      <w:color w:val="212529"/>
                      <w:kern w:val="0"/>
                      <w:sz w:val="24"/>
                      <w:szCs w:val="24"/>
                    </w:rPr>
                    <w:t>,</w:t>
                  </w:r>
                  <w:r w:rsidRPr="008B3769">
                    <w:rPr>
                      <w:rFonts w:ascii="仿宋_GB2312" w:eastAsia="仿宋_GB2312" w:hAnsi="宋体" w:cs="宋体" w:hint="eastAsia"/>
                      <w:color w:val="212529"/>
                      <w:kern w:val="0"/>
                      <w:sz w:val="24"/>
                      <w:szCs w:val="24"/>
                    </w:rPr>
                    <w:t>会同有关部门推进全区金融市场体系建设</w:t>
                  </w:r>
                  <w:r w:rsidRPr="008B3769">
                    <w:rPr>
                      <w:rFonts w:ascii="Times New Roman" w:eastAsia="仿宋_GB2312" w:hAnsi="Times New Roman" w:hint="eastAsia"/>
                      <w:color w:val="212529"/>
                      <w:kern w:val="0"/>
                      <w:sz w:val="24"/>
                      <w:szCs w:val="24"/>
                    </w:rPr>
                    <w:t>,</w:t>
                  </w:r>
                  <w:r w:rsidRPr="008B3769">
                    <w:rPr>
                      <w:rFonts w:ascii="仿宋_GB2312" w:eastAsia="仿宋_GB2312" w:hAnsi="宋体" w:cs="宋体" w:hint="eastAsia"/>
                      <w:color w:val="212529"/>
                      <w:kern w:val="0"/>
                      <w:sz w:val="24"/>
                      <w:szCs w:val="24"/>
                    </w:rPr>
                    <w:t>贯彻执行国家有关金融工作方针政策法律法规，组织拟定金融领域有关地方性文件草案，组织拟定金融业发展战略，中长期规划，组织拟定全区金融行业服务，促进金融业发展的意见和政策，贯彻执行上级证券、期货、保险市场发展规划，相关政策并组织实施工作</w:t>
                  </w:r>
                  <w:r w:rsidRPr="008B3769">
                    <w:rPr>
                      <w:rFonts w:ascii="Times New Roman" w:eastAsia="仿宋_GB2312" w:hAnsi="Times New Roman" w:hint="eastAsia"/>
                      <w:color w:val="212529"/>
                      <w:kern w:val="0"/>
                      <w:sz w:val="24"/>
                      <w:szCs w:val="24"/>
                    </w:rPr>
                    <w:t>,</w:t>
                  </w:r>
                  <w:r w:rsidRPr="008B3769">
                    <w:rPr>
                      <w:rFonts w:ascii="仿宋_GB2312" w:eastAsia="仿宋_GB2312" w:hAnsi="宋体" w:cs="宋体" w:hint="eastAsia"/>
                      <w:color w:val="000000"/>
                      <w:kern w:val="0"/>
                      <w:sz w:val="24"/>
                      <w:szCs w:val="24"/>
                    </w:rPr>
                    <w:t>提升企业竞争力;打击和处置非法集资,预防经济犯罪宣传活动等。</w:t>
                  </w:r>
                </w:p>
              </w:tc>
            </w:tr>
          </w:tbl>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2176"/>
          <w:jc w:val="center"/>
        </w:trPr>
        <w:tc>
          <w:tcPr>
            <w:tcW w:w="1083" w:type="dxa"/>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年度主要工作内容</w:t>
            </w:r>
          </w:p>
        </w:tc>
        <w:tc>
          <w:tcPr>
            <w:tcW w:w="8897" w:type="dxa"/>
            <w:gridSpan w:val="20"/>
            <w:vAlign w:val="center"/>
            <w:hideMark/>
          </w:tcPr>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任务1：</w:t>
            </w:r>
            <w:r w:rsidRPr="008B3769">
              <w:rPr>
                <w:rFonts w:ascii="仿宋_GB2312" w:eastAsia="仿宋_GB2312" w:hAnsi="宋体" w:cs="宋体" w:hint="eastAsia"/>
                <w:color w:val="212529"/>
                <w:sz w:val="24"/>
                <w:szCs w:val="24"/>
              </w:rPr>
              <w:t>加强金融服务体系建设；</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任务2：大力</w:t>
            </w:r>
            <w:r w:rsidRPr="008B3769">
              <w:rPr>
                <w:rFonts w:ascii="仿宋_GB2312" w:eastAsia="仿宋_GB2312" w:hAnsi="宋体" w:cs="宋体" w:hint="eastAsia"/>
                <w:color w:val="212529"/>
                <w:sz w:val="24"/>
                <w:szCs w:val="24"/>
              </w:rPr>
              <w:t>引进金融机构；</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任务3：</w:t>
            </w:r>
            <w:r w:rsidRPr="008B3769">
              <w:rPr>
                <w:rFonts w:ascii="仿宋_GB2312" w:eastAsia="仿宋_GB2312" w:hAnsi="宋体" w:cs="宋体" w:hint="eastAsia"/>
                <w:color w:val="212529"/>
                <w:sz w:val="24"/>
                <w:szCs w:val="24"/>
              </w:rPr>
              <w:t>积极扩宽企业上市工作，</w:t>
            </w:r>
            <w:r w:rsidRPr="008B3769">
              <w:rPr>
                <w:rFonts w:ascii="仿宋_GB2312" w:eastAsia="仿宋_GB2312" w:hAnsi="宋体" w:cs="宋体" w:hint="eastAsia"/>
                <w:color w:val="000000"/>
                <w:sz w:val="24"/>
                <w:szCs w:val="24"/>
              </w:rPr>
              <w:t>努力为企业解困</w:t>
            </w:r>
            <w:r w:rsidRPr="008B3769">
              <w:rPr>
                <w:rFonts w:ascii="仿宋_GB2312" w:eastAsia="仿宋_GB2312" w:hAnsi="宋体" w:cs="宋体" w:hint="eastAsia"/>
                <w:color w:val="212529"/>
                <w:sz w:val="24"/>
                <w:szCs w:val="24"/>
              </w:rPr>
              <w:t>；</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4"/>
                <w:szCs w:val="24"/>
              </w:rPr>
              <w:t>任务4：有效强化金融风险管控，金融生态环境持续优化；</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4"/>
                <w:szCs w:val="24"/>
              </w:rPr>
              <w:t>任务5：加大打击非法集资宣传活动，化解民间借贷纠纷，打击传销。</w:t>
            </w:r>
          </w:p>
        </w:tc>
      </w:tr>
      <w:tr w:rsidR="008B3769" w:rsidRPr="008B3769" w:rsidTr="008B3769">
        <w:trPr>
          <w:trHeight w:val="1996"/>
          <w:jc w:val="center"/>
        </w:trPr>
        <w:tc>
          <w:tcPr>
            <w:tcW w:w="1083" w:type="dxa"/>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年度部门（单位）总体运行情况及取得的成绩</w:t>
            </w:r>
          </w:p>
        </w:tc>
        <w:tc>
          <w:tcPr>
            <w:tcW w:w="8897" w:type="dxa"/>
            <w:gridSpan w:val="20"/>
            <w:vAlign w:val="center"/>
            <w:hideMark/>
          </w:tcPr>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今年以来，在区委、区政府的坚强领导下，我办以服务高质量发展为宗旨，围绕加快构建和完善适应引领区和首善之区建设的现代金融服务体系开展工作，各项金融指标稳中有升。截止11月末，存款余额1661.66亿元，比年初新增62.38亿元，同比增长6.03%；贷款余额1539.46亿元，比年初新增163.34亿元，同比增长15.02%；2021年度金融行业创造税收5.08亿元、同比增长12.74%。金融结构进一步优化，服务水平进一步提升，促进楼区社会经济平稳发展。</w:t>
            </w:r>
          </w:p>
        </w:tc>
      </w:tr>
      <w:tr w:rsidR="008B3769" w:rsidRPr="008B3769" w:rsidTr="008B3769">
        <w:trPr>
          <w:trHeight w:val="501"/>
          <w:jc w:val="center"/>
        </w:trPr>
        <w:tc>
          <w:tcPr>
            <w:tcW w:w="9980" w:type="dxa"/>
            <w:gridSpan w:val="21"/>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黑体" w:eastAsia="黑体" w:hAnsi="黑体" w:cs="宋体" w:hint="eastAsia"/>
                <w:b/>
                <w:bCs/>
                <w:color w:val="000000"/>
                <w:sz w:val="28"/>
                <w:szCs w:val="28"/>
              </w:rPr>
              <w:t>二、部门（单位）收支情况</w:t>
            </w:r>
          </w:p>
        </w:tc>
      </w:tr>
      <w:tr w:rsidR="008B3769" w:rsidRPr="008B3769" w:rsidTr="008B3769">
        <w:trPr>
          <w:trHeight w:val="501"/>
          <w:jc w:val="center"/>
        </w:trPr>
        <w:tc>
          <w:tcPr>
            <w:tcW w:w="9980" w:type="dxa"/>
            <w:gridSpan w:val="21"/>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000000"/>
                <w:sz w:val="24"/>
                <w:szCs w:val="24"/>
              </w:rPr>
              <w:t>年度收入情况（万元）</w:t>
            </w:r>
          </w:p>
        </w:tc>
      </w:tr>
      <w:tr w:rsidR="008B3769" w:rsidRPr="008B3769" w:rsidTr="008B3769">
        <w:trPr>
          <w:trHeight w:val="501"/>
          <w:jc w:val="center"/>
        </w:trPr>
        <w:tc>
          <w:tcPr>
            <w:tcW w:w="127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机构名称</w:t>
            </w:r>
          </w:p>
        </w:tc>
        <w:tc>
          <w:tcPr>
            <w:tcW w:w="1265"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收入合计</w:t>
            </w:r>
          </w:p>
        </w:tc>
        <w:tc>
          <w:tcPr>
            <w:tcW w:w="7438" w:type="dxa"/>
            <w:gridSpan w:val="1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其中：</w:t>
            </w:r>
          </w:p>
        </w:tc>
      </w:tr>
      <w:tr w:rsidR="008B3769" w:rsidRPr="008B3769" w:rsidTr="008B3769">
        <w:trPr>
          <w:trHeight w:val="501"/>
          <w:jc w:val="center"/>
        </w:trPr>
        <w:tc>
          <w:tcPr>
            <w:tcW w:w="127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265"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333"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上年结转</w:t>
            </w:r>
          </w:p>
        </w:tc>
        <w:tc>
          <w:tcPr>
            <w:tcW w:w="1450"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公共财政拨款</w:t>
            </w:r>
          </w:p>
        </w:tc>
        <w:tc>
          <w:tcPr>
            <w:tcW w:w="1617"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政府基金拨款</w:t>
            </w:r>
          </w:p>
        </w:tc>
        <w:tc>
          <w:tcPr>
            <w:tcW w:w="2050"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纳入专户管理的非税收入拨款</w:t>
            </w:r>
          </w:p>
        </w:tc>
        <w:tc>
          <w:tcPr>
            <w:tcW w:w="988"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其他收入</w:t>
            </w:r>
          </w:p>
        </w:tc>
      </w:tr>
      <w:tr w:rsidR="008B3769" w:rsidRPr="008B3769" w:rsidTr="008B3769">
        <w:trPr>
          <w:trHeight w:val="601"/>
          <w:jc w:val="center"/>
        </w:trPr>
        <w:tc>
          <w:tcPr>
            <w:tcW w:w="1277"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区金融办</w:t>
            </w:r>
          </w:p>
        </w:tc>
        <w:tc>
          <w:tcPr>
            <w:tcW w:w="1265"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499.85</w:t>
            </w:r>
          </w:p>
        </w:tc>
        <w:tc>
          <w:tcPr>
            <w:tcW w:w="1333"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c>
          <w:tcPr>
            <w:tcW w:w="1450" w:type="dxa"/>
            <w:gridSpan w:val="3"/>
            <w:vAlign w:val="center"/>
            <w:hideMark/>
          </w:tcPr>
          <w:p w:rsidR="008B3769" w:rsidRPr="008B3769" w:rsidRDefault="008B3769" w:rsidP="008B3769">
            <w:pPr>
              <w:widowControl/>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499.85</w:t>
            </w:r>
          </w:p>
        </w:tc>
        <w:tc>
          <w:tcPr>
            <w:tcW w:w="1617"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c>
          <w:tcPr>
            <w:tcW w:w="2050"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c>
          <w:tcPr>
            <w:tcW w:w="988"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r>
      <w:tr w:rsidR="008B3769" w:rsidRPr="008B3769" w:rsidTr="008B3769">
        <w:trPr>
          <w:trHeight w:val="616"/>
          <w:jc w:val="center"/>
        </w:trPr>
        <w:tc>
          <w:tcPr>
            <w:tcW w:w="9980" w:type="dxa"/>
            <w:gridSpan w:val="21"/>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000000"/>
                <w:sz w:val="24"/>
                <w:szCs w:val="24"/>
              </w:rPr>
              <w:t>部门（单位）年度支出和结余情况（万元）</w:t>
            </w:r>
          </w:p>
        </w:tc>
      </w:tr>
      <w:tr w:rsidR="008B3769" w:rsidRPr="008B3769" w:rsidTr="008B3769">
        <w:trPr>
          <w:trHeight w:val="551"/>
          <w:jc w:val="center"/>
        </w:trPr>
        <w:tc>
          <w:tcPr>
            <w:tcW w:w="1277" w:type="dxa"/>
            <w:gridSpan w:val="2"/>
            <w:vMerge w:val="restart"/>
            <w:vAlign w:val="center"/>
            <w:hideMark/>
          </w:tcPr>
          <w:p w:rsidR="008B3769" w:rsidRPr="008B3769" w:rsidRDefault="008B3769" w:rsidP="008B3769">
            <w:pPr>
              <w:widowControl/>
              <w:snapToGrid w:val="0"/>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4"/>
                <w:szCs w:val="24"/>
              </w:rPr>
              <w:t>机构名称</w:t>
            </w:r>
          </w:p>
        </w:tc>
        <w:tc>
          <w:tcPr>
            <w:tcW w:w="1265"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支出合计</w:t>
            </w:r>
          </w:p>
        </w:tc>
        <w:tc>
          <w:tcPr>
            <w:tcW w:w="6450" w:type="dxa"/>
            <w:gridSpan w:val="1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其中：</w:t>
            </w:r>
          </w:p>
        </w:tc>
        <w:tc>
          <w:tcPr>
            <w:tcW w:w="988"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结余</w:t>
            </w:r>
          </w:p>
        </w:tc>
      </w:tr>
      <w:tr w:rsidR="008B3769" w:rsidRPr="008B3769" w:rsidTr="008B3769">
        <w:trPr>
          <w:trHeight w:val="551"/>
          <w:jc w:val="center"/>
        </w:trPr>
        <w:tc>
          <w:tcPr>
            <w:tcW w:w="127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265"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333"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基本支出</w:t>
            </w:r>
          </w:p>
        </w:tc>
        <w:tc>
          <w:tcPr>
            <w:tcW w:w="3551" w:type="dxa"/>
            <w:gridSpan w:val="8"/>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其中：</w:t>
            </w:r>
          </w:p>
        </w:tc>
        <w:tc>
          <w:tcPr>
            <w:tcW w:w="1566" w:type="dxa"/>
            <w:gridSpan w:val="4"/>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项目支出</w:t>
            </w:r>
          </w:p>
        </w:tc>
        <w:tc>
          <w:tcPr>
            <w:tcW w:w="539" w:type="dxa"/>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当年结余</w:t>
            </w:r>
          </w:p>
        </w:tc>
        <w:tc>
          <w:tcPr>
            <w:tcW w:w="449" w:type="dxa"/>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累计结余</w:t>
            </w:r>
          </w:p>
        </w:tc>
      </w:tr>
      <w:tr w:rsidR="008B3769" w:rsidRPr="008B3769" w:rsidTr="008B3769">
        <w:trPr>
          <w:trHeight w:val="551"/>
          <w:jc w:val="center"/>
        </w:trPr>
        <w:tc>
          <w:tcPr>
            <w:tcW w:w="127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265"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333"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751" w:type="dxa"/>
            <w:gridSpan w:val="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人员支出</w:t>
            </w:r>
          </w:p>
        </w:tc>
        <w:tc>
          <w:tcPr>
            <w:tcW w:w="1800"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公用支出</w:t>
            </w:r>
          </w:p>
        </w:tc>
        <w:tc>
          <w:tcPr>
            <w:tcW w:w="1566" w:type="dxa"/>
            <w:gridSpan w:val="4"/>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539" w:type="dxa"/>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449" w:type="dxa"/>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551"/>
          <w:jc w:val="center"/>
        </w:trPr>
        <w:tc>
          <w:tcPr>
            <w:tcW w:w="1277" w:type="dxa"/>
            <w:gridSpan w:val="2"/>
            <w:vAlign w:val="center"/>
            <w:hideMark/>
          </w:tcPr>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区金融办</w:t>
            </w:r>
          </w:p>
        </w:tc>
        <w:tc>
          <w:tcPr>
            <w:tcW w:w="1265"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499.85</w:t>
            </w:r>
          </w:p>
        </w:tc>
        <w:tc>
          <w:tcPr>
            <w:tcW w:w="1333"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271</w:t>
            </w:r>
          </w:p>
        </w:tc>
        <w:tc>
          <w:tcPr>
            <w:tcW w:w="1751" w:type="dxa"/>
            <w:gridSpan w:val="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190.45</w:t>
            </w:r>
          </w:p>
        </w:tc>
        <w:tc>
          <w:tcPr>
            <w:tcW w:w="1800"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60.55</w:t>
            </w:r>
          </w:p>
        </w:tc>
        <w:tc>
          <w:tcPr>
            <w:tcW w:w="1566"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248.85</w:t>
            </w:r>
          </w:p>
        </w:tc>
        <w:tc>
          <w:tcPr>
            <w:tcW w:w="988"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r>
      <w:tr w:rsidR="008B3769" w:rsidRPr="008B3769" w:rsidTr="008B3769">
        <w:trPr>
          <w:trHeight w:val="551"/>
          <w:jc w:val="center"/>
        </w:trPr>
        <w:tc>
          <w:tcPr>
            <w:tcW w:w="127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4"/>
                <w:szCs w:val="24"/>
              </w:rPr>
              <w:t>机构名称</w:t>
            </w:r>
          </w:p>
        </w:tc>
        <w:tc>
          <w:tcPr>
            <w:tcW w:w="1265"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三公经费</w:t>
            </w:r>
          </w:p>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合计</w:t>
            </w:r>
          </w:p>
        </w:tc>
        <w:tc>
          <w:tcPr>
            <w:tcW w:w="7438" w:type="dxa"/>
            <w:gridSpan w:val="1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其中：</w:t>
            </w:r>
          </w:p>
        </w:tc>
      </w:tr>
      <w:tr w:rsidR="008B3769" w:rsidRPr="008B3769" w:rsidTr="008B3769">
        <w:trPr>
          <w:trHeight w:val="551"/>
          <w:jc w:val="center"/>
        </w:trPr>
        <w:tc>
          <w:tcPr>
            <w:tcW w:w="127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265"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333"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公务接待费</w:t>
            </w:r>
          </w:p>
        </w:tc>
        <w:tc>
          <w:tcPr>
            <w:tcW w:w="1751" w:type="dxa"/>
            <w:gridSpan w:val="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公务用车运维费</w:t>
            </w:r>
          </w:p>
        </w:tc>
        <w:tc>
          <w:tcPr>
            <w:tcW w:w="1800"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公务用车购置费</w:t>
            </w:r>
          </w:p>
        </w:tc>
        <w:tc>
          <w:tcPr>
            <w:tcW w:w="1566"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因公出国费</w:t>
            </w:r>
          </w:p>
        </w:tc>
        <w:tc>
          <w:tcPr>
            <w:tcW w:w="988" w:type="dxa"/>
            <w:gridSpan w:val="2"/>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551"/>
          <w:jc w:val="center"/>
        </w:trPr>
        <w:tc>
          <w:tcPr>
            <w:tcW w:w="1277" w:type="dxa"/>
            <w:gridSpan w:val="2"/>
            <w:vAlign w:val="center"/>
            <w:hideMark/>
          </w:tcPr>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区金融办</w:t>
            </w:r>
          </w:p>
        </w:tc>
        <w:tc>
          <w:tcPr>
            <w:tcW w:w="1265"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2.7</w:t>
            </w:r>
          </w:p>
        </w:tc>
        <w:tc>
          <w:tcPr>
            <w:tcW w:w="1333"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2.7</w:t>
            </w:r>
          </w:p>
        </w:tc>
        <w:tc>
          <w:tcPr>
            <w:tcW w:w="1751" w:type="dxa"/>
            <w:gridSpan w:val="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c>
          <w:tcPr>
            <w:tcW w:w="1800"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c>
          <w:tcPr>
            <w:tcW w:w="1566"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c>
          <w:tcPr>
            <w:tcW w:w="988" w:type="dxa"/>
            <w:gridSpan w:val="2"/>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551"/>
          <w:jc w:val="center"/>
        </w:trPr>
        <w:tc>
          <w:tcPr>
            <w:tcW w:w="127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4"/>
                <w:szCs w:val="24"/>
              </w:rPr>
              <w:t>机构名称</w:t>
            </w:r>
          </w:p>
        </w:tc>
        <w:tc>
          <w:tcPr>
            <w:tcW w:w="1265"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固定资产</w:t>
            </w:r>
          </w:p>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合计</w:t>
            </w:r>
          </w:p>
        </w:tc>
        <w:tc>
          <w:tcPr>
            <w:tcW w:w="6450" w:type="dxa"/>
            <w:gridSpan w:val="1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其中：</w:t>
            </w:r>
          </w:p>
        </w:tc>
        <w:tc>
          <w:tcPr>
            <w:tcW w:w="988"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其他</w:t>
            </w:r>
          </w:p>
        </w:tc>
      </w:tr>
      <w:tr w:rsidR="008B3769" w:rsidRPr="008B3769" w:rsidTr="008B3769">
        <w:trPr>
          <w:trHeight w:val="551"/>
          <w:jc w:val="center"/>
        </w:trPr>
        <w:tc>
          <w:tcPr>
            <w:tcW w:w="127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265"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3084"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在用固定资产</w:t>
            </w:r>
          </w:p>
        </w:tc>
        <w:tc>
          <w:tcPr>
            <w:tcW w:w="3366"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出租固定资产</w:t>
            </w:r>
          </w:p>
        </w:tc>
        <w:tc>
          <w:tcPr>
            <w:tcW w:w="988"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r>
      <w:tr w:rsidR="008B3769" w:rsidRPr="008B3769" w:rsidTr="008B3769">
        <w:trPr>
          <w:trHeight w:val="551"/>
          <w:jc w:val="center"/>
        </w:trPr>
        <w:tc>
          <w:tcPr>
            <w:tcW w:w="1277" w:type="dxa"/>
            <w:gridSpan w:val="2"/>
            <w:vAlign w:val="center"/>
            <w:hideMark/>
          </w:tcPr>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区金融办</w:t>
            </w:r>
          </w:p>
        </w:tc>
        <w:tc>
          <w:tcPr>
            <w:tcW w:w="1265"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17.8</w:t>
            </w:r>
          </w:p>
        </w:tc>
        <w:tc>
          <w:tcPr>
            <w:tcW w:w="3084"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17.8</w:t>
            </w:r>
          </w:p>
        </w:tc>
        <w:tc>
          <w:tcPr>
            <w:tcW w:w="3366"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c>
          <w:tcPr>
            <w:tcW w:w="988" w:type="dxa"/>
            <w:gridSpan w:val="2"/>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0</w:t>
            </w:r>
          </w:p>
        </w:tc>
      </w:tr>
      <w:tr w:rsidR="008B3769" w:rsidRPr="008B3769" w:rsidTr="008B3769">
        <w:trPr>
          <w:trHeight w:val="501"/>
          <w:jc w:val="center"/>
        </w:trPr>
        <w:tc>
          <w:tcPr>
            <w:tcW w:w="9980" w:type="dxa"/>
            <w:gridSpan w:val="21"/>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黑体" w:eastAsia="黑体" w:hAnsi="黑体" w:cs="宋体" w:hint="eastAsia"/>
                <w:b/>
                <w:bCs/>
                <w:color w:val="000000"/>
                <w:sz w:val="28"/>
                <w:szCs w:val="28"/>
              </w:rPr>
              <w:t>三、部门（单位）整体支出绩效自评情况</w:t>
            </w:r>
          </w:p>
        </w:tc>
      </w:tr>
      <w:tr w:rsidR="008B3769" w:rsidRPr="008B3769" w:rsidTr="008B3769">
        <w:trPr>
          <w:trHeight w:val="501"/>
          <w:jc w:val="center"/>
        </w:trPr>
        <w:tc>
          <w:tcPr>
            <w:tcW w:w="1326"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整体支出绩效定性目标及实施计划完成情况</w:t>
            </w:r>
          </w:p>
        </w:tc>
        <w:tc>
          <w:tcPr>
            <w:tcW w:w="4276" w:type="dxa"/>
            <w:gridSpan w:val="8"/>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预期目标</w:t>
            </w:r>
          </w:p>
        </w:tc>
        <w:tc>
          <w:tcPr>
            <w:tcW w:w="4378" w:type="dxa"/>
            <w:gridSpan w:val="10"/>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实际完成</w:t>
            </w:r>
          </w:p>
        </w:tc>
      </w:tr>
      <w:tr w:rsidR="008B3769" w:rsidRPr="008B3769" w:rsidTr="008B3769">
        <w:trPr>
          <w:trHeight w:val="2240"/>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4276" w:type="dxa"/>
            <w:gridSpan w:val="8"/>
            <w:vAlign w:val="center"/>
            <w:hideMark/>
          </w:tcPr>
          <w:p w:rsidR="008B3769" w:rsidRPr="008B3769" w:rsidRDefault="008B3769" w:rsidP="008B3769">
            <w:pPr>
              <w:spacing w:line="400" w:lineRule="exact"/>
              <w:jc w:val="left"/>
              <w:textAlignment w:val="center"/>
              <w:rPr>
                <w:rFonts w:ascii="宋体" w:hAnsi="宋体" w:cs="宋体" w:hint="eastAsia"/>
                <w:color w:val="212529"/>
                <w:kern w:val="0"/>
                <w:sz w:val="24"/>
                <w:szCs w:val="24"/>
              </w:rPr>
            </w:pPr>
            <w:r w:rsidRPr="008B3769">
              <w:rPr>
                <w:rFonts w:ascii="仿宋_GB2312" w:eastAsia="仿宋_GB2312" w:hAnsi="宋体" w:cs="宋体" w:hint="eastAsia"/>
                <w:color w:val="000000"/>
                <w:sz w:val="24"/>
                <w:szCs w:val="24"/>
              </w:rPr>
              <w:t>目标1：引进金融机构,积极搭建各类金企对接交流平台，组织开展区融资专项辅导培训班、深入各市县交流工作。</w:t>
            </w:r>
          </w:p>
          <w:p w:rsidR="008B3769" w:rsidRPr="008B3769" w:rsidRDefault="008B3769" w:rsidP="008B3769">
            <w:pPr>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目标2：坚持发展与监管并举,推动小额贷公司规范健康发展,每月进行财务现场检查，积极招商引行，推动我区经济快速发展。努力为企业解困，根据公司的问题，按“一企一策”的原则，依据实际情况制定化解方案。</w:t>
            </w:r>
          </w:p>
          <w:p w:rsidR="008B3769" w:rsidRPr="008B3769" w:rsidRDefault="008B3769" w:rsidP="008B3769">
            <w:pPr>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目标3：推动区金融证券保险公司筹备活动，积极开展设立保险证券公司的协调指导工作；保险知识培训。</w:t>
            </w:r>
          </w:p>
          <w:p w:rsidR="008B3769" w:rsidRPr="008B3769" w:rsidRDefault="008B3769" w:rsidP="008B3769">
            <w:pPr>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目标4：召开防范和打击非法集资暨涉企金融风险防范工作会议，融资性担保业务培训，加强宣传教育活动,提高群众自我保护意识,为集资群众挽回经济损失.</w:t>
            </w:r>
          </w:p>
        </w:tc>
        <w:tc>
          <w:tcPr>
            <w:tcW w:w="4378" w:type="dxa"/>
            <w:gridSpan w:val="10"/>
            <w:vAlign w:val="center"/>
            <w:hideMark/>
          </w:tcPr>
          <w:p w:rsidR="008B3769" w:rsidRPr="008B3769" w:rsidRDefault="008B3769" w:rsidP="008B3769">
            <w:pPr>
              <w:widowControl/>
              <w:shd w:val="clear" w:color="auto" w:fill="FFFFFF"/>
              <w:autoSpaceDE w:val="0"/>
              <w:snapToGrid w:val="0"/>
              <w:spacing w:line="400" w:lineRule="exact"/>
              <w:ind w:firstLineChars="200" w:firstLine="480"/>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结合工作职能和实际，认真组织实施金融业务知识培训。引进6家金融机构现已正式挂牌开业；今年4月，组织辖区40多家企业、重点项目参加全市政银企对接会，现场签订121.5亿元的意向信贷协议，经银行信息反馈现已发放贷款比例达75%。积极主动对接市融资担保公司在我区开展担保</w:t>
            </w:r>
            <w:r w:rsidRPr="008B3769">
              <w:rPr>
                <w:rFonts w:ascii="仿宋_GB2312" w:eastAsia="仿宋_GB2312" w:hAnsi="宋体" w:cs="宋体" w:hint="eastAsia"/>
                <w:color w:val="000000"/>
                <w:kern w:val="0"/>
                <w:sz w:val="24"/>
                <w:szCs w:val="24"/>
                <w:shd w:val="clear" w:color="auto" w:fill="FFFFFF"/>
              </w:rPr>
              <w:t>业务。今年市融资担保公司已对我区担保贷款147笔、累计担保贷款5.26亿元。组织区内企业参加省、市举办的知识培训，引导企业学习证券、法律、会计等知识，今年共计组织企业负责人150人次参加培训;为集资</w:t>
            </w:r>
            <w:r w:rsidRPr="008B3769">
              <w:rPr>
                <w:rFonts w:ascii="仿宋_GB2312" w:eastAsia="仿宋_GB2312" w:hAnsi="宋体" w:cs="宋体" w:hint="eastAsia"/>
                <w:color w:val="000000"/>
                <w:sz w:val="24"/>
                <w:szCs w:val="24"/>
              </w:rPr>
              <w:t>群众挽回经济损失,</w:t>
            </w:r>
            <w:r w:rsidRPr="008B3769">
              <w:rPr>
                <w:rFonts w:ascii="仿宋_GB2312" w:eastAsia="仿宋_GB2312" w:hAnsi="宋体" w:cs="宋体" w:hint="eastAsia"/>
                <w:color w:val="000000"/>
                <w:kern w:val="0"/>
                <w:sz w:val="24"/>
                <w:szCs w:val="24"/>
                <w:shd w:val="clear" w:color="auto" w:fill="FFFFFF"/>
              </w:rPr>
              <w:t>较好的完成了各项工作目标作任务.</w:t>
            </w:r>
          </w:p>
        </w:tc>
      </w:tr>
      <w:tr w:rsidR="008B3769" w:rsidRPr="008B3769" w:rsidTr="008B3769">
        <w:trPr>
          <w:trHeight w:val="501"/>
          <w:jc w:val="center"/>
        </w:trPr>
        <w:tc>
          <w:tcPr>
            <w:tcW w:w="1326"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hint="eastAsia"/>
                <w:color w:val="212529"/>
                <w:kern w:val="0"/>
                <w:sz w:val="24"/>
                <w:szCs w:val="24"/>
              </w:rPr>
            </w:pPr>
            <w:r w:rsidRPr="008B3769">
              <w:rPr>
                <w:rFonts w:ascii="仿宋_GB2312" w:eastAsia="仿宋_GB2312" w:hAnsi="宋体" w:cs="宋体" w:hint="eastAsia"/>
                <w:color w:val="000000"/>
                <w:sz w:val="24"/>
                <w:szCs w:val="24"/>
              </w:rPr>
              <w:t>整体支出</w:t>
            </w:r>
          </w:p>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绩效定量目标及实施计划</w:t>
            </w:r>
          </w:p>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lastRenderedPageBreak/>
              <w:t>完成情况</w:t>
            </w:r>
          </w:p>
        </w:tc>
        <w:tc>
          <w:tcPr>
            <w:tcW w:w="2966" w:type="dxa"/>
            <w:gridSpan w:val="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lastRenderedPageBreak/>
              <w:t>评价内容</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绩效内容</w:t>
            </w:r>
          </w:p>
        </w:tc>
        <w:tc>
          <w:tcPr>
            <w:tcW w:w="928"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绩效</w:t>
            </w:r>
          </w:p>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目标值</w:t>
            </w: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完成情况</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hint="eastAsia"/>
                <w:color w:val="212529"/>
                <w:kern w:val="0"/>
                <w:sz w:val="24"/>
                <w:szCs w:val="24"/>
              </w:rPr>
            </w:pPr>
            <w:r w:rsidRPr="008B3769">
              <w:rPr>
                <w:rFonts w:ascii="仿宋_GB2312" w:eastAsia="仿宋_GB2312" w:hAnsi="宋体" w:cs="宋体" w:hint="eastAsia"/>
                <w:color w:val="000000"/>
                <w:sz w:val="24"/>
                <w:szCs w:val="24"/>
              </w:rPr>
              <w:t>产出目标</w:t>
            </w:r>
          </w:p>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（部门工作实</w:t>
            </w:r>
            <w:r w:rsidRPr="008B3769">
              <w:rPr>
                <w:rFonts w:ascii="仿宋_GB2312" w:eastAsia="仿宋_GB2312" w:hAnsi="宋体" w:cs="宋体" w:hint="eastAsia"/>
                <w:color w:val="000000"/>
                <w:sz w:val="24"/>
                <w:szCs w:val="24"/>
              </w:rPr>
              <w:lastRenderedPageBreak/>
              <w:t>绩，即绩效办制定的单位年度考核计分办法中考核的部门工作实绩内容）</w:t>
            </w: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lastRenderedPageBreak/>
              <w:t>质量指标</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引进金融机构</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加快非法集资案件处置</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数量指标</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组织各类金融业务知识培训</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7"/>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举办防范和打击非法集资宣传</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时效指标</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项目资金拔付及时</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成本指标</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严格按财政预算实施</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严格遵守政府采购程序</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restart"/>
            <w:vAlign w:val="center"/>
            <w:hideMark/>
          </w:tcPr>
          <w:p w:rsidR="008B3769" w:rsidRPr="008B3769" w:rsidRDefault="008B3769" w:rsidP="008B3769">
            <w:pPr>
              <w:widowControl/>
              <w:spacing w:line="400" w:lineRule="exact"/>
              <w:jc w:val="center"/>
              <w:textAlignment w:val="center"/>
              <w:rPr>
                <w:rFonts w:ascii="宋体" w:hAnsi="宋体" w:cs="宋体" w:hint="eastAsia"/>
                <w:color w:val="212529"/>
                <w:kern w:val="0"/>
                <w:sz w:val="24"/>
                <w:szCs w:val="24"/>
              </w:rPr>
            </w:pPr>
            <w:r w:rsidRPr="008B3769">
              <w:rPr>
                <w:rFonts w:ascii="仿宋_GB2312" w:eastAsia="仿宋_GB2312" w:hAnsi="宋体" w:cs="宋体" w:hint="eastAsia"/>
                <w:color w:val="000000"/>
                <w:sz w:val="24"/>
                <w:szCs w:val="24"/>
              </w:rPr>
              <w:t>效益目标</w:t>
            </w:r>
          </w:p>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（预期实现的效益）</w:t>
            </w: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社会效益</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解决就业,增加税收</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带动企业上市</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经济效益</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依法依规为债权人挽回经济损失</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生态效益</w:t>
            </w: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szCs w:val="21"/>
              </w:rPr>
              <w:t>中长期贷款增长率</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restart"/>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社会公众或服务对象满意度</w:t>
            </w:r>
          </w:p>
        </w:tc>
        <w:tc>
          <w:tcPr>
            <w:tcW w:w="2939" w:type="dxa"/>
            <w:gridSpan w:val="6"/>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401"/>
          <w:jc w:val="center"/>
        </w:trPr>
        <w:tc>
          <w:tcPr>
            <w:tcW w:w="1326"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549" w:type="dxa"/>
            <w:gridSpan w:val="3"/>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1417" w:type="dxa"/>
            <w:gridSpan w:val="2"/>
            <w:vMerge/>
            <w:vAlign w:val="center"/>
            <w:hideMark/>
          </w:tcPr>
          <w:p w:rsidR="008B3769" w:rsidRPr="008B3769" w:rsidRDefault="008B3769" w:rsidP="008B3769">
            <w:pPr>
              <w:widowControl/>
              <w:jc w:val="left"/>
              <w:rPr>
                <w:rFonts w:ascii="宋体" w:hAnsi="宋体" w:cs="宋体"/>
                <w:color w:val="212529"/>
                <w:kern w:val="0"/>
                <w:sz w:val="24"/>
                <w:szCs w:val="24"/>
              </w:rPr>
            </w:pPr>
          </w:p>
        </w:tc>
        <w:tc>
          <w:tcPr>
            <w:tcW w:w="2939"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服务对象满意度</w:t>
            </w:r>
          </w:p>
        </w:tc>
        <w:tc>
          <w:tcPr>
            <w:tcW w:w="928"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821"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501"/>
          <w:jc w:val="center"/>
        </w:trPr>
        <w:tc>
          <w:tcPr>
            <w:tcW w:w="2875"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绩效自评综合得分</w:t>
            </w:r>
          </w:p>
        </w:tc>
        <w:tc>
          <w:tcPr>
            <w:tcW w:w="7105" w:type="dxa"/>
            <w:gridSpan w:val="1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100</w:t>
            </w:r>
          </w:p>
        </w:tc>
      </w:tr>
      <w:tr w:rsidR="008B3769" w:rsidRPr="008B3769" w:rsidTr="008B3769">
        <w:trPr>
          <w:trHeight w:val="501"/>
          <w:jc w:val="center"/>
        </w:trPr>
        <w:tc>
          <w:tcPr>
            <w:tcW w:w="2875" w:type="dxa"/>
            <w:gridSpan w:val="6"/>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评价等次</w:t>
            </w:r>
          </w:p>
        </w:tc>
        <w:tc>
          <w:tcPr>
            <w:tcW w:w="7105" w:type="dxa"/>
            <w:gridSpan w:val="15"/>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优</w:t>
            </w:r>
          </w:p>
        </w:tc>
      </w:tr>
      <w:tr w:rsidR="008B3769" w:rsidRPr="008B3769" w:rsidTr="008B3769">
        <w:trPr>
          <w:trHeight w:val="601"/>
          <w:jc w:val="center"/>
        </w:trPr>
        <w:tc>
          <w:tcPr>
            <w:tcW w:w="9980" w:type="dxa"/>
            <w:gridSpan w:val="21"/>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黑体" w:eastAsia="黑体" w:hAnsi="黑体" w:cs="宋体" w:hint="eastAsia"/>
                <w:b/>
                <w:bCs/>
                <w:color w:val="000000"/>
                <w:sz w:val="28"/>
                <w:szCs w:val="28"/>
              </w:rPr>
              <w:t>四、评价人员</w:t>
            </w:r>
          </w:p>
        </w:tc>
      </w:tr>
      <w:tr w:rsidR="008B3769" w:rsidRPr="008B3769" w:rsidTr="008B3769">
        <w:trPr>
          <w:trHeight w:val="605"/>
          <w:jc w:val="center"/>
        </w:trPr>
        <w:tc>
          <w:tcPr>
            <w:tcW w:w="1803"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姓 名</w:t>
            </w:r>
          </w:p>
        </w:tc>
        <w:tc>
          <w:tcPr>
            <w:tcW w:w="3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职务/职称</w:t>
            </w:r>
          </w:p>
        </w:tc>
        <w:tc>
          <w:tcPr>
            <w:tcW w:w="2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单 位</w:t>
            </w:r>
          </w:p>
        </w:tc>
        <w:tc>
          <w:tcPr>
            <w:tcW w:w="1579" w:type="dxa"/>
            <w:gridSpan w:val="3"/>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签 字</w:t>
            </w:r>
          </w:p>
        </w:tc>
      </w:tr>
      <w:tr w:rsidR="008B3769" w:rsidRPr="008B3769" w:rsidTr="008B3769">
        <w:trPr>
          <w:trHeight w:val="601"/>
          <w:jc w:val="center"/>
        </w:trPr>
        <w:tc>
          <w:tcPr>
            <w:tcW w:w="1803"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冯学勇</w:t>
            </w:r>
          </w:p>
        </w:tc>
        <w:tc>
          <w:tcPr>
            <w:tcW w:w="3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主 任</w:t>
            </w:r>
          </w:p>
        </w:tc>
        <w:tc>
          <w:tcPr>
            <w:tcW w:w="2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金融办</w:t>
            </w:r>
          </w:p>
        </w:tc>
        <w:tc>
          <w:tcPr>
            <w:tcW w:w="1579"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01"/>
          <w:jc w:val="center"/>
        </w:trPr>
        <w:tc>
          <w:tcPr>
            <w:tcW w:w="1803"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李学军</w:t>
            </w:r>
          </w:p>
        </w:tc>
        <w:tc>
          <w:tcPr>
            <w:tcW w:w="3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财务负责人</w:t>
            </w:r>
          </w:p>
        </w:tc>
        <w:tc>
          <w:tcPr>
            <w:tcW w:w="2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金融办</w:t>
            </w:r>
          </w:p>
        </w:tc>
        <w:tc>
          <w:tcPr>
            <w:tcW w:w="1579"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01"/>
          <w:jc w:val="center"/>
        </w:trPr>
        <w:tc>
          <w:tcPr>
            <w:tcW w:w="1803"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李凤求</w:t>
            </w:r>
          </w:p>
        </w:tc>
        <w:tc>
          <w:tcPr>
            <w:tcW w:w="3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办公室主任</w:t>
            </w:r>
          </w:p>
        </w:tc>
        <w:tc>
          <w:tcPr>
            <w:tcW w:w="2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金融办</w:t>
            </w:r>
          </w:p>
        </w:tc>
        <w:tc>
          <w:tcPr>
            <w:tcW w:w="1579"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01"/>
          <w:jc w:val="center"/>
        </w:trPr>
        <w:tc>
          <w:tcPr>
            <w:tcW w:w="1803" w:type="dxa"/>
            <w:gridSpan w:val="4"/>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易 帆</w:t>
            </w:r>
          </w:p>
        </w:tc>
        <w:tc>
          <w:tcPr>
            <w:tcW w:w="3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办公室副主任、财务</w:t>
            </w:r>
          </w:p>
        </w:tc>
        <w:tc>
          <w:tcPr>
            <w:tcW w:w="2799" w:type="dxa"/>
            <w:gridSpan w:val="7"/>
            <w:vAlign w:val="center"/>
            <w:hideMark/>
          </w:tcPr>
          <w:p w:rsidR="008B3769" w:rsidRPr="008B3769" w:rsidRDefault="008B3769" w:rsidP="008B3769">
            <w:pPr>
              <w:widowControl/>
              <w:spacing w:line="40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金融办</w:t>
            </w:r>
          </w:p>
        </w:tc>
        <w:tc>
          <w:tcPr>
            <w:tcW w:w="1579" w:type="dxa"/>
            <w:gridSpan w:val="3"/>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2542"/>
          <w:jc w:val="center"/>
        </w:trPr>
        <w:tc>
          <w:tcPr>
            <w:tcW w:w="9980" w:type="dxa"/>
            <w:gridSpan w:val="21"/>
            <w:vAlign w:val="center"/>
            <w:hideMark/>
          </w:tcPr>
          <w:p w:rsidR="008B3769" w:rsidRPr="008B3769" w:rsidRDefault="008B3769" w:rsidP="008B3769">
            <w:pPr>
              <w:widowControl/>
              <w:spacing w:line="400" w:lineRule="exact"/>
              <w:jc w:val="left"/>
              <w:textAlignment w:val="center"/>
              <w:rPr>
                <w:rFonts w:ascii="宋体" w:hAnsi="宋体" w:cs="宋体" w:hint="eastAsia"/>
                <w:color w:val="212529"/>
                <w:kern w:val="0"/>
                <w:sz w:val="24"/>
                <w:szCs w:val="24"/>
              </w:rPr>
            </w:pPr>
            <w:r w:rsidRPr="008B3769">
              <w:rPr>
                <w:rFonts w:ascii="仿宋_GB2312" w:eastAsia="仿宋_GB2312" w:hAnsi="宋体" w:cs="宋体" w:hint="eastAsia"/>
                <w:color w:val="000000"/>
                <w:sz w:val="24"/>
                <w:szCs w:val="24"/>
              </w:rPr>
              <w:lastRenderedPageBreak/>
              <w:t>评价组组长（签字）：</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2022年 5月25日</w:t>
            </w:r>
          </w:p>
        </w:tc>
      </w:tr>
      <w:tr w:rsidR="008B3769" w:rsidRPr="008B3769" w:rsidTr="008B3769">
        <w:trPr>
          <w:trHeight w:val="2676"/>
          <w:jc w:val="center"/>
        </w:trPr>
        <w:tc>
          <w:tcPr>
            <w:tcW w:w="9980" w:type="dxa"/>
            <w:gridSpan w:val="21"/>
            <w:vAlign w:val="center"/>
            <w:hideMark/>
          </w:tcPr>
          <w:p w:rsidR="008B3769" w:rsidRPr="008B3769" w:rsidRDefault="008B3769" w:rsidP="008B3769">
            <w:pPr>
              <w:widowControl/>
              <w:spacing w:line="400" w:lineRule="exact"/>
              <w:jc w:val="left"/>
              <w:textAlignment w:val="center"/>
              <w:rPr>
                <w:rFonts w:ascii="宋体" w:hAnsi="宋体" w:cs="宋体" w:hint="eastAsia"/>
                <w:color w:val="212529"/>
                <w:kern w:val="0"/>
                <w:sz w:val="24"/>
                <w:szCs w:val="24"/>
              </w:rPr>
            </w:pPr>
            <w:r w:rsidRPr="008B3769">
              <w:rPr>
                <w:rFonts w:ascii="仿宋_GB2312" w:eastAsia="仿宋_GB2312" w:hAnsi="宋体" w:cs="宋体" w:hint="eastAsia"/>
                <w:color w:val="000000"/>
                <w:sz w:val="24"/>
                <w:szCs w:val="24"/>
              </w:rPr>
              <w:t>部门（单位）意见：</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部门（单位）负责人（签字）：</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2022年 5月25日</w:t>
            </w:r>
          </w:p>
        </w:tc>
      </w:tr>
      <w:tr w:rsidR="008B3769" w:rsidRPr="008B3769" w:rsidTr="008B3769">
        <w:trPr>
          <w:trHeight w:val="4813"/>
          <w:jc w:val="center"/>
        </w:trPr>
        <w:tc>
          <w:tcPr>
            <w:tcW w:w="9980" w:type="dxa"/>
            <w:gridSpan w:val="21"/>
            <w:vAlign w:val="center"/>
            <w:hideMark/>
          </w:tcPr>
          <w:p w:rsidR="008B3769" w:rsidRPr="008B3769" w:rsidRDefault="008B3769" w:rsidP="008B3769">
            <w:pPr>
              <w:widowControl/>
              <w:spacing w:line="400" w:lineRule="exact"/>
              <w:jc w:val="left"/>
              <w:textAlignment w:val="center"/>
              <w:rPr>
                <w:rFonts w:ascii="宋体" w:hAnsi="宋体" w:cs="宋体" w:hint="eastAsia"/>
                <w:color w:val="212529"/>
                <w:kern w:val="0"/>
                <w:sz w:val="24"/>
                <w:szCs w:val="24"/>
              </w:rPr>
            </w:pPr>
            <w:r w:rsidRPr="008B3769">
              <w:rPr>
                <w:rFonts w:ascii="仿宋_GB2312" w:eastAsia="仿宋_GB2312" w:hAnsi="宋体" w:cs="宋体" w:hint="eastAsia"/>
                <w:color w:val="000000"/>
                <w:sz w:val="24"/>
                <w:szCs w:val="24"/>
              </w:rPr>
              <w:t>财政部门归口业务科室意见：</w:t>
            </w:r>
          </w:p>
          <w:p w:rsidR="008B3769" w:rsidRPr="008B3769" w:rsidRDefault="008B3769" w:rsidP="008B3769">
            <w:pPr>
              <w:widowControl/>
              <w:spacing w:line="400" w:lineRule="exact"/>
              <w:ind w:firstLineChars="1800" w:firstLine="4320"/>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 xml:space="preserve">财政部门归口业务科室负责人（签章）： </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4"/>
                <w:szCs w:val="24"/>
              </w:rPr>
              <w:t>2022年 月 日</w:t>
            </w:r>
          </w:p>
        </w:tc>
      </w:tr>
    </w:tbl>
    <w:p w:rsidR="008B3769" w:rsidRPr="008B3769" w:rsidRDefault="008B3769" w:rsidP="008B3769">
      <w:pPr>
        <w:widowControl/>
        <w:shd w:val="clear" w:color="auto" w:fill="FFFFFF"/>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8"/>
          <w:szCs w:val="28"/>
        </w:rPr>
        <w:t>填报人（签名）：</w:t>
      </w:r>
      <w:r w:rsidRPr="008B3769">
        <w:rPr>
          <w:rFonts w:ascii="仿宋_GB2312" w:eastAsia="仿宋_GB2312" w:hAnsi="宋体" w:cs="宋体" w:hint="eastAsia"/>
          <w:color w:val="000000"/>
          <w:sz w:val="24"/>
          <w:szCs w:val="24"/>
        </w:rPr>
        <w:t>易 帆</w:t>
      </w:r>
      <w:r w:rsidRPr="008B3769">
        <w:rPr>
          <w:rFonts w:ascii="仿宋_GB2312" w:eastAsia="仿宋_GB2312" w:hAnsi="宋体" w:cs="宋体" w:hint="eastAsia"/>
          <w:color w:val="212529"/>
          <w:sz w:val="28"/>
          <w:szCs w:val="28"/>
        </w:rPr>
        <w:t xml:space="preserve"> 联系电话：</w:t>
      </w:r>
      <w:r w:rsidRPr="008B3769">
        <w:rPr>
          <w:rFonts w:ascii="仿宋_GB2312" w:eastAsia="仿宋_GB2312" w:hAnsi="宋体" w:cs="宋体" w:hint="eastAsia"/>
          <w:color w:val="000000"/>
          <w:sz w:val="24"/>
          <w:szCs w:val="24"/>
        </w:rPr>
        <w:t>139XXXX1506</w:t>
      </w:r>
    </w:p>
    <w:tbl>
      <w:tblPr>
        <w:tblW w:w="10169"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9"/>
      </w:tblGrid>
      <w:tr w:rsidR="008B3769" w:rsidRPr="008B3769" w:rsidTr="008B3769">
        <w:trPr>
          <w:trHeight w:val="12998"/>
          <w:jc w:val="center"/>
        </w:trPr>
        <w:tc>
          <w:tcPr>
            <w:tcW w:w="10169" w:type="dxa"/>
            <w:tcBorders>
              <w:top w:val="single" w:sz="4" w:space="0" w:color="auto"/>
              <w:left w:val="single" w:sz="4" w:space="0" w:color="auto"/>
              <w:bottom w:val="single" w:sz="4" w:space="0" w:color="auto"/>
              <w:right w:val="single" w:sz="4" w:space="0" w:color="auto"/>
            </w:tcBorders>
            <w:hideMark/>
          </w:tcPr>
          <w:p w:rsidR="008B3769" w:rsidRPr="008B3769" w:rsidRDefault="008B3769" w:rsidP="008B3769">
            <w:pPr>
              <w:widowControl/>
              <w:jc w:val="center"/>
              <w:textAlignment w:val="center"/>
              <w:rPr>
                <w:rFonts w:ascii="宋体" w:hAnsi="宋体" w:cs="宋体" w:hint="eastAsia"/>
                <w:color w:val="212529"/>
                <w:kern w:val="0"/>
                <w:sz w:val="24"/>
                <w:szCs w:val="24"/>
              </w:rPr>
            </w:pPr>
            <w:r w:rsidRPr="008B3769">
              <w:rPr>
                <w:rFonts w:ascii="黑体" w:eastAsia="黑体" w:hAnsi="黑体" w:cs="宋体" w:hint="eastAsia"/>
                <w:b/>
                <w:bCs/>
                <w:color w:val="212529"/>
                <w:sz w:val="28"/>
                <w:szCs w:val="28"/>
              </w:rPr>
              <w:lastRenderedPageBreak/>
              <w:t>五、评价报告综述（文字部分）</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黑体" w:eastAsia="黑体" w:hAnsi="黑体" w:cs="宋体" w:hint="eastAsia"/>
                <w:color w:val="212529"/>
                <w:sz w:val="28"/>
                <w:szCs w:val="28"/>
              </w:rPr>
              <w:t>一、部门（单位）概况</w:t>
            </w:r>
          </w:p>
          <w:p w:rsidR="008B3769" w:rsidRPr="008B3769" w:rsidRDefault="008B3769" w:rsidP="008B3769">
            <w:pPr>
              <w:widowControl/>
              <w:spacing w:line="40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（一）部门（单位）基本情况</w:t>
            </w:r>
          </w:p>
          <w:p w:rsidR="008B3769" w:rsidRPr="008B3769" w:rsidRDefault="008B3769" w:rsidP="008B3769">
            <w:pPr>
              <w:widowControl/>
              <w:spacing w:line="240" w:lineRule="atLeas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sz w:val="28"/>
                <w:szCs w:val="28"/>
              </w:rPr>
              <w:t>金融办主要负责研究分析国家金融政策、宏观金融形势和全区金融运行情况，会同有关部门推进全区金融市场体系建设；</w:t>
            </w:r>
            <w:r w:rsidRPr="008B3769">
              <w:rPr>
                <w:rFonts w:ascii="仿宋_GB2312" w:eastAsia="仿宋_GB2312" w:hAnsi="宋体" w:cs="宋体" w:hint="eastAsia"/>
                <w:color w:val="000000"/>
                <w:kern w:val="0"/>
                <w:sz w:val="28"/>
                <w:szCs w:val="28"/>
              </w:rPr>
              <w:t xml:space="preserve">贯彻执行国家有关金融工作的方针、政策和法律，组织拟订金融领域有关地方性文件草案；组织拟订全区金融业发展战略、中长期规划；组织拟订加强全区金融行业服务、促进金融业发展的意见和政策建议； </w:t>
            </w:r>
            <w:r w:rsidRPr="008B3769">
              <w:rPr>
                <w:rFonts w:ascii="仿宋_GB2312" w:eastAsia="仿宋_GB2312" w:hAnsi="宋体" w:cs="宋体" w:hint="eastAsia"/>
                <w:color w:val="000000"/>
                <w:sz w:val="28"/>
                <w:szCs w:val="28"/>
              </w:rPr>
              <w:t>贯彻执行上级证券、期货、保险市场发展规划、相关政策并组织实施，</w:t>
            </w:r>
            <w:r w:rsidRPr="008B3769">
              <w:rPr>
                <w:rFonts w:ascii="仿宋_GB2312" w:eastAsia="仿宋_GB2312" w:hAnsi="宋体" w:cs="宋体" w:hint="eastAsia"/>
                <w:color w:val="000000"/>
                <w:kern w:val="0"/>
                <w:sz w:val="28"/>
                <w:szCs w:val="28"/>
              </w:rPr>
              <w:t>提升企业竞争力;打击和处置非法集资,预防经济犯罪宣传活动</w:t>
            </w:r>
            <w:r w:rsidRPr="008B3769">
              <w:rPr>
                <w:rFonts w:ascii="仿宋_GB2312" w:eastAsia="仿宋_GB2312" w:hAnsi="宋体" w:cs="宋体" w:hint="eastAsia"/>
                <w:color w:val="000000"/>
                <w:sz w:val="28"/>
                <w:szCs w:val="28"/>
              </w:rPr>
              <w:t>等工作，在编在职人数17人。</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（二）部门（单位）整体支出规模、使用方向和主要内容、涉及范围等</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黑体" w:cs="黑体" w:hint="eastAsia"/>
                <w:color w:val="212529"/>
                <w:sz w:val="28"/>
                <w:szCs w:val="28"/>
              </w:rPr>
              <w:t>2020年我办整体支出为（</w:t>
            </w:r>
            <w:r w:rsidRPr="008B3769">
              <w:rPr>
                <w:rFonts w:ascii="仿宋_GB2312" w:eastAsia="仿宋_GB2312" w:hAnsi="宋体" w:cs="宋体" w:hint="eastAsia"/>
                <w:color w:val="000000"/>
                <w:sz w:val="24"/>
                <w:szCs w:val="24"/>
              </w:rPr>
              <w:t>499.85</w:t>
            </w:r>
            <w:r w:rsidRPr="008B3769">
              <w:rPr>
                <w:rFonts w:ascii="仿宋_GB2312" w:eastAsia="仿宋_GB2312" w:hAnsi="黑体" w:cs="黑体" w:hint="eastAsia"/>
                <w:color w:val="212529"/>
                <w:sz w:val="28"/>
                <w:szCs w:val="28"/>
              </w:rPr>
              <w:t>）万元，基本支出（</w:t>
            </w:r>
            <w:r w:rsidRPr="008B3769">
              <w:rPr>
                <w:rFonts w:ascii="仿宋_GB2312" w:eastAsia="仿宋_GB2312" w:hAnsi="宋体" w:cs="宋体" w:hint="eastAsia"/>
                <w:color w:val="000000"/>
                <w:sz w:val="24"/>
                <w:szCs w:val="24"/>
              </w:rPr>
              <w:t>499.85</w:t>
            </w:r>
            <w:r w:rsidRPr="008B3769">
              <w:rPr>
                <w:rFonts w:ascii="仿宋_GB2312" w:eastAsia="仿宋_GB2312" w:hAnsi="黑体" w:cs="黑体" w:hint="eastAsia"/>
                <w:color w:val="212529"/>
                <w:sz w:val="28"/>
                <w:szCs w:val="28"/>
              </w:rPr>
              <w:t>）万元，其中人员经费（</w:t>
            </w:r>
            <w:r w:rsidRPr="008B3769">
              <w:rPr>
                <w:rFonts w:ascii="仿宋_GB2312" w:eastAsia="仿宋_GB2312" w:hAnsi="宋体" w:cs="宋体" w:hint="eastAsia"/>
                <w:color w:val="000000"/>
                <w:sz w:val="24"/>
                <w:szCs w:val="24"/>
              </w:rPr>
              <w:t>190.45</w:t>
            </w:r>
            <w:r w:rsidRPr="008B3769">
              <w:rPr>
                <w:rFonts w:ascii="仿宋_GB2312" w:eastAsia="仿宋_GB2312" w:hAnsi="黑体" w:cs="黑体" w:hint="eastAsia"/>
                <w:color w:val="212529"/>
                <w:sz w:val="28"/>
                <w:szCs w:val="28"/>
              </w:rPr>
              <w:t>）万元，主要用于人员工资及社保障激纳等。项目支出（</w:t>
            </w:r>
            <w:r w:rsidRPr="008B3769">
              <w:rPr>
                <w:rFonts w:ascii="仿宋_GB2312" w:eastAsia="仿宋_GB2312" w:hAnsi="宋体" w:cs="宋体" w:hint="eastAsia"/>
                <w:color w:val="000000"/>
                <w:sz w:val="24"/>
                <w:szCs w:val="24"/>
              </w:rPr>
              <w:t>248.85</w:t>
            </w:r>
            <w:r w:rsidRPr="008B3769">
              <w:rPr>
                <w:rFonts w:ascii="仿宋_GB2312" w:eastAsia="仿宋_GB2312" w:hAnsi="黑体" w:cs="黑体" w:hint="eastAsia"/>
                <w:color w:val="212529"/>
                <w:sz w:val="28"/>
                <w:szCs w:val="28"/>
              </w:rPr>
              <w:t>）万元，主要用于打击非法集资活动业务培训、会议、广告宣传、考察学习，企业上市、支付投资公司审计费用、帮扶特殊困难群体等工作。</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黑体" w:eastAsia="黑体" w:hAnsi="黑体" w:cs="宋体" w:hint="eastAsia"/>
                <w:color w:val="212529"/>
                <w:sz w:val="28"/>
                <w:szCs w:val="28"/>
              </w:rPr>
              <w:t>二、部门（单位）整体支出管理及使用情况</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（一）基本支出</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黑体" w:cs="黑体" w:hint="eastAsia"/>
                <w:color w:val="212529"/>
                <w:sz w:val="28"/>
                <w:szCs w:val="28"/>
              </w:rPr>
              <w:t>基本支出（</w:t>
            </w:r>
            <w:r w:rsidRPr="008B3769">
              <w:rPr>
                <w:rFonts w:ascii="仿宋_GB2312" w:eastAsia="仿宋_GB2312" w:hAnsi="宋体" w:cs="宋体" w:hint="eastAsia"/>
                <w:color w:val="000000"/>
                <w:sz w:val="24"/>
                <w:szCs w:val="24"/>
              </w:rPr>
              <w:t>499.85</w:t>
            </w:r>
            <w:r w:rsidRPr="008B3769">
              <w:rPr>
                <w:rFonts w:ascii="仿宋_GB2312" w:eastAsia="仿宋_GB2312" w:hAnsi="黑体" w:cs="黑体" w:hint="eastAsia"/>
                <w:color w:val="212529"/>
                <w:sz w:val="28"/>
                <w:szCs w:val="28"/>
              </w:rPr>
              <w:t>）万元，其中人员经费（</w:t>
            </w:r>
            <w:r w:rsidRPr="008B3769">
              <w:rPr>
                <w:rFonts w:ascii="仿宋_GB2312" w:eastAsia="仿宋_GB2312" w:hAnsi="宋体" w:cs="宋体" w:hint="eastAsia"/>
                <w:color w:val="000000"/>
                <w:sz w:val="24"/>
                <w:szCs w:val="24"/>
              </w:rPr>
              <w:t>190.45</w:t>
            </w:r>
            <w:r w:rsidRPr="008B3769">
              <w:rPr>
                <w:rFonts w:ascii="仿宋_GB2312" w:eastAsia="仿宋_GB2312" w:hAnsi="黑体" w:cs="黑体" w:hint="eastAsia"/>
                <w:color w:val="212529"/>
                <w:sz w:val="28"/>
                <w:szCs w:val="28"/>
              </w:rPr>
              <w:t>）万元，主要用于人员工资及社保障激纳等。</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（二）专项支出</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1、专项资金安排落实、总投入等情况分析</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8"/>
                <w:szCs w:val="28"/>
              </w:rPr>
              <w:t>2020年专项资金共投入（</w:t>
            </w:r>
            <w:r w:rsidRPr="008B3769">
              <w:rPr>
                <w:rFonts w:ascii="仿宋_GB2312" w:eastAsia="仿宋_GB2312" w:hAnsi="宋体" w:cs="宋体" w:hint="eastAsia"/>
                <w:color w:val="000000"/>
                <w:sz w:val="24"/>
                <w:szCs w:val="24"/>
              </w:rPr>
              <w:t>248.85</w:t>
            </w:r>
            <w:r w:rsidRPr="008B3769">
              <w:rPr>
                <w:rFonts w:ascii="仿宋_GB2312" w:eastAsia="仿宋_GB2312" w:hAnsi="宋体" w:cs="宋体" w:hint="eastAsia"/>
                <w:color w:val="212529"/>
                <w:sz w:val="28"/>
                <w:szCs w:val="28"/>
              </w:rPr>
              <w:t>）万元，其中年初预算安排（188）万元，追加 （60.85）万元。</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2、专项资金实际使用情况分析</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8"/>
                <w:szCs w:val="28"/>
              </w:rPr>
              <w:t>2020年专项资金支出为（</w:t>
            </w:r>
            <w:r w:rsidRPr="008B3769">
              <w:rPr>
                <w:rFonts w:ascii="仿宋_GB2312" w:eastAsia="仿宋_GB2312" w:hAnsi="宋体" w:cs="宋体" w:hint="eastAsia"/>
                <w:color w:val="000000"/>
                <w:sz w:val="24"/>
                <w:szCs w:val="24"/>
              </w:rPr>
              <w:t>248.85</w:t>
            </w:r>
            <w:r w:rsidRPr="008B3769">
              <w:rPr>
                <w:rFonts w:ascii="仿宋_GB2312" w:eastAsia="仿宋_GB2312" w:hAnsi="宋体" w:cs="宋体" w:hint="eastAsia"/>
                <w:color w:val="212529"/>
                <w:sz w:val="28"/>
                <w:szCs w:val="28"/>
              </w:rPr>
              <w:t>）万元，其中预算项目支出为（</w:t>
            </w:r>
            <w:r w:rsidRPr="008B3769">
              <w:rPr>
                <w:rFonts w:ascii="仿宋_GB2312" w:eastAsia="仿宋_GB2312" w:hAnsi="宋体" w:cs="宋体" w:hint="eastAsia"/>
                <w:color w:val="000000"/>
                <w:sz w:val="24"/>
                <w:szCs w:val="24"/>
              </w:rPr>
              <w:t>248.85</w:t>
            </w:r>
            <w:r w:rsidRPr="008B3769">
              <w:rPr>
                <w:rFonts w:ascii="仿宋_GB2312" w:eastAsia="仿宋_GB2312" w:hAnsi="宋体" w:cs="宋体" w:hint="eastAsia"/>
                <w:color w:val="212529"/>
                <w:sz w:val="28"/>
                <w:szCs w:val="28"/>
              </w:rPr>
              <w:t>）万元，主要用于</w:t>
            </w:r>
            <w:r w:rsidRPr="008B3769">
              <w:rPr>
                <w:rFonts w:ascii="仿宋_GB2312" w:eastAsia="仿宋_GB2312" w:hAnsi="黑体" w:cs="黑体" w:hint="eastAsia"/>
                <w:color w:val="212529"/>
                <w:sz w:val="28"/>
                <w:szCs w:val="28"/>
              </w:rPr>
              <w:t>人员工资及社保障激纳、日常办公开支、打击非法集资活动业务培训、会议、广告宣传、企业上市、考察学习，帮扶特殊困难群体等工作</w:t>
            </w:r>
            <w:r w:rsidRPr="008B3769">
              <w:rPr>
                <w:rFonts w:ascii="仿宋_GB2312" w:eastAsia="仿宋_GB2312" w:hAnsi="宋体" w:cs="宋体" w:hint="eastAsia"/>
                <w:color w:val="212529"/>
                <w:sz w:val="28"/>
                <w:szCs w:val="28"/>
              </w:rPr>
              <w:t>；追加项目（60.85）万元，主要用于</w:t>
            </w:r>
            <w:r w:rsidRPr="008B3769">
              <w:rPr>
                <w:rFonts w:ascii="仿宋_GB2312" w:eastAsia="仿宋_GB2312" w:hAnsi="黑体" w:cs="黑体" w:hint="eastAsia"/>
                <w:color w:val="212529"/>
                <w:sz w:val="28"/>
                <w:szCs w:val="28"/>
              </w:rPr>
              <w:t>打击非法集资活动、广告宣传、支付投资公司审计费用、帮扶特殊困难群体</w:t>
            </w:r>
            <w:r w:rsidRPr="008B3769">
              <w:rPr>
                <w:rFonts w:ascii="仿宋_GB2312" w:eastAsia="仿宋_GB2312" w:hAnsi="宋体" w:cs="宋体" w:hint="eastAsia"/>
                <w:color w:val="212529"/>
                <w:sz w:val="28"/>
                <w:szCs w:val="28"/>
              </w:rPr>
              <w:t>等工作。</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3、专项资金管理情况分析</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8"/>
                <w:szCs w:val="28"/>
              </w:rPr>
              <w:t>各项资金本着专款专用的原则，严格执行项目资金批准的使用计划和项目批复</w:t>
            </w:r>
            <w:r w:rsidRPr="008B3769">
              <w:rPr>
                <w:rFonts w:ascii="仿宋_GB2312" w:eastAsia="仿宋_GB2312" w:hAnsi="宋体" w:cs="宋体" w:hint="eastAsia"/>
                <w:color w:val="212529"/>
                <w:sz w:val="28"/>
                <w:szCs w:val="28"/>
              </w:rPr>
              <w:lastRenderedPageBreak/>
              <w:t>内容，不擅自调项、扩项、缩项，不拆借、挪用、挤占。资金拨付动向按不同专项资金的要求执行。同时对每笔专项资金的支付，严格执行财务制度，落实专项资金审核程序。</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黑体" w:cs="黑体" w:hint="eastAsia"/>
                <w:b/>
                <w:bCs/>
                <w:color w:val="212529"/>
                <w:sz w:val="28"/>
                <w:szCs w:val="28"/>
              </w:rPr>
              <w:t>三、部门（单位）专项组织实施情况</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（一）专项组织情况分析</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8"/>
                <w:szCs w:val="28"/>
              </w:rPr>
              <w:t>各项专项资金都安排责任人，按专项资金的用途专款专用。</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z w:val="28"/>
                <w:szCs w:val="28"/>
              </w:rPr>
              <w:t>（二）专项管理情况分析</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8"/>
                <w:szCs w:val="28"/>
              </w:rPr>
              <w:t>在使用专项资金时，严格执行专项资使用制度和财务制度，同时对各项专项资金的使用流程进行监督，定时查看财务表报检查专项资金使用情况。</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黑体" w:cs="黑体" w:hint="eastAsia"/>
                <w:b/>
                <w:bCs/>
                <w:color w:val="212529"/>
                <w:sz w:val="28"/>
                <w:szCs w:val="28"/>
              </w:rPr>
              <w:t>四、部门（单位）整体支出绩效情况</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黑体" w:cs="黑体" w:hint="eastAsia"/>
                <w:color w:val="212529"/>
                <w:sz w:val="28"/>
                <w:szCs w:val="28"/>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黑体" w:cs="黑体" w:hint="eastAsia"/>
                <w:b/>
                <w:bCs/>
                <w:color w:val="212529"/>
                <w:sz w:val="28"/>
                <w:szCs w:val="28"/>
              </w:rPr>
              <w:t>五、存在的主要问题</w:t>
            </w:r>
          </w:p>
          <w:p w:rsidR="008B3769" w:rsidRPr="008B3769" w:rsidRDefault="008B3769" w:rsidP="008B3769">
            <w:pPr>
              <w:widowControl/>
              <w:spacing w:line="400" w:lineRule="exact"/>
              <w:ind w:firstLineChars="200" w:firstLine="560"/>
              <w:jc w:val="left"/>
              <w:textAlignment w:val="center"/>
              <w:rPr>
                <w:rFonts w:ascii="宋体" w:hAnsi="宋体" w:cs="宋体"/>
                <w:color w:val="212529"/>
                <w:kern w:val="0"/>
                <w:sz w:val="24"/>
                <w:szCs w:val="24"/>
              </w:rPr>
            </w:pPr>
            <w:r w:rsidRPr="008B3769">
              <w:rPr>
                <w:rFonts w:ascii="仿宋_GB2312" w:eastAsia="仿宋_GB2312" w:hAnsi="黑体" w:cs="黑体" w:hint="eastAsia"/>
                <w:color w:val="212529"/>
                <w:sz w:val="28"/>
                <w:szCs w:val="28"/>
              </w:rPr>
              <w:t>主要存在问题：在使用公务卡方面需要进一步加强。二是对个别项目资金使用方面撑控不力，出现实际支出数超出了预算申报数。</w:t>
            </w:r>
          </w:p>
          <w:p w:rsidR="008B3769" w:rsidRPr="008B3769" w:rsidRDefault="008B3769" w:rsidP="008B3769">
            <w:pPr>
              <w:widowControl/>
              <w:spacing w:line="400" w:lineRule="exact"/>
              <w:ind w:firstLineChars="200" w:firstLine="562"/>
              <w:jc w:val="left"/>
              <w:textAlignment w:val="center"/>
              <w:rPr>
                <w:rFonts w:ascii="宋体" w:hAnsi="宋体" w:cs="宋体"/>
                <w:color w:val="212529"/>
                <w:kern w:val="0"/>
                <w:sz w:val="24"/>
                <w:szCs w:val="24"/>
              </w:rPr>
            </w:pPr>
            <w:r w:rsidRPr="008B3769">
              <w:rPr>
                <w:rFonts w:ascii="仿宋_GB2312" w:eastAsia="仿宋_GB2312" w:hAnsi="黑体" w:cs="黑体" w:hint="eastAsia"/>
                <w:b/>
                <w:bCs/>
                <w:color w:val="212529"/>
                <w:sz w:val="28"/>
                <w:szCs w:val="28"/>
              </w:rPr>
              <w:t>六、改进措施和有关建议</w:t>
            </w:r>
          </w:p>
          <w:p w:rsidR="008B3769" w:rsidRPr="008B3769" w:rsidRDefault="008B3769" w:rsidP="008B3769">
            <w:pPr>
              <w:widowControl/>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sz w:val="28"/>
                <w:szCs w:val="28"/>
              </w:rPr>
              <w:t>一是加大对公务卡的使用力度。二是进一步控制项目经费支出，确保各项工作顺利开展。</w:t>
            </w:r>
          </w:p>
        </w:tc>
      </w:tr>
    </w:tbl>
    <w:p w:rsidR="008B3769" w:rsidRPr="008B3769" w:rsidRDefault="008B3769" w:rsidP="008B3769">
      <w:pPr>
        <w:widowControl/>
        <w:shd w:val="clear" w:color="auto" w:fill="FFFFFF"/>
        <w:jc w:val="left"/>
        <w:textAlignment w:val="center"/>
        <w:rPr>
          <w:rFonts w:ascii="宋体" w:hAnsi="宋体" w:cs="宋体"/>
          <w:color w:val="212529"/>
          <w:kern w:val="0"/>
          <w:sz w:val="24"/>
          <w:szCs w:val="24"/>
        </w:rPr>
      </w:pPr>
      <w:r w:rsidRPr="008B3769">
        <w:rPr>
          <w:rFonts w:ascii="Times New Roman" w:eastAsia="楷体_GB2312" w:hAnsi="Times New Roman"/>
          <w:color w:val="212529"/>
          <w:sz w:val="28"/>
          <w:szCs w:val="28"/>
        </w:rPr>
        <w:lastRenderedPageBreak/>
        <w:br w:type="page"/>
      </w:r>
      <w:r w:rsidRPr="008B3769">
        <w:rPr>
          <w:rFonts w:ascii="黑体" w:eastAsia="黑体" w:hAnsi="黑体" w:cs="宋体" w:hint="eastAsia"/>
          <w:color w:val="212529"/>
          <w:sz w:val="32"/>
          <w:szCs w:val="32"/>
        </w:rPr>
        <w:lastRenderedPageBreak/>
        <w:t>附件3-2</w:t>
      </w:r>
    </w:p>
    <w:p w:rsidR="008B3769" w:rsidRPr="008B3769" w:rsidRDefault="008B3769" w:rsidP="008B3769">
      <w:pPr>
        <w:widowControl/>
        <w:shd w:val="clear" w:color="auto" w:fill="FFFFFF"/>
        <w:spacing w:beforeLines="100" w:afterLines="100"/>
        <w:jc w:val="center"/>
        <w:textAlignment w:val="center"/>
        <w:rPr>
          <w:rFonts w:ascii="宋体" w:hAnsi="宋体" w:cs="宋体"/>
          <w:color w:val="212529"/>
          <w:kern w:val="0"/>
          <w:sz w:val="24"/>
          <w:szCs w:val="24"/>
        </w:rPr>
      </w:pPr>
      <w:r w:rsidRPr="008B3769">
        <w:rPr>
          <w:rFonts w:ascii="方正小标宋简体" w:eastAsia="方正小标宋简体" w:hAnsi="宋体" w:cs="宋体" w:hint="eastAsia"/>
          <w:color w:val="212529"/>
          <w:sz w:val="36"/>
          <w:szCs w:val="36"/>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8B3769" w:rsidRPr="008B3769" w:rsidTr="008B3769">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pacing w:val="-10"/>
                <w:kern w:val="0"/>
                <w:sz w:val="18"/>
                <w:szCs w:val="18"/>
              </w:rPr>
              <w:t>扣分原因和其他说明</w:t>
            </w:r>
          </w:p>
        </w:tc>
      </w:tr>
      <w:tr w:rsidR="008B3769" w:rsidRPr="008B3769" w:rsidTr="008B3769">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投 入</w:t>
            </w:r>
            <w:r w:rsidRPr="008B3769">
              <w:rPr>
                <w:rFonts w:ascii="仿宋_GB2312" w:eastAsia="仿宋_GB2312" w:hAnsi="宋体" w:cs="宋体" w:hint="eastAsia"/>
                <w:color w:val="212529"/>
                <w:kern w:val="0"/>
                <w:sz w:val="18"/>
                <w:szCs w:val="18"/>
              </w:rPr>
              <w:br/>
              <w:t>（15分）</w:t>
            </w:r>
          </w:p>
        </w:tc>
        <w:tc>
          <w:tcPr>
            <w:tcW w:w="93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预算配置</w:t>
            </w:r>
            <w:r w:rsidRPr="008B3769">
              <w:rPr>
                <w:rFonts w:ascii="仿宋_GB2312" w:eastAsia="仿宋_GB2312" w:hAnsi="宋体" w:cs="宋体" w:hint="eastAsia"/>
                <w:color w:val="212529"/>
                <w:kern w:val="0"/>
                <w:sz w:val="18"/>
                <w:szCs w:val="18"/>
              </w:rPr>
              <w:br/>
              <w:t>（15分）</w:t>
            </w: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财政供养人员</w:t>
            </w:r>
          </w:p>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控制率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以100%为标准。在职人员控制率</w:t>
            </w:r>
            <w:r w:rsidRPr="008B3769">
              <w:rPr>
                <w:rFonts w:ascii="宋体" w:hAnsi="宋体" w:cs="宋体" w:hint="eastAsia"/>
                <w:color w:val="212529"/>
                <w:kern w:val="0"/>
                <w:sz w:val="18"/>
                <w:szCs w:val="18"/>
              </w:rPr>
              <w:t>≦</w:t>
            </w:r>
            <w:r w:rsidRPr="008B3769">
              <w:rPr>
                <w:rFonts w:ascii="仿宋_GB2312" w:eastAsia="仿宋_GB2312" w:hAnsi="宋体" w:cs="宋体" w:hint="eastAsia"/>
                <w:color w:val="212529"/>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“三公经费”</w:t>
            </w:r>
            <w:r w:rsidRPr="008B3769">
              <w:rPr>
                <w:rFonts w:ascii="仿宋_GB2312" w:eastAsia="仿宋_GB2312" w:hAnsi="宋体" w:cs="宋体" w:hint="eastAsia"/>
                <w:color w:val="212529"/>
                <w:kern w:val="0"/>
                <w:sz w:val="18"/>
                <w:szCs w:val="18"/>
              </w:rPr>
              <w:br/>
              <w:t>变动率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“三公经费”变动率</w:t>
            </w:r>
            <w:r w:rsidRPr="008B3769">
              <w:rPr>
                <w:rFonts w:ascii="宋体" w:hAnsi="宋体" w:cs="宋体" w:hint="eastAsia"/>
                <w:color w:val="212529"/>
                <w:kern w:val="0"/>
                <w:sz w:val="18"/>
                <w:szCs w:val="18"/>
              </w:rPr>
              <w:t>≦</w:t>
            </w:r>
            <w:r w:rsidRPr="008B3769">
              <w:rPr>
                <w:rFonts w:ascii="仿宋_GB2312" w:eastAsia="仿宋_GB2312" w:hAnsi="宋体" w:cs="宋体" w:hint="eastAsia"/>
                <w:color w:val="212529"/>
                <w:kern w:val="0"/>
                <w:sz w:val="18"/>
                <w:szCs w:val="18"/>
              </w:rPr>
              <w:t>0,计5分；</w:t>
            </w:r>
            <w:r w:rsidRPr="008B3769">
              <w:rPr>
                <w:rFonts w:ascii="仿宋_GB2312" w:eastAsia="仿宋_GB2312" w:hAnsi="宋体" w:cs="宋体" w:hint="eastAsia"/>
                <w:color w:val="212529"/>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重点支出</w:t>
            </w:r>
            <w:r w:rsidRPr="008B3769">
              <w:rPr>
                <w:rFonts w:ascii="仿宋_GB2312" w:eastAsia="仿宋_GB2312" w:hAnsi="宋体" w:cs="宋体" w:hint="eastAsia"/>
                <w:color w:val="212529"/>
                <w:kern w:val="0"/>
                <w:sz w:val="18"/>
                <w:szCs w:val="18"/>
              </w:rPr>
              <w:br/>
              <w:t>安排率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过 程</w:t>
            </w:r>
            <w:r w:rsidRPr="008B3769">
              <w:rPr>
                <w:rFonts w:ascii="仿宋_GB2312" w:eastAsia="仿宋_GB2312" w:hAnsi="宋体" w:cs="宋体" w:hint="eastAsia"/>
                <w:color w:val="212529"/>
                <w:kern w:val="0"/>
                <w:sz w:val="18"/>
                <w:szCs w:val="18"/>
              </w:rPr>
              <w:br/>
              <w:t>（40分）</w:t>
            </w:r>
          </w:p>
        </w:tc>
        <w:tc>
          <w:tcPr>
            <w:tcW w:w="93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预算执行</w:t>
            </w:r>
            <w:r w:rsidRPr="008B3769">
              <w:rPr>
                <w:rFonts w:ascii="仿宋_GB2312" w:eastAsia="仿宋_GB2312" w:hAnsi="宋体" w:cs="宋体" w:hint="eastAsia"/>
                <w:color w:val="212529"/>
                <w:kern w:val="0"/>
                <w:sz w:val="18"/>
                <w:szCs w:val="18"/>
              </w:rPr>
              <w:br/>
              <w:t>（15分）</w:t>
            </w: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春节前下达全部专项资金的50%；6月底前所有专项资金指标全部下达完。</w:t>
            </w:r>
            <w:r w:rsidRPr="008B3769">
              <w:rPr>
                <w:rFonts w:ascii="仿宋_GB2312" w:eastAsia="仿宋_GB2312" w:hAnsi="宋体" w:cs="宋体" w:hint="eastAsia"/>
                <w:color w:val="212529"/>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“三公经费”</w:t>
            </w:r>
            <w:r w:rsidRPr="008B3769">
              <w:rPr>
                <w:rFonts w:ascii="仿宋_GB2312" w:eastAsia="仿宋_GB2312" w:hAnsi="宋体" w:cs="宋体" w:hint="eastAsia"/>
                <w:color w:val="212529"/>
                <w:kern w:val="0"/>
                <w:sz w:val="18"/>
                <w:szCs w:val="18"/>
              </w:rPr>
              <w:br/>
              <w:t>控制率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以100%为标准。三公经费控制率</w:t>
            </w:r>
            <w:r w:rsidRPr="008B3769">
              <w:rPr>
                <w:rFonts w:ascii="宋体" w:hAnsi="宋体" w:cs="宋体" w:hint="eastAsia"/>
                <w:color w:val="212529"/>
                <w:kern w:val="0"/>
                <w:sz w:val="18"/>
                <w:szCs w:val="18"/>
              </w:rPr>
              <w:t>≦</w:t>
            </w:r>
            <w:r w:rsidRPr="008B3769">
              <w:rPr>
                <w:rFonts w:ascii="仿宋_GB2312" w:eastAsia="仿宋_GB2312" w:hAnsi="宋体" w:cs="宋体" w:hint="eastAsia"/>
                <w:color w:val="212529"/>
                <w:kern w:val="0"/>
                <w:sz w:val="18"/>
                <w:szCs w:val="18"/>
              </w:rPr>
              <w:t>100%，计6分；</w:t>
            </w:r>
            <w:r w:rsidRPr="008B3769">
              <w:rPr>
                <w:rFonts w:ascii="仿宋_GB2312" w:eastAsia="仿宋_GB2312" w:hAnsi="宋体" w:cs="宋体" w:hint="eastAsia"/>
                <w:color w:val="212529"/>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6</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预算管理</w:t>
            </w:r>
            <w:r w:rsidRPr="008B3769">
              <w:rPr>
                <w:rFonts w:ascii="仿宋_GB2312" w:eastAsia="仿宋_GB2312" w:hAnsi="宋体" w:cs="宋体" w:hint="eastAsia"/>
                <w:color w:val="212529"/>
                <w:kern w:val="0"/>
                <w:sz w:val="18"/>
                <w:szCs w:val="18"/>
              </w:rPr>
              <w:br/>
              <w:t>（15分）</w:t>
            </w: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管理制度</w:t>
            </w:r>
            <w:r w:rsidRPr="008B3769">
              <w:rPr>
                <w:rFonts w:ascii="仿宋_GB2312" w:eastAsia="仿宋_GB2312" w:hAnsi="宋体" w:cs="宋体" w:hint="eastAsia"/>
                <w:color w:val="212529"/>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①已制定或具有预算资金管理办法，内部财务管理制度、会计核算制度等管理制度，1分；</w:t>
            </w:r>
            <w:r w:rsidRPr="008B3769">
              <w:rPr>
                <w:rFonts w:ascii="仿宋_GB2312" w:eastAsia="仿宋_GB2312" w:hAnsi="宋体" w:cs="宋体" w:hint="eastAsia"/>
                <w:color w:val="212529"/>
                <w:kern w:val="0"/>
                <w:sz w:val="18"/>
                <w:szCs w:val="18"/>
              </w:rPr>
              <w:br/>
              <w:t>②相关管理制度合法、合规、完整，1分；</w:t>
            </w:r>
            <w:r w:rsidRPr="008B3769">
              <w:rPr>
                <w:rFonts w:ascii="仿宋_GB2312" w:eastAsia="仿宋_GB2312" w:hAnsi="宋体" w:cs="宋体" w:hint="eastAsia"/>
                <w:color w:val="212529"/>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资金使用</w:t>
            </w:r>
            <w:r w:rsidRPr="008B3769">
              <w:rPr>
                <w:rFonts w:ascii="仿宋_GB2312" w:eastAsia="仿宋_GB2312" w:hAnsi="宋体" w:cs="宋体" w:hint="eastAsia"/>
                <w:color w:val="212529"/>
                <w:kern w:val="0"/>
                <w:sz w:val="18"/>
                <w:szCs w:val="18"/>
              </w:rPr>
              <w:br/>
              <w:t>合规性</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①支出符合国家财经法规和财务管理制度规定以及有关专项资金管理办法的规定；</w:t>
            </w:r>
            <w:r w:rsidRPr="008B3769">
              <w:rPr>
                <w:rFonts w:ascii="仿宋_GB2312" w:eastAsia="仿宋_GB2312" w:hAnsi="宋体" w:cs="宋体" w:hint="eastAsia"/>
                <w:color w:val="212529"/>
                <w:kern w:val="0"/>
                <w:sz w:val="18"/>
                <w:szCs w:val="18"/>
              </w:rPr>
              <w:br/>
              <w:t>②资金拨付有完整的审批程序和手续；</w:t>
            </w:r>
            <w:r w:rsidRPr="008B3769">
              <w:rPr>
                <w:rFonts w:ascii="仿宋_GB2312" w:eastAsia="仿宋_GB2312" w:hAnsi="宋体" w:cs="宋体" w:hint="eastAsia"/>
                <w:color w:val="212529"/>
                <w:kern w:val="0"/>
                <w:sz w:val="18"/>
                <w:szCs w:val="18"/>
              </w:rPr>
              <w:br/>
              <w:t>③项目支出按规定经过评估论证；</w:t>
            </w:r>
            <w:r w:rsidRPr="008B3769">
              <w:rPr>
                <w:rFonts w:ascii="仿宋_GB2312" w:eastAsia="仿宋_GB2312" w:hAnsi="宋体" w:cs="宋体" w:hint="eastAsia"/>
                <w:color w:val="212529"/>
                <w:kern w:val="0"/>
                <w:sz w:val="18"/>
                <w:szCs w:val="18"/>
              </w:rPr>
              <w:br/>
              <w:t>④支出符合部门预算批复的用途；</w:t>
            </w:r>
            <w:r w:rsidRPr="008B3769">
              <w:rPr>
                <w:rFonts w:ascii="仿宋_GB2312" w:eastAsia="仿宋_GB2312" w:hAnsi="宋体" w:cs="宋体" w:hint="eastAsia"/>
                <w:color w:val="212529"/>
                <w:kern w:val="0"/>
                <w:sz w:val="18"/>
                <w:szCs w:val="18"/>
              </w:rPr>
              <w:br/>
            </w:r>
            <w:r w:rsidRPr="008B3769">
              <w:rPr>
                <w:rFonts w:ascii="仿宋_GB2312" w:eastAsia="仿宋_GB2312" w:hAnsi="宋体" w:cs="宋体" w:hint="eastAsia"/>
                <w:color w:val="212529"/>
                <w:spacing w:val="-6"/>
                <w:kern w:val="0"/>
                <w:sz w:val="18"/>
                <w:szCs w:val="18"/>
              </w:rPr>
              <w:t>⑤资金使用无截留、挤占、挪用、虚列支出等情况。</w:t>
            </w:r>
            <w:r w:rsidRPr="008B3769">
              <w:rPr>
                <w:rFonts w:ascii="仿宋_GB2312" w:eastAsia="仿宋_GB2312" w:hAnsi="宋体" w:cs="宋体" w:hint="eastAsia"/>
                <w:color w:val="212529"/>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①按规定内容公开预决算信息，1分；</w:t>
            </w:r>
            <w:r w:rsidRPr="008B3769">
              <w:rPr>
                <w:rFonts w:ascii="仿宋_GB2312" w:eastAsia="仿宋_GB2312" w:hAnsi="宋体" w:cs="宋体" w:hint="eastAsia"/>
                <w:color w:val="212529"/>
                <w:kern w:val="0"/>
                <w:sz w:val="18"/>
                <w:szCs w:val="18"/>
              </w:rPr>
              <w:br/>
              <w:t>②按规定时限公开预决算信息，0.5分；</w:t>
            </w:r>
            <w:r w:rsidRPr="008B3769">
              <w:rPr>
                <w:rFonts w:ascii="仿宋_GB2312" w:eastAsia="仿宋_GB2312" w:hAnsi="宋体" w:cs="宋体" w:hint="eastAsia"/>
                <w:color w:val="212529"/>
                <w:kern w:val="0"/>
                <w:sz w:val="18"/>
                <w:szCs w:val="18"/>
              </w:rPr>
              <w:br/>
              <w:t>③基础数据信息和会计信息资料真实，0.5分；</w:t>
            </w:r>
            <w:r w:rsidRPr="008B3769">
              <w:rPr>
                <w:rFonts w:ascii="仿宋_GB2312" w:eastAsia="仿宋_GB2312" w:hAnsi="宋体" w:cs="宋体" w:hint="eastAsia"/>
                <w:color w:val="212529"/>
                <w:kern w:val="0"/>
                <w:sz w:val="18"/>
                <w:szCs w:val="18"/>
              </w:rPr>
              <w:br/>
              <w:t>④基础数据信息和会计信息资料完整，0.5分；</w:t>
            </w:r>
            <w:r w:rsidRPr="008B3769">
              <w:rPr>
                <w:rFonts w:ascii="仿宋_GB2312" w:eastAsia="仿宋_GB2312" w:hAnsi="宋体" w:cs="宋体" w:hint="eastAsia"/>
                <w:color w:val="212529"/>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政府采购</w:t>
            </w:r>
          </w:p>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执行率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政府采购执行率等于100%的，得3分；</w:t>
            </w:r>
            <w:r w:rsidRPr="008B3769">
              <w:rPr>
                <w:rFonts w:ascii="仿宋_GB2312" w:eastAsia="仿宋_GB2312" w:hAnsi="宋体" w:cs="宋体" w:hint="eastAsia"/>
                <w:color w:val="212529"/>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公务卡刷卡率达50％以上的，得3分。</w:t>
            </w:r>
            <w:r w:rsidRPr="008B3769">
              <w:rPr>
                <w:rFonts w:ascii="仿宋_GB2312" w:eastAsia="仿宋_GB2312" w:hAnsi="宋体" w:cs="宋体" w:hint="eastAsia"/>
                <w:color w:val="212529"/>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资产管理</w:t>
            </w:r>
            <w:r w:rsidRPr="008B3769">
              <w:rPr>
                <w:rFonts w:ascii="仿宋_GB2312" w:eastAsia="仿宋_GB2312" w:hAnsi="宋体" w:cs="宋体" w:hint="eastAsia"/>
                <w:color w:val="212529"/>
                <w:kern w:val="0"/>
                <w:sz w:val="18"/>
                <w:szCs w:val="18"/>
              </w:rPr>
              <w:br/>
              <w:t>（10分）</w:t>
            </w: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管理制度</w:t>
            </w:r>
            <w:r w:rsidRPr="008B3769">
              <w:rPr>
                <w:rFonts w:ascii="仿宋_GB2312" w:eastAsia="仿宋_GB2312" w:hAnsi="宋体" w:cs="宋体" w:hint="eastAsia"/>
                <w:color w:val="212529"/>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①已制定或具有资产管理制度，且相关资产管理制度合法、合规、完整，2分；</w:t>
            </w:r>
            <w:r w:rsidRPr="008B3769">
              <w:rPr>
                <w:rFonts w:ascii="仿宋_GB2312" w:eastAsia="仿宋_GB2312" w:hAnsi="宋体" w:cs="宋体" w:hint="eastAsia"/>
                <w:color w:val="212529"/>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bl>
    <w:p w:rsidR="008B3769" w:rsidRPr="008B3769" w:rsidRDefault="008B3769" w:rsidP="008B3769">
      <w:pPr>
        <w:widowControl/>
        <w:shd w:val="clear" w:color="auto" w:fill="FFFFFF"/>
        <w:jc w:val="center"/>
        <w:rPr>
          <w:rFonts w:ascii="Microsoft YaHei" w:eastAsia="Microsoft YaHei" w:hAnsi="Microsoft YaHei" w:cs="Segoe UI"/>
          <w:vanish/>
          <w:color w:val="212529"/>
          <w:kern w:val="0"/>
          <w:sz w:val="19"/>
          <w:szCs w:val="19"/>
        </w:rPr>
      </w:pPr>
    </w:p>
    <w:tbl>
      <w:tblPr>
        <w:tblW w:w="9894" w:type="dxa"/>
        <w:jc w:val="center"/>
        <w:tblLayout w:type="fixed"/>
        <w:tblLook w:val="04A0"/>
      </w:tblPr>
      <w:tblGrid>
        <w:gridCol w:w="976"/>
        <w:gridCol w:w="939"/>
        <w:gridCol w:w="1389"/>
        <w:gridCol w:w="4171"/>
        <w:gridCol w:w="619"/>
        <w:gridCol w:w="720"/>
        <w:gridCol w:w="1080"/>
      </w:tblGrid>
      <w:tr w:rsidR="008B3769" w:rsidRPr="008B3769" w:rsidTr="008B3769">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lastRenderedPageBreak/>
              <w:t>一级指标</w:t>
            </w:r>
          </w:p>
        </w:tc>
        <w:tc>
          <w:tcPr>
            <w:tcW w:w="93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pacing w:val="-12"/>
                <w:kern w:val="0"/>
                <w:sz w:val="18"/>
                <w:szCs w:val="18"/>
              </w:rPr>
              <w:t>扣分原因和其他说明</w:t>
            </w:r>
          </w:p>
        </w:tc>
      </w:tr>
      <w:tr w:rsidR="008B3769" w:rsidRPr="008B3769" w:rsidTr="008B3769">
        <w:trPr>
          <w:trHeight w:val="2011"/>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hint="eastAsia"/>
                <w:color w:val="212529"/>
                <w:kern w:val="0"/>
                <w:sz w:val="24"/>
                <w:szCs w:val="24"/>
              </w:rPr>
            </w:pPr>
            <w:r w:rsidRPr="008B3769">
              <w:rPr>
                <w:rFonts w:ascii="仿宋_GB2312" w:eastAsia="仿宋_GB2312" w:hAnsi="宋体" w:cs="宋体" w:hint="eastAsia"/>
                <w:color w:val="212529"/>
                <w:kern w:val="0"/>
                <w:sz w:val="18"/>
                <w:szCs w:val="18"/>
              </w:rPr>
              <w:t>过 程</w:t>
            </w:r>
          </w:p>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（40分）</w:t>
            </w:r>
          </w:p>
        </w:tc>
        <w:tc>
          <w:tcPr>
            <w:tcW w:w="93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资产管理</w:t>
            </w:r>
            <w:r w:rsidRPr="008B3769">
              <w:rPr>
                <w:rFonts w:ascii="仿宋_GB2312" w:eastAsia="仿宋_GB2312" w:hAnsi="宋体" w:cs="宋体" w:hint="eastAsia"/>
                <w:color w:val="212529"/>
                <w:kern w:val="0"/>
                <w:sz w:val="18"/>
                <w:szCs w:val="18"/>
              </w:rPr>
              <w:br/>
              <w:t>（10分）</w:t>
            </w:r>
          </w:p>
        </w:tc>
        <w:tc>
          <w:tcPr>
            <w:tcW w:w="138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资产管理</w:t>
            </w:r>
            <w:r w:rsidRPr="008B3769">
              <w:rPr>
                <w:rFonts w:ascii="仿宋_GB2312" w:eastAsia="仿宋_GB2312" w:hAnsi="宋体" w:cs="宋体" w:hint="eastAsia"/>
                <w:color w:val="212529"/>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①资产保存完整；</w:t>
            </w:r>
            <w:r w:rsidRPr="008B3769">
              <w:rPr>
                <w:rFonts w:ascii="仿宋_GB2312" w:eastAsia="仿宋_GB2312" w:hAnsi="宋体" w:cs="宋体" w:hint="eastAsia"/>
                <w:color w:val="212529"/>
                <w:kern w:val="0"/>
                <w:sz w:val="18"/>
                <w:szCs w:val="18"/>
              </w:rPr>
              <w:br/>
              <w:t>②资产配置合理；</w:t>
            </w:r>
            <w:r w:rsidRPr="008B3769">
              <w:rPr>
                <w:rFonts w:ascii="仿宋_GB2312" w:eastAsia="仿宋_GB2312" w:hAnsi="宋体" w:cs="宋体" w:hint="eastAsia"/>
                <w:color w:val="212529"/>
                <w:kern w:val="0"/>
                <w:sz w:val="18"/>
                <w:szCs w:val="18"/>
              </w:rPr>
              <w:br/>
              <w:t xml:space="preserve">③资产处置规范； </w:t>
            </w:r>
            <w:r w:rsidRPr="008B3769">
              <w:rPr>
                <w:rFonts w:ascii="仿宋_GB2312" w:eastAsia="仿宋_GB2312" w:hAnsi="宋体" w:cs="宋体" w:hint="eastAsia"/>
                <w:color w:val="212529"/>
                <w:kern w:val="0"/>
                <w:sz w:val="18"/>
                <w:szCs w:val="18"/>
              </w:rPr>
              <w:br/>
              <w:t>④资产账务管理合规，帐实相符；</w:t>
            </w:r>
            <w:r w:rsidRPr="008B3769">
              <w:rPr>
                <w:rFonts w:ascii="仿宋_GB2312" w:eastAsia="仿宋_GB2312" w:hAnsi="宋体" w:cs="宋体" w:hint="eastAsia"/>
                <w:color w:val="212529"/>
                <w:kern w:val="0"/>
                <w:sz w:val="18"/>
                <w:szCs w:val="18"/>
              </w:rPr>
              <w:br/>
              <w:t>⑤资产有偿使用及处置收入及时足额上缴；</w:t>
            </w:r>
            <w:r w:rsidRPr="008B3769">
              <w:rPr>
                <w:rFonts w:ascii="仿宋_GB2312" w:eastAsia="仿宋_GB2312" w:hAnsi="宋体" w:cs="宋体" w:hint="eastAsia"/>
                <w:color w:val="212529"/>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774"/>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固定资产</w:t>
            </w:r>
            <w:r w:rsidRPr="008B3769">
              <w:rPr>
                <w:rFonts w:ascii="仿宋_GB2312" w:eastAsia="仿宋_GB2312" w:hAnsi="宋体" w:cs="宋体" w:hint="eastAsia"/>
                <w:color w:val="212529"/>
                <w:kern w:val="0"/>
                <w:sz w:val="18"/>
                <w:szCs w:val="18"/>
              </w:rPr>
              <w:br/>
              <w:t>利用率</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产 出（25分）</w:t>
            </w:r>
          </w:p>
        </w:tc>
        <w:tc>
          <w:tcPr>
            <w:tcW w:w="93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职责履行</w:t>
            </w:r>
            <w:r w:rsidRPr="008B3769">
              <w:rPr>
                <w:rFonts w:ascii="仿宋_GB2312" w:eastAsia="仿宋_GB2312" w:hAnsi="宋体" w:cs="宋体" w:hint="eastAsia"/>
                <w:color w:val="212529"/>
                <w:kern w:val="0"/>
                <w:sz w:val="18"/>
                <w:szCs w:val="18"/>
              </w:rPr>
              <w:br/>
              <w:t>（25分）</w:t>
            </w: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推进全面小康建设指标任务完成情况</w:t>
            </w:r>
          </w:p>
        </w:tc>
        <w:tc>
          <w:tcPr>
            <w:tcW w:w="4171"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此项指标根据区综合绩效考核领导小组办公室2018年对各部门的部门工作实绩考核分数折算考核内容设置。</w:t>
            </w:r>
            <w:r w:rsidRPr="008B3769">
              <w:rPr>
                <w:rFonts w:ascii="仿宋_GB2312" w:eastAsia="仿宋_GB2312" w:hAnsi="宋体" w:cs="宋体" w:hint="eastAsia"/>
                <w:color w:val="212529"/>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建设湖南新增极目标任务完成情况</w:t>
            </w:r>
          </w:p>
        </w:tc>
        <w:tc>
          <w:tcPr>
            <w:tcW w:w="4171"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《政府工作报告》目标任务完成情况</w:t>
            </w:r>
          </w:p>
        </w:tc>
        <w:tc>
          <w:tcPr>
            <w:tcW w:w="4171"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省市区民生实事完成情况</w:t>
            </w:r>
          </w:p>
        </w:tc>
        <w:tc>
          <w:tcPr>
            <w:tcW w:w="4171"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省市区重点工程和重大项目建设完成情况</w:t>
            </w:r>
          </w:p>
        </w:tc>
        <w:tc>
          <w:tcPr>
            <w:tcW w:w="4171"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其他工作实绩指标完成情况</w:t>
            </w:r>
          </w:p>
        </w:tc>
        <w:tc>
          <w:tcPr>
            <w:tcW w:w="4171"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效 果</w:t>
            </w:r>
            <w:r w:rsidRPr="008B3769">
              <w:rPr>
                <w:rFonts w:ascii="仿宋_GB2312" w:eastAsia="仿宋_GB2312" w:hAnsi="宋体" w:cs="宋体" w:hint="eastAsia"/>
                <w:color w:val="212529"/>
                <w:kern w:val="0"/>
                <w:sz w:val="18"/>
                <w:szCs w:val="18"/>
              </w:rPr>
              <w:br/>
              <w:t>（20分）</w:t>
            </w:r>
          </w:p>
        </w:tc>
        <w:tc>
          <w:tcPr>
            <w:tcW w:w="93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履职效益</w:t>
            </w:r>
            <w:r w:rsidRPr="008B3769">
              <w:rPr>
                <w:rFonts w:ascii="仿宋_GB2312" w:eastAsia="仿宋_GB2312" w:hAnsi="宋体" w:cs="宋体" w:hint="eastAsia"/>
                <w:color w:val="212529"/>
                <w:kern w:val="0"/>
                <w:sz w:val="18"/>
                <w:szCs w:val="18"/>
              </w:rPr>
              <w:br/>
              <w:t>（20分）</w:t>
            </w: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经济效益</w:t>
            </w:r>
          </w:p>
        </w:tc>
        <w:tc>
          <w:tcPr>
            <w:tcW w:w="4171"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此三项指标为设置部门整体支出绩效评价指标时必须考虑的共性要素。</w:t>
            </w:r>
          </w:p>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社会效益</w:t>
            </w:r>
          </w:p>
        </w:tc>
        <w:tc>
          <w:tcPr>
            <w:tcW w:w="4171"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61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生态效益</w:t>
            </w:r>
          </w:p>
        </w:tc>
        <w:tc>
          <w:tcPr>
            <w:tcW w:w="4171"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61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72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939" w:type="dxa"/>
            <w:vMerge/>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宋体" w:hAnsi="宋体" w:cs="宋体"/>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95%（含）以上计5分；</w:t>
            </w:r>
          </w:p>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85%（含）-95%，计3分；</w:t>
            </w:r>
          </w:p>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75%（含）-85%，计1分；</w:t>
            </w:r>
          </w:p>
          <w:p w:rsidR="008B3769" w:rsidRPr="008B3769" w:rsidRDefault="008B3769" w:rsidP="008B3769">
            <w:pPr>
              <w:widowControl/>
              <w:spacing w:line="240" w:lineRule="exact"/>
              <w:jc w:val="left"/>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低于75%计0分。</w:t>
            </w: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color w:val="212529"/>
                <w:kern w:val="0"/>
                <w:sz w:val="18"/>
                <w:szCs w:val="18"/>
              </w:rPr>
              <w:t>5</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r w:rsidR="008B3769" w:rsidRPr="008B3769" w:rsidTr="008B3769">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总 分</w:t>
            </w:r>
          </w:p>
        </w:tc>
        <w:tc>
          <w:tcPr>
            <w:tcW w:w="939"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1389"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4171"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c>
          <w:tcPr>
            <w:tcW w:w="619"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spacing w:val="-8"/>
                <w:kern w:val="0"/>
                <w:sz w:val="18"/>
                <w:szCs w:val="18"/>
              </w:rPr>
              <w:t>100</w:t>
            </w:r>
          </w:p>
        </w:tc>
        <w:tc>
          <w:tcPr>
            <w:tcW w:w="720" w:type="dxa"/>
            <w:tcBorders>
              <w:top w:val="nil"/>
              <w:left w:val="nil"/>
              <w:bottom w:val="single" w:sz="4" w:space="0" w:color="auto"/>
              <w:right w:val="single" w:sz="4" w:space="0" w:color="auto"/>
            </w:tcBorders>
            <w:vAlign w:val="center"/>
            <w:hideMark/>
          </w:tcPr>
          <w:p w:rsidR="008B3769" w:rsidRPr="008B3769" w:rsidRDefault="008B3769" w:rsidP="008B3769">
            <w:pPr>
              <w:widowControl/>
              <w:spacing w:line="240" w:lineRule="exact"/>
              <w:jc w:val="center"/>
              <w:textAlignment w:val="center"/>
              <w:rPr>
                <w:rFonts w:ascii="宋体" w:hAnsi="宋体" w:cs="宋体"/>
                <w:color w:val="212529"/>
                <w:kern w:val="0"/>
                <w:sz w:val="24"/>
                <w:szCs w:val="24"/>
              </w:rPr>
            </w:pPr>
            <w:r w:rsidRPr="008B3769">
              <w:rPr>
                <w:rFonts w:ascii="仿宋_GB2312" w:eastAsia="仿宋_GB2312" w:hAnsi="宋体" w:cs="宋体" w:hint="eastAsia"/>
                <w:b/>
                <w:bCs/>
                <w:color w:val="212529"/>
                <w:kern w:val="0"/>
                <w:sz w:val="18"/>
                <w:szCs w:val="18"/>
              </w:rPr>
              <w:t>100</w:t>
            </w:r>
          </w:p>
        </w:tc>
        <w:tc>
          <w:tcPr>
            <w:tcW w:w="1080" w:type="dxa"/>
            <w:tcBorders>
              <w:top w:val="nil"/>
              <w:left w:val="nil"/>
              <w:bottom w:val="single" w:sz="4" w:space="0" w:color="auto"/>
              <w:right w:val="single" w:sz="4" w:space="0" w:color="auto"/>
            </w:tcBorders>
            <w:vAlign w:val="center"/>
            <w:hideMark/>
          </w:tcPr>
          <w:p w:rsidR="008B3769" w:rsidRPr="008B3769" w:rsidRDefault="008B3769" w:rsidP="008B3769">
            <w:pPr>
              <w:widowControl/>
              <w:jc w:val="left"/>
              <w:rPr>
                <w:rFonts w:ascii="Microsoft YaHei" w:eastAsia="Microsoft YaHei" w:hAnsi="Microsoft YaHei" w:cs="Segoe UI"/>
                <w:color w:val="212529"/>
                <w:kern w:val="0"/>
                <w:sz w:val="24"/>
                <w:szCs w:val="24"/>
              </w:rPr>
            </w:pPr>
          </w:p>
        </w:tc>
      </w:tr>
    </w:tbl>
    <w:p w:rsidR="00E241A2" w:rsidRPr="008B3769" w:rsidRDefault="00E241A2" w:rsidP="008B3769"/>
    <w:sectPr w:rsidR="00E241A2" w:rsidRPr="008B3769" w:rsidSect="00E241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20C" w:rsidRDefault="00B5320C" w:rsidP="008B3769">
      <w:r>
        <w:separator/>
      </w:r>
    </w:p>
  </w:endnote>
  <w:endnote w:type="continuationSeparator" w:id="0">
    <w:p w:rsidR="00B5320C" w:rsidRDefault="00B5320C" w:rsidP="008B37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Microsoft YaHei">
    <w:altName w:val="仿宋_GB2312"/>
    <w:charset w:val="01"/>
    <w:family w:val="auto"/>
    <w:pitch w:val="default"/>
    <w:sig w:usb0="00000000" w:usb1="00000000" w:usb2="00000000"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20C" w:rsidRDefault="00B5320C" w:rsidP="008B3769">
      <w:r>
        <w:separator/>
      </w:r>
    </w:p>
  </w:footnote>
  <w:footnote w:type="continuationSeparator" w:id="0">
    <w:p w:rsidR="00B5320C" w:rsidRDefault="00B5320C" w:rsidP="008B3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2CA5"/>
    <w:rsid w:val="00000D54"/>
    <w:rsid w:val="000031D7"/>
    <w:rsid w:val="0000322D"/>
    <w:rsid w:val="000115BA"/>
    <w:rsid w:val="000120FA"/>
    <w:rsid w:val="000142B3"/>
    <w:rsid w:val="000147CF"/>
    <w:rsid w:val="000147DA"/>
    <w:rsid w:val="00020A6F"/>
    <w:rsid w:val="00033995"/>
    <w:rsid w:val="000402BC"/>
    <w:rsid w:val="000447B9"/>
    <w:rsid w:val="0004649F"/>
    <w:rsid w:val="000517FE"/>
    <w:rsid w:val="000529E9"/>
    <w:rsid w:val="0005438E"/>
    <w:rsid w:val="00056443"/>
    <w:rsid w:val="000653A7"/>
    <w:rsid w:val="000670BC"/>
    <w:rsid w:val="00070C3F"/>
    <w:rsid w:val="0007106B"/>
    <w:rsid w:val="000728A6"/>
    <w:rsid w:val="00073A18"/>
    <w:rsid w:val="00074BF1"/>
    <w:rsid w:val="00075EC9"/>
    <w:rsid w:val="00076936"/>
    <w:rsid w:val="00081427"/>
    <w:rsid w:val="00083A1B"/>
    <w:rsid w:val="00083AF6"/>
    <w:rsid w:val="00085CB9"/>
    <w:rsid w:val="00090407"/>
    <w:rsid w:val="00093739"/>
    <w:rsid w:val="00094A7D"/>
    <w:rsid w:val="0009556E"/>
    <w:rsid w:val="000959A5"/>
    <w:rsid w:val="00096415"/>
    <w:rsid w:val="00097827"/>
    <w:rsid w:val="000A0277"/>
    <w:rsid w:val="000A22D6"/>
    <w:rsid w:val="000A27DA"/>
    <w:rsid w:val="000A3A61"/>
    <w:rsid w:val="000A44B4"/>
    <w:rsid w:val="000B09CB"/>
    <w:rsid w:val="000B2FC2"/>
    <w:rsid w:val="000B380C"/>
    <w:rsid w:val="000B617D"/>
    <w:rsid w:val="000C3EA7"/>
    <w:rsid w:val="000C78F7"/>
    <w:rsid w:val="000D0DD3"/>
    <w:rsid w:val="000D1145"/>
    <w:rsid w:val="000D453E"/>
    <w:rsid w:val="000D5820"/>
    <w:rsid w:val="000D5B87"/>
    <w:rsid w:val="000D678E"/>
    <w:rsid w:val="000E1458"/>
    <w:rsid w:val="000E48AB"/>
    <w:rsid w:val="000E5086"/>
    <w:rsid w:val="000E7A2A"/>
    <w:rsid w:val="000F65A4"/>
    <w:rsid w:val="000F6C9A"/>
    <w:rsid w:val="00100846"/>
    <w:rsid w:val="0010210C"/>
    <w:rsid w:val="001030CB"/>
    <w:rsid w:val="001036BE"/>
    <w:rsid w:val="00111E89"/>
    <w:rsid w:val="0011276A"/>
    <w:rsid w:val="001174D1"/>
    <w:rsid w:val="001312DC"/>
    <w:rsid w:val="001412DF"/>
    <w:rsid w:val="00144FCE"/>
    <w:rsid w:val="0014699A"/>
    <w:rsid w:val="001505F4"/>
    <w:rsid w:val="00150D1D"/>
    <w:rsid w:val="00151E83"/>
    <w:rsid w:val="00155222"/>
    <w:rsid w:val="0015668B"/>
    <w:rsid w:val="0015749F"/>
    <w:rsid w:val="0017206F"/>
    <w:rsid w:val="00173AFA"/>
    <w:rsid w:val="0018226C"/>
    <w:rsid w:val="00183C4D"/>
    <w:rsid w:val="0018469A"/>
    <w:rsid w:val="00184923"/>
    <w:rsid w:val="00187EFB"/>
    <w:rsid w:val="00191E3D"/>
    <w:rsid w:val="00192E1F"/>
    <w:rsid w:val="00194BD1"/>
    <w:rsid w:val="00194D9D"/>
    <w:rsid w:val="0019520C"/>
    <w:rsid w:val="001959E2"/>
    <w:rsid w:val="00195C60"/>
    <w:rsid w:val="00195FD5"/>
    <w:rsid w:val="001960EC"/>
    <w:rsid w:val="00197AC5"/>
    <w:rsid w:val="001B03C2"/>
    <w:rsid w:val="001B1350"/>
    <w:rsid w:val="001B33C9"/>
    <w:rsid w:val="001B5718"/>
    <w:rsid w:val="001C21D3"/>
    <w:rsid w:val="001C317D"/>
    <w:rsid w:val="001C44B9"/>
    <w:rsid w:val="001C6141"/>
    <w:rsid w:val="001D4247"/>
    <w:rsid w:val="001D60C8"/>
    <w:rsid w:val="001E0241"/>
    <w:rsid w:val="001E0748"/>
    <w:rsid w:val="001E2596"/>
    <w:rsid w:val="001E28C9"/>
    <w:rsid w:val="001E6505"/>
    <w:rsid w:val="001E7178"/>
    <w:rsid w:val="001F4734"/>
    <w:rsid w:val="001F4AD5"/>
    <w:rsid w:val="001F573E"/>
    <w:rsid w:val="001F6EFF"/>
    <w:rsid w:val="0020538B"/>
    <w:rsid w:val="00207907"/>
    <w:rsid w:val="00216A9D"/>
    <w:rsid w:val="002175D3"/>
    <w:rsid w:val="00220C98"/>
    <w:rsid w:val="002235C7"/>
    <w:rsid w:val="00225A56"/>
    <w:rsid w:val="002272E0"/>
    <w:rsid w:val="00232652"/>
    <w:rsid w:val="002330AF"/>
    <w:rsid w:val="002405E8"/>
    <w:rsid w:val="00243F57"/>
    <w:rsid w:val="00244A54"/>
    <w:rsid w:val="0024785C"/>
    <w:rsid w:val="00247DB0"/>
    <w:rsid w:val="002544CC"/>
    <w:rsid w:val="002574EC"/>
    <w:rsid w:val="00260E15"/>
    <w:rsid w:val="00263BA2"/>
    <w:rsid w:val="00263CB1"/>
    <w:rsid w:val="00263ED7"/>
    <w:rsid w:val="002668EC"/>
    <w:rsid w:val="00273293"/>
    <w:rsid w:val="00280676"/>
    <w:rsid w:val="00281242"/>
    <w:rsid w:val="002937FF"/>
    <w:rsid w:val="0029460C"/>
    <w:rsid w:val="00296199"/>
    <w:rsid w:val="00297FD4"/>
    <w:rsid w:val="002A0648"/>
    <w:rsid w:val="002A310A"/>
    <w:rsid w:val="002A3B5E"/>
    <w:rsid w:val="002A4927"/>
    <w:rsid w:val="002A57F0"/>
    <w:rsid w:val="002A7BB6"/>
    <w:rsid w:val="002B147F"/>
    <w:rsid w:val="002B229D"/>
    <w:rsid w:val="002B4697"/>
    <w:rsid w:val="002B4E0C"/>
    <w:rsid w:val="002B6911"/>
    <w:rsid w:val="002B7783"/>
    <w:rsid w:val="002B7A76"/>
    <w:rsid w:val="002C0AB9"/>
    <w:rsid w:val="002C5F0E"/>
    <w:rsid w:val="002C5F66"/>
    <w:rsid w:val="002C6A7F"/>
    <w:rsid w:val="002C76C9"/>
    <w:rsid w:val="002C76E4"/>
    <w:rsid w:val="002D368B"/>
    <w:rsid w:val="002D45C9"/>
    <w:rsid w:val="002E0384"/>
    <w:rsid w:val="002E03C3"/>
    <w:rsid w:val="002E06C9"/>
    <w:rsid w:val="002E07C8"/>
    <w:rsid w:val="002E14AA"/>
    <w:rsid w:val="002E20E8"/>
    <w:rsid w:val="002E39DF"/>
    <w:rsid w:val="002E5DA3"/>
    <w:rsid w:val="002E79E4"/>
    <w:rsid w:val="002F5072"/>
    <w:rsid w:val="00301254"/>
    <w:rsid w:val="003053E4"/>
    <w:rsid w:val="00310A01"/>
    <w:rsid w:val="00311F02"/>
    <w:rsid w:val="00315C1B"/>
    <w:rsid w:val="003210F5"/>
    <w:rsid w:val="0032240E"/>
    <w:rsid w:val="00322DB5"/>
    <w:rsid w:val="0032476D"/>
    <w:rsid w:val="00326B58"/>
    <w:rsid w:val="0033130A"/>
    <w:rsid w:val="00332F75"/>
    <w:rsid w:val="003447F3"/>
    <w:rsid w:val="0034636F"/>
    <w:rsid w:val="00347811"/>
    <w:rsid w:val="0035075A"/>
    <w:rsid w:val="003521CD"/>
    <w:rsid w:val="0035416D"/>
    <w:rsid w:val="00361109"/>
    <w:rsid w:val="00362896"/>
    <w:rsid w:val="00363931"/>
    <w:rsid w:val="003768BD"/>
    <w:rsid w:val="00377B62"/>
    <w:rsid w:val="00377E5B"/>
    <w:rsid w:val="00383A16"/>
    <w:rsid w:val="00383F4C"/>
    <w:rsid w:val="00390A71"/>
    <w:rsid w:val="00396810"/>
    <w:rsid w:val="00397EAF"/>
    <w:rsid w:val="003A31F4"/>
    <w:rsid w:val="003A4174"/>
    <w:rsid w:val="003A4801"/>
    <w:rsid w:val="003B0D6B"/>
    <w:rsid w:val="003B1846"/>
    <w:rsid w:val="003B2447"/>
    <w:rsid w:val="003B3C22"/>
    <w:rsid w:val="003B774B"/>
    <w:rsid w:val="003C07A6"/>
    <w:rsid w:val="003C1BF0"/>
    <w:rsid w:val="003C4A62"/>
    <w:rsid w:val="003C63DC"/>
    <w:rsid w:val="003D1684"/>
    <w:rsid w:val="003D23AE"/>
    <w:rsid w:val="003D5B96"/>
    <w:rsid w:val="003D66CC"/>
    <w:rsid w:val="003E06DF"/>
    <w:rsid w:val="003E694E"/>
    <w:rsid w:val="003F0264"/>
    <w:rsid w:val="003F0F82"/>
    <w:rsid w:val="00401FFF"/>
    <w:rsid w:val="0040396D"/>
    <w:rsid w:val="00403AF0"/>
    <w:rsid w:val="00403E8B"/>
    <w:rsid w:val="00403FAB"/>
    <w:rsid w:val="00412359"/>
    <w:rsid w:val="00413952"/>
    <w:rsid w:val="00420565"/>
    <w:rsid w:val="00423786"/>
    <w:rsid w:val="00427D4B"/>
    <w:rsid w:val="004307A5"/>
    <w:rsid w:val="0043397B"/>
    <w:rsid w:val="00436FC4"/>
    <w:rsid w:val="004377E0"/>
    <w:rsid w:val="00441A07"/>
    <w:rsid w:val="00442158"/>
    <w:rsid w:val="0044307D"/>
    <w:rsid w:val="0044394E"/>
    <w:rsid w:val="0044755E"/>
    <w:rsid w:val="00450A45"/>
    <w:rsid w:val="004532D2"/>
    <w:rsid w:val="0045347F"/>
    <w:rsid w:val="00455F0D"/>
    <w:rsid w:val="0046029C"/>
    <w:rsid w:val="004618EB"/>
    <w:rsid w:val="00461F92"/>
    <w:rsid w:val="00462110"/>
    <w:rsid w:val="00463A81"/>
    <w:rsid w:val="004718E4"/>
    <w:rsid w:val="00485BAD"/>
    <w:rsid w:val="00485BD5"/>
    <w:rsid w:val="00487C70"/>
    <w:rsid w:val="004961D6"/>
    <w:rsid w:val="00496A10"/>
    <w:rsid w:val="004A0B71"/>
    <w:rsid w:val="004A3C56"/>
    <w:rsid w:val="004A3F44"/>
    <w:rsid w:val="004A4E78"/>
    <w:rsid w:val="004A50FE"/>
    <w:rsid w:val="004A6D52"/>
    <w:rsid w:val="004B2C0D"/>
    <w:rsid w:val="004B2CFB"/>
    <w:rsid w:val="004B699D"/>
    <w:rsid w:val="004C21FD"/>
    <w:rsid w:val="004C29D0"/>
    <w:rsid w:val="004C7ED5"/>
    <w:rsid w:val="004D15F7"/>
    <w:rsid w:val="004D2204"/>
    <w:rsid w:val="004D2A20"/>
    <w:rsid w:val="004D4C77"/>
    <w:rsid w:val="004D6916"/>
    <w:rsid w:val="004D695F"/>
    <w:rsid w:val="004D7235"/>
    <w:rsid w:val="004D7AFD"/>
    <w:rsid w:val="004E2E2D"/>
    <w:rsid w:val="004E41C3"/>
    <w:rsid w:val="004E5186"/>
    <w:rsid w:val="004E5662"/>
    <w:rsid w:val="004E6F62"/>
    <w:rsid w:val="004F02D1"/>
    <w:rsid w:val="004F0817"/>
    <w:rsid w:val="004F185D"/>
    <w:rsid w:val="004F269F"/>
    <w:rsid w:val="004F66FC"/>
    <w:rsid w:val="00502340"/>
    <w:rsid w:val="005025E0"/>
    <w:rsid w:val="00505C40"/>
    <w:rsid w:val="005077BC"/>
    <w:rsid w:val="00511C27"/>
    <w:rsid w:val="005155F7"/>
    <w:rsid w:val="00525CB1"/>
    <w:rsid w:val="005260D4"/>
    <w:rsid w:val="0052698E"/>
    <w:rsid w:val="00527CC8"/>
    <w:rsid w:val="00530339"/>
    <w:rsid w:val="0053239E"/>
    <w:rsid w:val="00534EA8"/>
    <w:rsid w:val="00536F45"/>
    <w:rsid w:val="00537974"/>
    <w:rsid w:val="00537DF6"/>
    <w:rsid w:val="00541758"/>
    <w:rsid w:val="005511CD"/>
    <w:rsid w:val="005517DE"/>
    <w:rsid w:val="00552CE4"/>
    <w:rsid w:val="00555687"/>
    <w:rsid w:val="0055787B"/>
    <w:rsid w:val="00557FC7"/>
    <w:rsid w:val="005612C6"/>
    <w:rsid w:val="00562896"/>
    <w:rsid w:val="00566315"/>
    <w:rsid w:val="0057074B"/>
    <w:rsid w:val="00582453"/>
    <w:rsid w:val="005847E5"/>
    <w:rsid w:val="005866EC"/>
    <w:rsid w:val="00587BE3"/>
    <w:rsid w:val="00595336"/>
    <w:rsid w:val="005A0ADE"/>
    <w:rsid w:val="005B084E"/>
    <w:rsid w:val="005B2847"/>
    <w:rsid w:val="005B33B9"/>
    <w:rsid w:val="005B5D85"/>
    <w:rsid w:val="005B7C58"/>
    <w:rsid w:val="005C354C"/>
    <w:rsid w:val="005C6991"/>
    <w:rsid w:val="005C7BA3"/>
    <w:rsid w:val="005C7DAF"/>
    <w:rsid w:val="005D648B"/>
    <w:rsid w:val="005E5CC1"/>
    <w:rsid w:val="005E6C28"/>
    <w:rsid w:val="005F6504"/>
    <w:rsid w:val="00601493"/>
    <w:rsid w:val="00601DAB"/>
    <w:rsid w:val="0060495E"/>
    <w:rsid w:val="00605602"/>
    <w:rsid w:val="00606E3D"/>
    <w:rsid w:val="00607CDD"/>
    <w:rsid w:val="00607F6C"/>
    <w:rsid w:val="006105C7"/>
    <w:rsid w:val="0061080E"/>
    <w:rsid w:val="006128BD"/>
    <w:rsid w:val="00612E7E"/>
    <w:rsid w:val="00616B3F"/>
    <w:rsid w:val="00623AB2"/>
    <w:rsid w:val="00627670"/>
    <w:rsid w:val="00630D6D"/>
    <w:rsid w:val="006313DA"/>
    <w:rsid w:val="006324F3"/>
    <w:rsid w:val="00633AD2"/>
    <w:rsid w:val="006366BF"/>
    <w:rsid w:val="00637B02"/>
    <w:rsid w:val="00645E0E"/>
    <w:rsid w:val="006540BC"/>
    <w:rsid w:val="006609EE"/>
    <w:rsid w:val="00664AAC"/>
    <w:rsid w:val="006650E9"/>
    <w:rsid w:val="0067559B"/>
    <w:rsid w:val="00675E32"/>
    <w:rsid w:val="00676477"/>
    <w:rsid w:val="00677734"/>
    <w:rsid w:val="0068476D"/>
    <w:rsid w:val="00684A8E"/>
    <w:rsid w:val="00686FC6"/>
    <w:rsid w:val="00691A5C"/>
    <w:rsid w:val="00694827"/>
    <w:rsid w:val="006A0B10"/>
    <w:rsid w:val="006A6328"/>
    <w:rsid w:val="006A77BF"/>
    <w:rsid w:val="006B094D"/>
    <w:rsid w:val="006B2518"/>
    <w:rsid w:val="006B758A"/>
    <w:rsid w:val="006C14B6"/>
    <w:rsid w:val="006C2C83"/>
    <w:rsid w:val="006C335E"/>
    <w:rsid w:val="006C5E2F"/>
    <w:rsid w:val="006D0114"/>
    <w:rsid w:val="006D2FCB"/>
    <w:rsid w:val="006D4913"/>
    <w:rsid w:val="006D7181"/>
    <w:rsid w:val="006D7838"/>
    <w:rsid w:val="006E00AC"/>
    <w:rsid w:val="006E05E7"/>
    <w:rsid w:val="006E0EF2"/>
    <w:rsid w:val="006E56AC"/>
    <w:rsid w:val="006E5F56"/>
    <w:rsid w:val="006E6AC8"/>
    <w:rsid w:val="006F0008"/>
    <w:rsid w:val="006F07B3"/>
    <w:rsid w:val="006F4DB5"/>
    <w:rsid w:val="006F5DA0"/>
    <w:rsid w:val="00700030"/>
    <w:rsid w:val="00702359"/>
    <w:rsid w:val="00704BCE"/>
    <w:rsid w:val="007055C6"/>
    <w:rsid w:val="007058E8"/>
    <w:rsid w:val="00705E77"/>
    <w:rsid w:val="0071278B"/>
    <w:rsid w:val="00712929"/>
    <w:rsid w:val="007134CC"/>
    <w:rsid w:val="007162C4"/>
    <w:rsid w:val="0071675D"/>
    <w:rsid w:val="0071772D"/>
    <w:rsid w:val="00724A6C"/>
    <w:rsid w:val="00724B1E"/>
    <w:rsid w:val="00725A85"/>
    <w:rsid w:val="00727C0E"/>
    <w:rsid w:val="00730764"/>
    <w:rsid w:val="00733930"/>
    <w:rsid w:val="007405A8"/>
    <w:rsid w:val="0074178D"/>
    <w:rsid w:val="0074314E"/>
    <w:rsid w:val="00744631"/>
    <w:rsid w:val="007520CB"/>
    <w:rsid w:val="00755853"/>
    <w:rsid w:val="00765607"/>
    <w:rsid w:val="00765FA7"/>
    <w:rsid w:val="00766149"/>
    <w:rsid w:val="00777035"/>
    <w:rsid w:val="007771E1"/>
    <w:rsid w:val="00781513"/>
    <w:rsid w:val="00782F7D"/>
    <w:rsid w:val="0078375E"/>
    <w:rsid w:val="00783CD4"/>
    <w:rsid w:val="00795901"/>
    <w:rsid w:val="007A08C3"/>
    <w:rsid w:val="007A37A3"/>
    <w:rsid w:val="007A3A66"/>
    <w:rsid w:val="007A4B4C"/>
    <w:rsid w:val="007A6291"/>
    <w:rsid w:val="007B0BB2"/>
    <w:rsid w:val="007B2C92"/>
    <w:rsid w:val="007B4E69"/>
    <w:rsid w:val="007C017D"/>
    <w:rsid w:val="007C4C08"/>
    <w:rsid w:val="007D246D"/>
    <w:rsid w:val="007D2DE6"/>
    <w:rsid w:val="007E213E"/>
    <w:rsid w:val="007E2F5F"/>
    <w:rsid w:val="007E4197"/>
    <w:rsid w:val="007E714F"/>
    <w:rsid w:val="007F2B26"/>
    <w:rsid w:val="007F622B"/>
    <w:rsid w:val="007F650F"/>
    <w:rsid w:val="007F66E2"/>
    <w:rsid w:val="007F6DFA"/>
    <w:rsid w:val="0080061A"/>
    <w:rsid w:val="00803945"/>
    <w:rsid w:val="00804722"/>
    <w:rsid w:val="00806044"/>
    <w:rsid w:val="008076BD"/>
    <w:rsid w:val="00807B92"/>
    <w:rsid w:val="00810F29"/>
    <w:rsid w:val="008130A8"/>
    <w:rsid w:val="008163C8"/>
    <w:rsid w:val="00816C14"/>
    <w:rsid w:val="00817C9C"/>
    <w:rsid w:val="00820B3B"/>
    <w:rsid w:val="008219CF"/>
    <w:rsid w:val="00824A36"/>
    <w:rsid w:val="00824ED6"/>
    <w:rsid w:val="008274A3"/>
    <w:rsid w:val="00830EEA"/>
    <w:rsid w:val="00830FDB"/>
    <w:rsid w:val="008315ED"/>
    <w:rsid w:val="00835A4D"/>
    <w:rsid w:val="00841785"/>
    <w:rsid w:val="0084311A"/>
    <w:rsid w:val="008446DE"/>
    <w:rsid w:val="0084536E"/>
    <w:rsid w:val="00846B75"/>
    <w:rsid w:val="00870EBB"/>
    <w:rsid w:val="0087299C"/>
    <w:rsid w:val="00874E8C"/>
    <w:rsid w:val="0087520C"/>
    <w:rsid w:val="00876ABD"/>
    <w:rsid w:val="00877ADE"/>
    <w:rsid w:val="00877B58"/>
    <w:rsid w:val="008821D6"/>
    <w:rsid w:val="008860A6"/>
    <w:rsid w:val="008861E1"/>
    <w:rsid w:val="00887EC6"/>
    <w:rsid w:val="00893A81"/>
    <w:rsid w:val="00894697"/>
    <w:rsid w:val="00895BBE"/>
    <w:rsid w:val="008A175A"/>
    <w:rsid w:val="008A3CC4"/>
    <w:rsid w:val="008A4D66"/>
    <w:rsid w:val="008A63CC"/>
    <w:rsid w:val="008B3769"/>
    <w:rsid w:val="008B61C4"/>
    <w:rsid w:val="008C3325"/>
    <w:rsid w:val="008C345D"/>
    <w:rsid w:val="008C4E97"/>
    <w:rsid w:val="008C6E77"/>
    <w:rsid w:val="008D604C"/>
    <w:rsid w:val="008E1155"/>
    <w:rsid w:val="008E7708"/>
    <w:rsid w:val="008F03AB"/>
    <w:rsid w:val="008F5881"/>
    <w:rsid w:val="00902508"/>
    <w:rsid w:val="009040C7"/>
    <w:rsid w:val="009044D0"/>
    <w:rsid w:val="009079DB"/>
    <w:rsid w:val="009110F5"/>
    <w:rsid w:val="00914C40"/>
    <w:rsid w:val="009179C2"/>
    <w:rsid w:val="00922144"/>
    <w:rsid w:val="009225CF"/>
    <w:rsid w:val="00925250"/>
    <w:rsid w:val="009341FE"/>
    <w:rsid w:val="00935D83"/>
    <w:rsid w:val="009375B4"/>
    <w:rsid w:val="009432BD"/>
    <w:rsid w:val="0094371B"/>
    <w:rsid w:val="00947516"/>
    <w:rsid w:val="009502B9"/>
    <w:rsid w:val="00955E7A"/>
    <w:rsid w:val="00956012"/>
    <w:rsid w:val="0095725C"/>
    <w:rsid w:val="00957A72"/>
    <w:rsid w:val="00962F0A"/>
    <w:rsid w:val="00970462"/>
    <w:rsid w:val="0097398B"/>
    <w:rsid w:val="00975008"/>
    <w:rsid w:val="009871EF"/>
    <w:rsid w:val="009926D9"/>
    <w:rsid w:val="009934DF"/>
    <w:rsid w:val="00994F17"/>
    <w:rsid w:val="009A033B"/>
    <w:rsid w:val="009A1E72"/>
    <w:rsid w:val="009A5B6B"/>
    <w:rsid w:val="009A7095"/>
    <w:rsid w:val="009A780B"/>
    <w:rsid w:val="009B124A"/>
    <w:rsid w:val="009B2411"/>
    <w:rsid w:val="009B2703"/>
    <w:rsid w:val="009B2C4C"/>
    <w:rsid w:val="009B3F0E"/>
    <w:rsid w:val="009B46A3"/>
    <w:rsid w:val="009C21DB"/>
    <w:rsid w:val="009D186E"/>
    <w:rsid w:val="009D33AC"/>
    <w:rsid w:val="009D4909"/>
    <w:rsid w:val="009D5B98"/>
    <w:rsid w:val="009E17EE"/>
    <w:rsid w:val="009E22DA"/>
    <w:rsid w:val="009E5EB1"/>
    <w:rsid w:val="009E70B2"/>
    <w:rsid w:val="009E7645"/>
    <w:rsid w:val="009F4148"/>
    <w:rsid w:val="009F5B7F"/>
    <w:rsid w:val="009F7963"/>
    <w:rsid w:val="00A02106"/>
    <w:rsid w:val="00A0441E"/>
    <w:rsid w:val="00A04E22"/>
    <w:rsid w:val="00A1513B"/>
    <w:rsid w:val="00A15E0D"/>
    <w:rsid w:val="00A179C4"/>
    <w:rsid w:val="00A20ED0"/>
    <w:rsid w:val="00A222B5"/>
    <w:rsid w:val="00A23051"/>
    <w:rsid w:val="00A31757"/>
    <w:rsid w:val="00A32A00"/>
    <w:rsid w:val="00A34079"/>
    <w:rsid w:val="00A349FE"/>
    <w:rsid w:val="00A363BE"/>
    <w:rsid w:val="00A375C3"/>
    <w:rsid w:val="00A377EC"/>
    <w:rsid w:val="00A41229"/>
    <w:rsid w:val="00A4374F"/>
    <w:rsid w:val="00A4388B"/>
    <w:rsid w:val="00A45B1C"/>
    <w:rsid w:val="00A469A6"/>
    <w:rsid w:val="00A53080"/>
    <w:rsid w:val="00A578DB"/>
    <w:rsid w:val="00A62441"/>
    <w:rsid w:val="00A625AF"/>
    <w:rsid w:val="00A70C3A"/>
    <w:rsid w:val="00A75019"/>
    <w:rsid w:val="00A7679F"/>
    <w:rsid w:val="00A772F2"/>
    <w:rsid w:val="00A77CCF"/>
    <w:rsid w:val="00A80480"/>
    <w:rsid w:val="00A81BDD"/>
    <w:rsid w:val="00A847A5"/>
    <w:rsid w:val="00A87A08"/>
    <w:rsid w:val="00A9000D"/>
    <w:rsid w:val="00A9049B"/>
    <w:rsid w:val="00AA1376"/>
    <w:rsid w:val="00AA36DF"/>
    <w:rsid w:val="00AA7BFB"/>
    <w:rsid w:val="00AB1374"/>
    <w:rsid w:val="00AB37C0"/>
    <w:rsid w:val="00AB5145"/>
    <w:rsid w:val="00AB6111"/>
    <w:rsid w:val="00AB7109"/>
    <w:rsid w:val="00AC39A7"/>
    <w:rsid w:val="00AC55C5"/>
    <w:rsid w:val="00AD17C8"/>
    <w:rsid w:val="00AD27A1"/>
    <w:rsid w:val="00AD54BE"/>
    <w:rsid w:val="00AE00D7"/>
    <w:rsid w:val="00AE5A17"/>
    <w:rsid w:val="00AE712F"/>
    <w:rsid w:val="00AF0840"/>
    <w:rsid w:val="00AF2A91"/>
    <w:rsid w:val="00B02588"/>
    <w:rsid w:val="00B02740"/>
    <w:rsid w:val="00B046E7"/>
    <w:rsid w:val="00B06A11"/>
    <w:rsid w:val="00B07578"/>
    <w:rsid w:val="00B11072"/>
    <w:rsid w:val="00B12F12"/>
    <w:rsid w:val="00B1608D"/>
    <w:rsid w:val="00B16CF8"/>
    <w:rsid w:val="00B179AC"/>
    <w:rsid w:val="00B22880"/>
    <w:rsid w:val="00B325F8"/>
    <w:rsid w:val="00B3395E"/>
    <w:rsid w:val="00B35AF3"/>
    <w:rsid w:val="00B37DE2"/>
    <w:rsid w:val="00B4241A"/>
    <w:rsid w:val="00B52804"/>
    <w:rsid w:val="00B5320C"/>
    <w:rsid w:val="00B560AB"/>
    <w:rsid w:val="00B631A2"/>
    <w:rsid w:val="00B72296"/>
    <w:rsid w:val="00B735AD"/>
    <w:rsid w:val="00B73671"/>
    <w:rsid w:val="00B75ABE"/>
    <w:rsid w:val="00B75BBE"/>
    <w:rsid w:val="00B76E7E"/>
    <w:rsid w:val="00B8077D"/>
    <w:rsid w:val="00B81C39"/>
    <w:rsid w:val="00B83A70"/>
    <w:rsid w:val="00B92948"/>
    <w:rsid w:val="00BA03D1"/>
    <w:rsid w:val="00BA1340"/>
    <w:rsid w:val="00BA2CF2"/>
    <w:rsid w:val="00BB170D"/>
    <w:rsid w:val="00BB4518"/>
    <w:rsid w:val="00BB51A5"/>
    <w:rsid w:val="00BB77D4"/>
    <w:rsid w:val="00BC4D3E"/>
    <w:rsid w:val="00BD1B1C"/>
    <w:rsid w:val="00BD4F5C"/>
    <w:rsid w:val="00BD575E"/>
    <w:rsid w:val="00BE0E3D"/>
    <w:rsid w:val="00BE27BA"/>
    <w:rsid w:val="00BE75FB"/>
    <w:rsid w:val="00BF1996"/>
    <w:rsid w:val="00BF3E5A"/>
    <w:rsid w:val="00BF4FCE"/>
    <w:rsid w:val="00C01472"/>
    <w:rsid w:val="00C06466"/>
    <w:rsid w:val="00C102D3"/>
    <w:rsid w:val="00C10DEF"/>
    <w:rsid w:val="00C16BA1"/>
    <w:rsid w:val="00C17225"/>
    <w:rsid w:val="00C27A07"/>
    <w:rsid w:val="00C30662"/>
    <w:rsid w:val="00C307C4"/>
    <w:rsid w:val="00C31D4D"/>
    <w:rsid w:val="00C32EB9"/>
    <w:rsid w:val="00C334E6"/>
    <w:rsid w:val="00C40848"/>
    <w:rsid w:val="00C435FA"/>
    <w:rsid w:val="00C45277"/>
    <w:rsid w:val="00C45B13"/>
    <w:rsid w:val="00C53053"/>
    <w:rsid w:val="00C55D41"/>
    <w:rsid w:val="00C602A9"/>
    <w:rsid w:val="00C6048F"/>
    <w:rsid w:val="00C64BF5"/>
    <w:rsid w:val="00C64CDA"/>
    <w:rsid w:val="00C6560F"/>
    <w:rsid w:val="00C6584E"/>
    <w:rsid w:val="00C677BE"/>
    <w:rsid w:val="00C8188F"/>
    <w:rsid w:val="00C818F6"/>
    <w:rsid w:val="00C9451C"/>
    <w:rsid w:val="00CA1BC3"/>
    <w:rsid w:val="00CA20BA"/>
    <w:rsid w:val="00CA3A9F"/>
    <w:rsid w:val="00CB17B0"/>
    <w:rsid w:val="00CB3103"/>
    <w:rsid w:val="00CC065D"/>
    <w:rsid w:val="00CC0B65"/>
    <w:rsid w:val="00CC1F70"/>
    <w:rsid w:val="00CC2946"/>
    <w:rsid w:val="00CC5BE1"/>
    <w:rsid w:val="00CC6628"/>
    <w:rsid w:val="00CD1339"/>
    <w:rsid w:val="00CD5564"/>
    <w:rsid w:val="00CD6610"/>
    <w:rsid w:val="00CF0395"/>
    <w:rsid w:val="00CF22E9"/>
    <w:rsid w:val="00CF678F"/>
    <w:rsid w:val="00D02CA5"/>
    <w:rsid w:val="00D030B6"/>
    <w:rsid w:val="00D039A4"/>
    <w:rsid w:val="00D03C24"/>
    <w:rsid w:val="00D04B28"/>
    <w:rsid w:val="00D04F9D"/>
    <w:rsid w:val="00D07B47"/>
    <w:rsid w:val="00D15192"/>
    <w:rsid w:val="00D176EF"/>
    <w:rsid w:val="00D24EAD"/>
    <w:rsid w:val="00D31984"/>
    <w:rsid w:val="00D32228"/>
    <w:rsid w:val="00D47FFD"/>
    <w:rsid w:val="00D502AA"/>
    <w:rsid w:val="00D515BE"/>
    <w:rsid w:val="00D53831"/>
    <w:rsid w:val="00D5550F"/>
    <w:rsid w:val="00D65C5E"/>
    <w:rsid w:val="00D7112C"/>
    <w:rsid w:val="00D71A2A"/>
    <w:rsid w:val="00D73500"/>
    <w:rsid w:val="00D81673"/>
    <w:rsid w:val="00D82C56"/>
    <w:rsid w:val="00D833BB"/>
    <w:rsid w:val="00D9149D"/>
    <w:rsid w:val="00D919D1"/>
    <w:rsid w:val="00D9359C"/>
    <w:rsid w:val="00D94D75"/>
    <w:rsid w:val="00D961FB"/>
    <w:rsid w:val="00DA06E6"/>
    <w:rsid w:val="00DA0F86"/>
    <w:rsid w:val="00DA1BBE"/>
    <w:rsid w:val="00DA233C"/>
    <w:rsid w:val="00DA2369"/>
    <w:rsid w:val="00DA23E9"/>
    <w:rsid w:val="00DA2FED"/>
    <w:rsid w:val="00DA423B"/>
    <w:rsid w:val="00DA5EF0"/>
    <w:rsid w:val="00DA7F00"/>
    <w:rsid w:val="00DB010B"/>
    <w:rsid w:val="00DB3341"/>
    <w:rsid w:val="00DB34CC"/>
    <w:rsid w:val="00DB3EBF"/>
    <w:rsid w:val="00DB3FE4"/>
    <w:rsid w:val="00DB405D"/>
    <w:rsid w:val="00DB4672"/>
    <w:rsid w:val="00DB4DF4"/>
    <w:rsid w:val="00DB76D9"/>
    <w:rsid w:val="00DC3ABF"/>
    <w:rsid w:val="00DC3D0A"/>
    <w:rsid w:val="00DC632C"/>
    <w:rsid w:val="00DD2152"/>
    <w:rsid w:val="00DD21C0"/>
    <w:rsid w:val="00DD32AB"/>
    <w:rsid w:val="00DD74FE"/>
    <w:rsid w:val="00DE54B1"/>
    <w:rsid w:val="00DF0948"/>
    <w:rsid w:val="00DF3F01"/>
    <w:rsid w:val="00DF5016"/>
    <w:rsid w:val="00DF5181"/>
    <w:rsid w:val="00DF6CE4"/>
    <w:rsid w:val="00DF6D24"/>
    <w:rsid w:val="00E010C3"/>
    <w:rsid w:val="00E06D12"/>
    <w:rsid w:val="00E07381"/>
    <w:rsid w:val="00E10AB3"/>
    <w:rsid w:val="00E1104C"/>
    <w:rsid w:val="00E1133F"/>
    <w:rsid w:val="00E21FBD"/>
    <w:rsid w:val="00E23B8E"/>
    <w:rsid w:val="00E241A2"/>
    <w:rsid w:val="00E258DD"/>
    <w:rsid w:val="00E267EF"/>
    <w:rsid w:val="00E2733D"/>
    <w:rsid w:val="00E3046E"/>
    <w:rsid w:val="00E32197"/>
    <w:rsid w:val="00E342BA"/>
    <w:rsid w:val="00E37CD2"/>
    <w:rsid w:val="00E425D1"/>
    <w:rsid w:val="00E51B8B"/>
    <w:rsid w:val="00E608CF"/>
    <w:rsid w:val="00E6102B"/>
    <w:rsid w:val="00E62588"/>
    <w:rsid w:val="00E6489C"/>
    <w:rsid w:val="00E653C7"/>
    <w:rsid w:val="00E66B50"/>
    <w:rsid w:val="00E76038"/>
    <w:rsid w:val="00E77143"/>
    <w:rsid w:val="00E82176"/>
    <w:rsid w:val="00E90D52"/>
    <w:rsid w:val="00E91847"/>
    <w:rsid w:val="00E91EFC"/>
    <w:rsid w:val="00E922CC"/>
    <w:rsid w:val="00E92379"/>
    <w:rsid w:val="00E94249"/>
    <w:rsid w:val="00E94CAC"/>
    <w:rsid w:val="00E95EE2"/>
    <w:rsid w:val="00E97154"/>
    <w:rsid w:val="00EA4C50"/>
    <w:rsid w:val="00EB07FE"/>
    <w:rsid w:val="00EB1076"/>
    <w:rsid w:val="00EB19BD"/>
    <w:rsid w:val="00EB34C2"/>
    <w:rsid w:val="00EB3E82"/>
    <w:rsid w:val="00EB441D"/>
    <w:rsid w:val="00EB6907"/>
    <w:rsid w:val="00EB7A8F"/>
    <w:rsid w:val="00EC06D1"/>
    <w:rsid w:val="00EC14AF"/>
    <w:rsid w:val="00EC1911"/>
    <w:rsid w:val="00EC2261"/>
    <w:rsid w:val="00EC2669"/>
    <w:rsid w:val="00EC4ABA"/>
    <w:rsid w:val="00ED2101"/>
    <w:rsid w:val="00ED3196"/>
    <w:rsid w:val="00ED44A6"/>
    <w:rsid w:val="00ED4FA0"/>
    <w:rsid w:val="00ED7346"/>
    <w:rsid w:val="00EF0C07"/>
    <w:rsid w:val="00EF4BBD"/>
    <w:rsid w:val="00EF67A3"/>
    <w:rsid w:val="00F00A56"/>
    <w:rsid w:val="00F011CB"/>
    <w:rsid w:val="00F02ED7"/>
    <w:rsid w:val="00F065B8"/>
    <w:rsid w:val="00F107DE"/>
    <w:rsid w:val="00F11C8F"/>
    <w:rsid w:val="00F1531C"/>
    <w:rsid w:val="00F16495"/>
    <w:rsid w:val="00F2070B"/>
    <w:rsid w:val="00F226BA"/>
    <w:rsid w:val="00F24A1B"/>
    <w:rsid w:val="00F26784"/>
    <w:rsid w:val="00F371DA"/>
    <w:rsid w:val="00F3777D"/>
    <w:rsid w:val="00F457FD"/>
    <w:rsid w:val="00F47A70"/>
    <w:rsid w:val="00F52418"/>
    <w:rsid w:val="00F709A1"/>
    <w:rsid w:val="00F72C0B"/>
    <w:rsid w:val="00F7321E"/>
    <w:rsid w:val="00F80552"/>
    <w:rsid w:val="00F81A14"/>
    <w:rsid w:val="00F83FED"/>
    <w:rsid w:val="00F84F2B"/>
    <w:rsid w:val="00F85FE2"/>
    <w:rsid w:val="00F91E1A"/>
    <w:rsid w:val="00F9267C"/>
    <w:rsid w:val="00F94524"/>
    <w:rsid w:val="00F952E5"/>
    <w:rsid w:val="00F95BA6"/>
    <w:rsid w:val="00F96439"/>
    <w:rsid w:val="00FA0AD9"/>
    <w:rsid w:val="00FA5265"/>
    <w:rsid w:val="00FB0AA5"/>
    <w:rsid w:val="00FB5A25"/>
    <w:rsid w:val="00FB6950"/>
    <w:rsid w:val="00FC00A5"/>
    <w:rsid w:val="00FC029C"/>
    <w:rsid w:val="00FC317F"/>
    <w:rsid w:val="00FD03F6"/>
    <w:rsid w:val="00FD35D3"/>
    <w:rsid w:val="00FD4EC4"/>
    <w:rsid w:val="00FE24C6"/>
    <w:rsid w:val="00FE7E09"/>
    <w:rsid w:val="00FF327E"/>
    <w:rsid w:val="00FF32BF"/>
    <w:rsid w:val="00FF35B5"/>
    <w:rsid w:val="00FF7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C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37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3769"/>
    <w:rPr>
      <w:rFonts w:ascii="Calibri" w:eastAsia="宋体" w:hAnsi="Calibri" w:cs="Times New Roman"/>
      <w:sz w:val="18"/>
      <w:szCs w:val="18"/>
    </w:rPr>
  </w:style>
  <w:style w:type="paragraph" w:styleId="a4">
    <w:name w:val="footer"/>
    <w:basedOn w:val="a"/>
    <w:link w:val="Char0"/>
    <w:uiPriority w:val="99"/>
    <w:semiHidden/>
    <w:unhideWhenUsed/>
    <w:rsid w:val="008B37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376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90593556">
      <w:bodyDiv w:val="1"/>
      <w:marLeft w:val="0"/>
      <w:marRight w:val="0"/>
      <w:marTop w:val="0"/>
      <w:marBottom w:val="0"/>
      <w:divBdr>
        <w:top w:val="none" w:sz="0" w:space="0" w:color="auto"/>
        <w:left w:val="none" w:sz="0" w:space="0" w:color="auto"/>
        <w:bottom w:val="none" w:sz="0" w:space="0" w:color="auto"/>
        <w:right w:val="none" w:sz="0" w:space="0" w:color="auto"/>
      </w:divBdr>
      <w:divsChild>
        <w:div w:id="2097089113">
          <w:marLeft w:val="0"/>
          <w:marRight w:val="0"/>
          <w:marTop w:val="0"/>
          <w:marBottom w:val="0"/>
          <w:divBdr>
            <w:top w:val="none" w:sz="0" w:space="0" w:color="auto"/>
            <w:left w:val="none" w:sz="0" w:space="0" w:color="auto"/>
            <w:bottom w:val="none" w:sz="0" w:space="0" w:color="auto"/>
            <w:right w:val="none" w:sz="0" w:space="0" w:color="auto"/>
          </w:divBdr>
          <w:divsChild>
            <w:div w:id="489716357">
              <w:marLeft w:val="0"/>
              <w:marRight w:val="0"/>
              <w:marTop w:val="0"/>
              <w:marBottom w:val="0"/>
              <w:divBdr>
                <w:top w:val="none" w:sz="0" w:space="0" w:color="auto"/>
                <w:left w:val="none" w:sz="0" w:space="0" w:color="auto"/>
                <w:bottom w:val="none" w:sz="0" w:space="0" w:color="auto"/>
                <w:right w:val="none" w:sz="0" w:space="0" w:color="auto"/>
              </w:divBdr>
              <w:divsChild>
                <w:div w:id="1121218652">
                  <w:marLeft w:val="0"/>
                  <w:marRight w:val="0"/>
                  <w:marTop w:val="0"/>
                  <w:marBottom w:val="0"/>
                  <w:divBdr>
                    <w:top w:val="none" w:sz="0" w:space="0" w:color="auto"/>
                    <w:left w:val="none" w:sz="0" w:space="0" w:color="auto"/>
                    <w:bottom w:val="none" w:sz="0" w:space="0" w:color="auto"/>
                    <w:right w:val="none" w:sz="0" w:space="0" w:color="auto"/>
                  </w:divBdr>
                  <w:divsChild>
                    <w:div w:id="386608733">
                      <w:marLeft w:val="0"/>
                      <w:marRight w:val="0"/>
                      <w:marTop w:val="0"/>
                      <w:marBottom w:val="0"/>
                      <w:divBdr>
                        <w:top w:val="none" w:sz="0" w:space="0" w:color="auto"/>
                        <w:left w:val="none" w:sz="0" w:space="0" w:color="auto"/>
                        <w:bottom w:val="none" w:sz="0" w:space="0" w:color="auto"/>
                        <w:right w:val="none" w:sz="0" w:space="0" w:color="auto"/>
                      </w:divBdr>
                      <w:divsChild>
                        <w:div w:id="7231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824</Words>
  <Characters>4703</Characters>
  <Application>Microsoft Office Word</Application>
  <DocSecurity>0</DocSecurity>
  <Lines>39</Lines>
  <Paragraphs>11</Paragraphs>
  <ScaleCrop>false</ScaleCrop>
  <Company>Microsoft</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徐洁</dc:creator>
  <cp:lastModifiedBy>Administrator</cp:lastModifiedBy>
  <cp:revision>2</cp:revision>
  <dcterms:created xsi:type="dcterms:W3CDTF">2021-05-26T02:47:00Z</dcterms:created>
  <dcterms:modified xsi:type="dcterms:W3CDTF">2022-09-06T09:40:00Z</dcterms:modified>
</cp:coreProperties>
</file>