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C" w:rsidRPr="00EE5C13" w:rsidRDefault="002F5A2C" w:rsidP="00FE1F61">
      <w:pPr>
        <w:spacing w:line="600" w:lineRule="exact"/>
        <w:rPr>
          <w:rFonts w:ascii="仿宋_GB2312" w:eastAsia="仿宋_GB2312" w:hAnsi="黑体"/>
          <w:sz w:val="24"/>
        </w:rPr>
      </w:pPr>
      <w:r w:rsidRPr="00EE5C13">
        <w:rPr>
          <w:rFonts w:ascii="仿宋_GB2312" w:eastAsia="仿宋_GB2312" w:hAnsi="黑体" w:hint="eastAsia"/>
          <w:sz w:val="24"/>
        </w:rPr>
        <w:t>附件</w:t>
      </w:r>
    </w:p>
    <w:p w:rsidR="002F5A2C" w:rsidRPr="00D753F4" w:rsidRDefault="002F5A2C" w:rsidP="00FE1F61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D753F4">
        <w:rPr>
          <w:rFonts w:ascii="宋体" w:hAnsi="宋体" w:hint="eastAsia"/>
          <w:b/>
          <w:sz w:val="44"/>
          <w:szCs w:val="44"/>
        </w:rPr>
        <w:t>行政权力实施程序和运行流程</w:t>
      </w:r>
    </w:p>
    <w:p w:rsidR="002F5A2C" w:rsidRPr="00187775" w:rsidRDefault="002F5A2C" w:rsidP="00FE1F61">
      <w:pPr>
        <w:spacing w:line="600" w:lineRule="exact"/>
        <w:rPr>
          <w:rFonts w:ascii="仿宋_GB2312" w:eastAsia="仿宋_GB2312" w:hAnsi="黑体"/>
          <w:szCs w:val="21"/>
        </w:rPr>
      </w:pPr>
      <w:r w:rsidRPr="00187775">
        <w:rPr>
          <w:rFonts w:ascii="仿宋_GB2312" w:eastAsia="仿宋_GB2312" w:hAnsi="黑体" w:hint="eastAsia"/>
          <w:szCs w:val="21"/>
        </w:rPr>
        <w:t>单位名称（盖章）：</w:t>
      </w:r>
      <w:r w:rsidRPr="00187775">
        <w:rPr>
          <w:rFonts w:ascii="仿宋_GB2312" w:eastAsia="仿宋_GB2312" w:hAnsi="黑体"/>
          <w:szCs w:val="21"/>
        </w:rPr>
        <w:t xml:space="preserve">  </w:t>
      </w:r>
      <w:r>
        <w:rPr>
          <w:rFonts w:ascii="仿宋_GB2312" w:eastAsia="仿宋_GB2312" w:hAnsi="黑体" w:hint="eastAsia"/>
          <w:kern w:val="0"/>
          <w:szCs w:val="21"/>
        </w:rPr>
        <w:t>区统计局</w:t>
      </w:r>
      <w:r>
        <w:rPr>
          <w:rFonts w:ascii="仿宋_GB2312" w:eastAsia="仿宋_GB2312" w:hAnsi="黑体"/>
          <w:kern w:val="0"/>
          <w:szCs w:val="21"/>
        </w:rPr>
        <w:t xml:space="preserve">  </w:t>
      </w:r>
      <w:r>
        <w:rPr>
          <w:rFonts w:ascii="仿宋_GB2312" w:eastAsia="仿宋_GB2312" w:hAnsi="黑体"/>
          <w:szCs w:val="21"/>
        </w:rPr>
        <w:t xml:space="preserve">                    </w:t>
      </w:r>
      <w:r w:rsidRPr="00187775">
        <w:rPr>
          <w:rFonts w:ascii="仿宋_GB2312" w:eastAsia="仿宋_GB2312" w:hAnsi="黑体" w:hint="eastAsia"/>
          <w:szCs w:val="21"/>
        </w:rPr>
        <w:t>填报日期：</w:t>
      </w:r>
      <w:r>
        <w:rPr>
          <w:rFonts w:ascii="仿宋_GB2312" w:eastAsia="仿宋_GB2312" w:hAnsi="黑体"/>
          <w:szCs w:val="21"/>
        </w:rPr>
        <w:t>2015</w:t>
      </w:r>
      <w:r w:rsidRPr="00187775">
        <w:rPr>
          <w:rFonts w:ascii="仿宋_GB2312" w:eastAsia="仿宋_GB2312" w:hAnsi="黑体" w:hint="eastAsia"/>
          <w:szCs w:val="21"/>
        </w:rPr>
        <w:t>年</w:t>
      </w:r>
      <w:r>
        <w:rPr>
          <w:rFonts w:ascii="仿宋_GB2312" w:eastAsia="仿宋_GB2312" w:hAnsi="黑体"/>
          <w:szCs w:val="21"/>
        </w:rPr>
        <w:t>12</w:t>
      </w:r>
      <w:r w:rsidRPr="00187775">
        <w:rPr>
          <w:rFonts w:ascii="仿宋_GB2312" w:eastAsia="仿宋_GB2312" w:hAnsi="黑体" w:hint="eastAsia"/>
          <w:szCs w:val="21"/>
        </w:rPr>
        <w:t>月</w:t>
      </w:r>
      <w:r>
        <w:rPr>
          <w:rFonts w:ascii="仿宋_GB2312" w:eastAsia="仿宋_GB2312" w:hAnsi="黑体"/>
          <w:szCs w:val="21"/>
        </w:rPr>
        <w:t>28</w:t>
      </w:r>
      <w:r w:rsidRPr="00187775">
        <w:rPr>
          <w:rFonts w:ascii="仿宋_GB2312" w:eastAsia="仿宋_GB2312" w:hAnsi="黑体" w:hint="eastAsia"/>
          <w:szCs w:val="21"/>
        </w:rPr>
        <w:t>日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3553"/>
        <w:gridCol w:w="1257"/>
        <w:gridCol w:w="4027"/>
      </w:tblGrid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8837" w:type="dxa"/>
            <w:gridSpan w:val="3"/>
            <w:vAlign w:val="center"/>
          </w:tcPr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拒报，提供不真实、不完整统计资料，拒绝、阻碍统计检查等违法行为的处罚</w:t>
            </w:r>
          </w:p>
        </w:tc>
      </w:tr>
      <w:tr w:rsidR="002F5A2C" w:rsidRPr="00FE1F61" w:rsidTr="002F4905">
        <w:trPr>
          <w:trHeight w:val="906"/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事项类型</w:t>
            </w:r>
          </w:p>
        </w:tc>
        <w:tc>
          <w:tcPr>
            <w:tcW w:w="3553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行政处罚</w:t>
            </w:r>
          </w:p>
        </w:tc>
        <w:tc>
          <w:tcPr>
            <w:tcW w:w="1257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办事对象</w:t>
            </w:r>
          </w:p>
        </w:tc>
        <w:tc>
          <w:tcPr>
            <w:tcW w:w="4027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法人</w:t>
            </w:r>
            <w:r w:rsidRPr="002F4905">
              <w:rPr>
                <w:rFonts w:ascii="仿宋_GB2312" w:eastAsia="仿宋_GB2312"/>
                <w:kern w:val="0"/>
                <w:szCs w:val="21"/>
              </w:rPr>
              <w:t>,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其他组织</w:t>
            </w:r>
          </w:p>
        </w:tc>
      </w:tr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3553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无相关规定</w:t>
            </w:r>
          </w:p>
        </w:tc>
        <w:tc>
          <w:tcPr>
            <w:tcW w:w="1257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承诺期限</w:t>
            </w:r>
          </w:p>
        </w:tc>
        <w:tc>
          <w:tcPr>
            <w:tcW w:w="4027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无相关规定</w:t>
            </w:r>
          </w:p>
        </w:tc>
      </w:tr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实施机关</w:t>
            </w:r>
          </w:p>
        </w:tc>
        <w:tc>
          <w:tcPr>
            <w:tcW w:w="3553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岳阳楼区统计局</w:t>
            </w:r>
          </w:p>
        </w:tc>
        <w:tc>
          <w:tcPr>
            <w:tcW w:w="1257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责任科室</w:t>
            </w:r>
          </w:p>
        </w:tc>
        <w:tc>
          <w:tcPr>
            <w:tcW w:w="4027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法规股</w:t>
            </w:r>
          </w:p>
        </w:tc>
      </w:tr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553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>0730-8220171</w:t>
            </w:r>
          </w:p>
        </w:tc>
        <w:tc>
          <w:tcPr>
            <w:tcW w:w="1257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投诉电话</w:t>
            </w:r>
          </w:p>
        </w:tc>
        <w:tc>
          <w:tcPr>
            <w:tcW w:w="4027" w:type="dxa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>0730-8220063</w:t>
            </w:r>
          </w:p>
        </w:tc>
      </w:tr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受理条件</w:t>
            </w:r>
          </w:p>
        </w:tc>
        <w:tc>
          <w:tcPr>
            <w:tcW w:w="8837" w:type="dxa"/>
            <w:gridSpan w:val="3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无</w:t>
            </w:r>
          </w:p>
        </w:tc>
      </w:tr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申报材料</w:t>
            </w:r>
          </w:p>
        </w:tc>
        <w:tc>
          <w:tcPr>
            <w:tcW w:w="8837" w:type="dxa"/>
            <w:gridSpan w:val="3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Style w:val="SubtleEmphasis"/>
                <w:i w:val="0"/>
                <w:kern w:val="0"/>
                <w:sz w:val="20"/>
              </w:rPr>
            </w:pPr>
            <w:r w:rsidRPr="002F4905">
              <w:rPr>
                <w:rStyle w:val="SubtleEmphasis"/>
                <w:rFonts w:hint="eastAsia"/>
                <w:i w:val="0"/>
                <w:kern w:val="0"/>
                <w:sz w:val="20"/>
              </w:rPr>
              <w:t>无</w:t>
            </w:r>
            <w:bookmarkStart w:id="0" w:name="_GoBack"/>
            <w:bookmarkEnd w:id="0"/>
          </w:p>
        </w:tc>
      </w:tr>
      <w:tr w:rsidR="002F5A2C" w:rsidRPr="00FE1F61" w:rsidTr="002F4905">
        <w:trPr>
          <w:trHeight w:val="6091"/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8837" w:type="dxa"/>
            <w:gridSpan w:val="3"/>
            <w:vAlign w:val="center"/>
          </w:tcPr>
          <w:p w:rsidR="002F5A2C" w:rsidRPr="002F4905" w:rsidRDefault="002F5A2C" w:rsidP="002F5A2C">
            <w:pPr>
              <w:spacing w:line="400" w:lineRule="exact"/>
              <w:ind w:firstLineChars="200" w:firstLine="31680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 w:hint="eastAsia"/>
                <w:kern w:val="0"/>
                <w:szCs w:val="21"/>
              </w:rPr>
              <w:t>《中华人民共和国统计法》第四十一条</w:t>
            </w: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作为统计调查对象的国家机关、企业事业单位或者其他组织有下列行为之一的，由县级以上人民政府统计机构责令改正，给予警告，可以予以通报；其直接负责的主管人员和其他直接责任人员属于国家工作人员的，由任免机关或者监察机关依法给予处分：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（一）拒绝提供统计资料或者经催报后仍未按时提供统计资料的；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（二）提供不真实或者不完整的统计资料的；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（三）拒绝答复或者不如实答复统计检查查询书的；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（四）拒绝、阻碍统计调查、统计检查的；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（五）转移、隐匿、篡改、毁弃或者拒绝提供原始记录和凭证、统计台账、统计调查表及其他相关证明和资料的。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企业事业单位或者其他组织有前款所列行为之一的，可以并处五万元以下的罚款；情节严重的，并处五万元以上二十万元以下的罚款。</w:t>
            </w:r>
          </w:p>
          <w:p w:rsidR="002F5A2C" w:rsidRPr="002F4905" w:rsidRDefault="002F5A2C" w:rsidP="002F4905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2F4905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2F4905">
              <w:rPr>
                <w:rFonts w:ascii="仿宋_GB2312" w:eastAsia="仿宋_GB2312" w:hint="eastAsia"/>
                <w:kern w:val="0"/>
                <w:szCs w:val="21"/>
              </w:rPr>
              <w:t>个体工商户有本条第一款所列行为之一的，由县级以上人民政府统计机构责令改正，给予警告，可以并处一万元以下的罚款。</w:t>
            </w:r>
          </w:p>
        </w:tc>
      </w:tr>
      <w:tr w:rsidR="002F5A2C" w:rsidRPr="00FE1F61" w:rsidTr="002F4905">
        <w:trPr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8837" w:type="dxa"/>
            <w:gridSpan w:val="3"/>
            <w:vAlign w:val="center"/>
          </w:tcPr>
          <w:p w:rsidR="002F5A2C" w:rsidRPr="002F4905" w:rsidRDefault="002F5A2C" w:rsidP="002F4905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F5A2C" w:rsidRPr="00FE1F61" w:rsidTr="002F4905">
        <w:trPr>
          <w:trHeight w:val="13599"/>
          <w:jc w:val="center"/>
        </w:trPr>
        <w:tc>
          <w:tcPr>
            <w:tcW w:w="1070" w:type="dxa"/>
            <w:vAlign w:val="center"/>
          </w:tcPr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运</w:t>
            </w:r>
          </w:p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行</w:t>
            </w:r>
          </w:p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流</w:t>
            </w:r>
          </w:p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程</w:t>
            </w:r>
          </w:p>
          <w:p w:rsidR="002F5A2C" w:rsidRPr="002F4905" w:rsidRDefault="002F5A2C" w:rsidP="002F490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2F4905">
              <w:rPr>
                <w:rFonts w:ascii="仿宋_GB2312" w:eastAsia="仿宋_GB2312" w:hAnsi="黑体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837" w:type="dxa"/>
            <w:gridSpan w:val="3"/>
            <w:vAlign w:val="center"/>
          </w:tcPr>
          <w:p w:rsidR="002F5A2C" w:rsidRPr="008B1F8E" w:rsidRDefault="002F5A2C" w:rsidP="008B1F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1F8E">
              <w:rPr>
                <w:rFonts w:ascii="宋体" w:cs="宋体" w:hint="eastAsia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8.75pt;height:207.75pt">
                  <v:imagedata r:id="rId6" r:href="rId7"/>
                </v:shape>
              </w:pict>
            </w:r>
          </w:p>
          <w:p w:rsidR="002F5A2C" w:rsidRPr="002F4905" w:rsidRDefault="002F5A2C" w:rsidP="002F490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F5A2C" w:rsidRPr="002F4905" w:rsidRDefault="002F5A2C" w:rsidP="002F4905">
            <w:pPr>
              <w:widowControl/>
              <w:jc w:val="left"/>
              <w:rPr>
                <w:rFonts w:ascii="宋体" w:cs="宋体"/>
                <w:noProof/>
                <w:kern w:val="0"/>
                <w:sz w:val="24"/>
              </w:rPr>
            </w:pPr>
          </w:p>
          <w:p w:rsidR="002F5A2C" w:rsidRPr="002F4905" w:rsidRDefault="002F5A2C" w:rsidP="002F490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2F5A2C" w:rsidRPr="004E3F21" w:rsidRDefault="002F5A2C" w:rsidP="00FE1F6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2F5A2C" w:rsidRDefault="002F5A2C"/>
    <w:sectPr w:rsidR="002F5A2C" w:rsidSect="00741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2C" w:rsidRDefault="002F5A2C" w:rsidP="00672DEE">
      <w:r>
        <w:separator/>
      </w:r>
    </w:p>
  </w:endnote>
  <w:endnote w:type="continuationSeparator" w:id="0">
    <w:p w:rsidR="002F5A2C" w:rsidRDefault="002F5A2C" w:rsidP="0067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2C" w:rsidRDefault="002F5A2C" w:rsidP="00672DEE">
      <w:r>
        <w:separator/>
      </w:r>
    </w:p>
  </w:footnote>
  <w:footnote w:type="continuationSeparator" w:id="0">
    <w:p w:rsidR="002F5A2C" w:rsidRDefault="002F5A2C" w:rsidP="00672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61"/>
    <w:rsid w:val="000C2BCF"/>
    <w:rsid w:val="00127FD6"/>
    <w:rsid w:val="00157EAF"/>
    <w:rsid w:val="00187775"/>
    <w:rsid w:val="00221979"/>
    <w:rsid w:val="00257516"/>
    <w:rsid w:val="00262A82"/>
    <w:rsid w:val="002F4905"/>
    <w:rsid w:val="002F5A2C"/>
    <w:rsid w:val="0036245A"/>
    <w:rsid w:val="004500FD"/>
    <w:rsid w:val="00495110"/>
    <w:rsid w:val="004E3F21"/>
    <w:rsid w:val="005641DB"/>
    <w:rsid w:val="005967E0"/>
    <w:rsid w:val="005C3222"/>
    <w:rsid w:val="005E79B2"/>
    <w:rsid w:val="005F5D6D"/>
    <w:rsid w:val="00672DEE"/>
    <w:rsid w:val="006960D3"/>
    <w:rsid w:val="00702BB3"/>
    <w:rsid w:val="00741767"/>
    <w:rsid w:val="0078417F"/>
    <w:rsid w:val="007D3E47"/>
    <w:rsid w:val="007D5484"/>
    <w:rsid w:val="008436E5"/>
    <w:rsid w:val="008B1F8E"/>
    <w:rsid w:val="0097071A"/>
    <w:rsid w:val="009B7368"/>
    <w:rsid w:val="009C1679"/>
    <w:rsid w:val="00A66B75"/>
    <w:rsid w:val="00AD3E3E"/>
    <w:rsid w:val="00AE4B97"/>
    <w:rsid w:val="00AE79EC"/>
    <w:rsid w:val="00B13445"/>
    <w:rsid w:val="00C46DD1"/>
    <w:rsid w:val="00C50499"/>
    <w:rsid w:val="00C64D89"/>
    <w:rsid w:val="00D753F4"/>
    <w:rsid w:val="00D828F2"/>
    <w:rsid w:val="00D85277"/>
    <w:rsid w:val="00DB4519"/>
    <w:rsid w:val="00DC49CF"/>
    <w:rsid w:val="00E73194"/>
    <w:rsid w:val="00E757F9"/>
    <w:rsid w:val="00E916D7"/>
    <w:rsid w:val="00EE5C13"/>
    <w:rsid w:val="00FE1F61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0"/>
    <w:basedOn w:val="Normal"/>
    <w:uiPriority w:val="99"/>
    <w:rsid w:val="00FE1F61"/>
    <w:pPr>
      <w:widowControl/>
      <w:snapToGrid w:val="0"/>
      <w:jc w:val="left"/>
    </w:pPr>
    <w:rPr>
      <w:kern w:val="0"/>
      <w:sz w:val="20"/>
      <w:szCs w:val="20"/>
    </w:rPr>
  </w:style>
  <w:style w:type="table" w:styleId="TableGrid">
    <w:name w:val="Table Grid"/>
    <w:basedOn w:val="TableNormal"/>
    <w:uiPriority w:val="99"/>
    <w:rsid w:val="00FE1F6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967E0"/>
    <w:rPr>
      <w:rFonts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semiHidden/>
    <w:rsid w:val="0067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DE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DEE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2D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D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istrator\AppData\Roaming\Tencent\Users\287631288\QQ\WinTemp\RichOle\Z%5b8V0BP%7dU$%5d@%25L%25G%259$)%25%7d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126</Words>
  <Characters>722</Characters>
  <Application>Microsoft Office Outlook</Application>
  <DocSecurity>0</DocSecurity>
  <Lines>0</Lines>
  <Paragraphs>0</Paragraphs>
  <ScaleCrop>false</ScaleCrop>
  <Company>国家统计局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wumi</dc:creator>
  <cp:keywords/>
  <dc:description/>
  <cp:lastModifiedBy>微软用户</cp:lastModifiedBy>
  <cp:revision>11</cp:revision>
  <cp:lastPrinted>2015-12-31T08:19:00Z</cp:lastPrinted>
  <dcterms:created xsi:type="dcterms:W3CDTF">2015-12-29T06:13:00Z</dcterms:created>
  <dcterms:modified xsi:type="dcterms:W3CDTF">2016-01-21T09:45:00Z</dcterms:modified>
</cp:coreProperties>
</file>